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40"/>
        </w:rPr>
        <w:t>AI-Ready 부속서 설계 명세</w:t>
      </w:r>
    </w:p>
    <w:p>
      <w:r>
        <w:rPr>
          <w:rFonts w:ascii="맑은 고딕" w:hAnsi="맑은 고딕" w:eastAsia="맑은 고딕"/>
          <w:b w:val="0"/>
          <w:color w:val="444444"/>
          <w:sz w:val="24"/>
        </w:rPr>
        <w:t>JSON 형태의 자율주행 학습용 데이터 품질 검증 지침 — 정확성 및 다양성</w:t>
      </w:r>
    </w:p>
    <w:p>
      <w:r>
        <w:rPr>
          <w:rFonts w:ascii="맑은 고딕" w:hAnsi="맑은 고딕" w:eastAsia="맑은 고딕"/>
          <w:b w:val="0"/>
          <w:color w:val="777777"/>
          <w:sz w:val="18"/>
        </w:rPr>
        <w:t>TTAK.KO-11.0310 · 공동 에디터(어휘 전문가) 작성 · v0.2</w:t>
      </w:r>
    </w:p>
    <w:p>
      <w:pPr>
        <w:pStyle w:val="Heading1"/>
      </w:pPr>
      <w:r>
        <w:t>0. 이 문서에 대하여</w:t>
      </w:r>
    </w:p>
    <w:p>
      <w:r>
        <w:rPr>
          <w:rFonts w:ascii="맑은 고딕" w:hAnsi="맑은 고딕" w:eastAsia="맑은 고딕"/>
          <w:b w:val="0"/>
          <w:sz w:val="20"/>
        </w:rPr>
        <w:t>이 문서는 표준 작성 담당자(에디터)가 완성한 「데이터 요소 정의표」(표준초안 4절, 도메인 컬럼 ①~⑬)를 받아, 어휘 전문가(공동 에디터)가 이 표준의 모든 기계가독 부속서를 설계한 결과다. 요소정의표가 “무엇을 규정하는가”라면, 이 명세는 “그것을 어느 전역 어휘·코드·단위·구성요소 그래프에 어떻게 묶는가”를 정한다.</w:t>
      </w:r>
    </w:p>
    <w:p>
      <w:r>
        <w:rPr>
          <w:rFonts w:ascii="맑은 고딕" w:hAnsi="맑은 고딕" w:eastAsia="맑은 고딕"/>
          <w:b/>
          <w:sz w:val="20"/>
        </w:rPr>
        <w:t xml:space="preserve">이 표준의 모든 부속서가 이 명세에서 나온다. </w:t>
      </w:r>
      <w:r>
        <w:rPr>
          <w:rFonts w:ascii="맑은 고딕" w:hAnsi="맑은 고딕" w:eastAsia="맑은 고딕"/>
          <w:b w:val="0"/>
          <w:sz w:val="20"/>
        </w:rPr>
        <w:t>Part A는 요소를 어휘에 묶어 부속서 A·B를 낳고, Part B는 데이터세트 수준의 품질을 설계해 부속서 C를 낳는다. Part C는 그 대응을 정리한다.</w:t>
      </w:r>
    </w:p>
    <w:p>
      <w:r>
        <w:rPr>
          <w:rFonts w:ascii="맑은 고딕" w:hAnsi="맑은 고딕" w:eastAsia="맑은 고딕"/>
          <w:b/>
          <w:color w:val="305080"/>
          <w:sz w:val="22"/>
        </w:rPr>
        <w:t>── Part A · 요소 어휘 바인딩 (→ 부속서 A · B) ──</w:t>
      </w:r>
    </w:p>
    <w:p>
      <w:r>
        <w:rPr>
          <w:rFonts w:ascii="맑은 고딕" w:hAnsi="맑은 고딕" w:eastAsia="맑은 고딕"/>
          <w:b w:val="0"/>
          <w:sz w:val="18"/>
        </w:rPr>
        <w:t>이 부의 항목은 「요소정의체계 설계안」 정규 컬럼표에서 공동 에디터가 채우는 열 — 어휘 IRI·통제어휘 URI(코드값)·직렬화 키·요소 이력 — 에 대응한다. 에디터가 채운 도메인 컬럼(정의·필수·카디널리티 등)은 표준초안 4절에 있다.</w:t>
      </w:r>
    </w:p>
    <w:p>
      <w:pPr>
        <w:pStyle w:val="Heading1"/>
      </w:pPr>
      <w:r>
        <w:t>1. 네임스페이스 및 직렬화</w:t>
      </w:r>
    </w:p>
    <w:p>
      <w:r>
        <w:rPr>
          <w:rFonts w:ascii="맑은 고딕" w:hAnsi="맑은 고딕" w:eastAsia="맑은 고딕"/>
          <w:b w:val="0"/>
          <w:sz w:val="20"/>
        </w:rPr>
        <w:t>이 표준이 사용하는 전역 어휘의 네임스페이스와 접두어다. JSON-LD 직렬화 버전은 1.1이며, 각 요소의 직렬화 키(@context key)는 요소명(영문)을 그대로 쓴다.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728"/>
        <w:gridCol w:w="6840"/>
      </w:tblGrid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접두어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네임스페이스 IRI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dqv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http://www.w3.org/ns/dqv#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dcat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http://www.w3.org/ns/dcat#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dct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http://purl.org/dc/terms/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skos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http://www.w3.org/2004/02/skos/core#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sh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http://www.w3.org/ns/shacl#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oa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http://www.w3.org/ns/oa#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adq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https://std.tta.or.kr/ns/adq#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xsd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http://www.w3.org/2001/XMLSchema#</w:t>
            </w:r>
          </w:p>
        </w:tc>
      </w:tr>
    </w:tbl>
    <w:p/>
    <w:p>
      <w:pPr>
        <w:pStyle w:val="Heading1"/>
      </w:pPr>
      <w:r>
        <w:t>2. 어휘 IRI 매핑</w:t>
      </w:r>
    </w:p>
    <w:p>
      <w:r>
        <w:rPr>
          <w:rFonts w:ascii="맑은 고딕" w:hAnsi="맑은 고딕" w:eastAsia="맑은 고딕"/>
          <w:b w:val="0"/>
          <w:sz w:val="20"/>
        </w:rPr>
        <w:t>각 요소를 그 의미를 규정하는 전역 어휘 IRI에 매핑한다(정규 컬럼표의 “어휘 IRI” 열, 시맨틱 L1의 핵심). 이 표가 부속서 A(@context)의 요소↔IRI 바인딩으로 그대로 옮겨진다.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808"/>
        <w:gridCol w:w="1512"/>
        <w:gridCol w:w="2160"/>
        <w:gridCol w:w="2088"/>
      </w:tblGrid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요소명 (국문 · 영문)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데이터 유형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어휘 IRI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직렬화 키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데이터세트 (Dataset)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dcat:Dataset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Dataset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어노테이션 (Annotation)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oa:Annotation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Annotation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데이터세트 식별자 (datasetId)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dct:identifier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datasetId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생성일 (created)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xsd:date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dct:created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created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배포본 (distribution)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dcat:distribution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distribution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어노테이션 참조 (annotations)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adq:hasAnnotation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annotations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속성 (attributes)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adq:attributes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attributes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라벨 (label)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adq:label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label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어노테이션 유형 (type)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adq:annotationType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type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크기 (size)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adq:size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size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품질 측정 (hasQualityMeasurement)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dqv:hasQualityMeasurement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hasQualityMeasurement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품질 차원 (hasDimension)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dqv:inDimension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hasDimension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측정 대상 (isMeasurementOf)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dqv:isMeasurementOf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isMeasurementOf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측정값 (value)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dqv:value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value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구문 정확성 (syntaxAccuracy)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dqv:QualityMeasurement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adq:syntaxAccuracy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syntaxAccuracy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통계 충분성 (statSufficiency)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dqv:QualityMeasurement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adq:statisticalSufficiency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statSufficiency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통계 균일성 (statUniformity)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dqv:QualityMeasurement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adq:statisticalUniformity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statUniformity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정확성 차원 (accuracy)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adq:AccuracyDimension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accuracy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다양성 차원 (diversity)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adq:DiversityDimension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diversity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준거 스키마 (conformsTo)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dct:conformsTo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conformsTo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형상 적합 (shape)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xsd:boolean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sh:conforms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shape</w:t>
            </w:r>
          </w:p>
        </w:tc>
      </w:tr>
    </w:tbl>
    <w:p/>
    <w:p>
      <w:pPr>
        <w:pStyle w:val="Heading1"/>
      </w:pPr>
      <w:r>
        <w:t>3. 코드·열거값 바인딩</w:t>
      </w:r>
    </w:p>
    <w:p>
      <w:r>
        <w:rPr>
          <w:rFonts w:ascii="맑은 고딕" w:hAnsi="맑은 고딕" w:eastAsia="맑은 고딕"/>
          <w:b w:val="0"/>
          <w:sz w:val="20"/>
        </w:rPr>
        <w:t>통제어휘(코드·열거)를 갖는 요소의 허용값 목록이다(정규 컬럼표의 “통제어휘 URI” 열). 부속서 B(SHACL)의 sh:in 제약으로 옮겨진다.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448"/>
        <w:gridCol w:w="6120"/>
      </w:tblGrid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요소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허용값 목록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어노테이션 타입</w:t>
              <w:br/>
              <w:t>(adq:annotationType)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Bbox · Seg</w:t>
            </w:r>
          </w:p>
        </w:tc>
      </w:tr>
    </w:tbl>
    <w:p/>
    <w:p>
      <w:pPr>
        <w:pStyle w:val="Heading1"/>
      </w:pPr>
      <w:r>
        <w:t>4. 단위 바인딩 (QUDT / UCUM)</w:t>
      </w:r>
    </w:p>
    <w:p>
      <w:r>
        <w:rPr>
          <w:rFonts w:ascii="맑은 고딕" w:hAnsi="맑은 고딕" w:eastAsia="맑은 고딕"/>
          <w:b w:val="0"/>
          <w:sz w:val="20"/>
        </w:rPr>
        <w:t>이 표준은 측정값 단위를 규정하지 않는다(단위 부속서 없음).</w:t>
      </w:r>
    </w:p>
    <w:p>
      <w:pPr>
        <w:pStyle w:val="Heading1"/>
      </w:pPr>
      <w:r>
        <w:t>5. 값 제약 (필수·카디널리티·값범위)</w:t>
      </w:r>
    </w:p>
    <w:p>
      <w:r>
        <w:rPr>
          <w:rFonts w:ascii="맑은 고딕" w:hAnsi="맑은 고딕" w:eastAsia="맑은 고딕"/>
          <w:b w:val="0"/>
          <w:sz w:val="20"/>
        </w:rPr>
        <w:t>각 요소의 필수여부(M/R/O)와 카디널리티는 표준초안 요소정의표에서 확정된 값이며, 부속서 B의 sh:minCount·sh:maxCount로 옮겨진다.</w:t>
      </w:r>
    </w:p>
    <w:p>
      <w:r>
        <w:rPr>
          <w:rFonts w:ascii="맑은 고딕" w:hAnsi="맑은 고딕" w:eastAsia="맑은 고딕"/>
          <w:b/>
          <w:sz w:val="18"/>
        </w:rPr>
        <w:t xml:space="preserve">필수의 범위(scope)는 소속 객체 기준이다. </w:t>
      </w:r>
      <w:r>
        <w:rPr>
          <w:rFonts w:ascii="맑은 고딕" w:hAnsi="맑은 고딕" w:eastAsia="맑은 고딕"/>
          <w:b w:val="0"/>
          <w:sz w:val="18"/>
        </w:rPr>
        <w:t>예컨대 파라미터 이름·값은 “파라미터가 존재하면 반드시”라는 뜻의 M이며, 이는 SHACL의 해당 객체 형상(NodeShape) 안 sh:minCount로 표현된다.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880"/>
        <w:gridCol w:w="720"/>
        <w:gridCol w:w="1296"/>
        <w:gridCol w:w="3672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요소명 (국문 · 영문)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필수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카디널리티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→ SHACL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데이터세트 식별자 (datasetId)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생성일 (created)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배포본 (distribution)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0..n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어노테이션 참조 (annotations)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0..n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속성 (attributes)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0..n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라벨 (label)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어노테이션 유형 (type)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크기 (size)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품질 측정 (hasQualityMeasurement)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1..n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품질 차원 (hasDimension)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측정 대상 (isMeasurementOf)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측정값 (value)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구문 정확성 (syntaxAccuracy)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통계 충분성 (statSufficiency)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통계 균일성 (statUniformity)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정확성 차원 (accuracy)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다양성 차원 (diversity)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준거 스키마 (conformsTo)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형상 적합 (shape)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 xml:space="preserve">값범위 제약(원 표준 유래). </w:t>
      </w:r>
      <w:r>
        <w:rPr>
          <w:rFonts w:ascii="맑은 고딕" w:hAnsi="맑은 고딕" w:eastAsia="맑은 고딕"/>
          <w:b w:val="0"/>
          <w:sz w:val="18"/>
        </w:rPr>
        <w:t>부속서 B의 검증 메시지로 반영된다.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592"/>
        <w:gridCol w:w="5976"/>
      </w:tblGrid>
      <w:tr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적용 대상</w:t>
            </w:r>
          </w:p>
        </w:tc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값범위 · 유효 조건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어노테이션 타입</w:t>
            </w:r>
          </w:p>
        </w:tc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type은 Bbox·Seg 중 하나여야 함(유효값 오류)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이미지 높이</w:t>
            </w:r>
          </w:p>
        </w:tc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size(height)는 200~400 범위(유효 범위 오류)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이미지 너비</w:t>
            </w:r>
          </w:p>
        </w:tc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size(width)는 300~600 범위(유효 범위 오류)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dqv:value</w:t>
            </w:r>
          </w:p>
        </w:tc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구문 정확성은 0.99(99%) 이상이어야 함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0"/>
        </w:rPr>
        <w:t>값 범위·형식·단위는 요소 정의표의 ⑨ 길이·⑩ 값 범위/허용값·⑪ 단위 칸에서 확정되며, 부속서 B의 다음 facet으로 옮겨진다. 이 대응을 적어 두지 않으면 표에서 부속서를 다시 생성할 때 해당 제약이 출력되지 못하고 사라진다.</w:t>
      </w:r>
    </w:p>
    <w:p>
      <w:r>
        <w:rPr>
          <w:rFonts w:ascii="맑은 고딕" w:hAnsi="맑은 고딕" w:eastAsia="맑은 고딕"/>
          <w:b w:val="0"/>
          <w:sz w:val="20"/>
        </w:rPr>
        <w:t>⑩ 값 범위(수치 상·하한) → sh:minInclusive · sh:maxInclusive</w:t>
      </w:r>
    </w:p>
    <w:p>
      <w:r>
        <w:rPr>
          <w:rFonts w:ascii="맑은 고딕" w:hAnsi="맑은 고딕" w:eastAsia="맑은 고딕"/>
          <w:b w:val="0"/>
          <w:sz w:val="20"/>
        </w:rPr>
        <w:t>⑩ 허용값(열거) → sh:in</w:t>
      </w:r>
    </w:p>
    <w:p>
      <w:r>
        <w:rPr>
          <w:rFonts w:ascii="맑은 고딕" w:hAnsi="맑은 고딕" w:eastAsia="맑은 고딕"/>
          <w:b w:val="0"/>
          <w:sz w:val="20"/>
        </w:rPr>
        <w:t>⑨ 길이·형식(자릿수·정규식) → sh:pattern (길이만 제한하면 sh:minLength · sh:maxLength)</w:t>
      </w:r>
    </w:p>
    <w:p>
      <w:r>
        <w:rPr>
          <w:rFonts w:ascii="맑은 고딕" w:hAnsi="맑은 고딕" w:eastAsia="맑은 고딕"/>
          <w:b w:val="0"/>
          <w:sz w:val="20"/>
        </w:rPr>
        <w:t>⑪ 단위를 하나로 고정 → sh:hasValue</w:t>
      </w:r>
    </w:p>
    <w:p>
      <w:r>
        <w:rPr>
          <w:rFonts w:ascii="맑은 고딕" w:hAnsi="맑은 고딕" w:eastAsia="맑은 고딕"/>
          <w:b w:val="0"/>
          <w:sz w:val="20"/>
        </w:rPr>
        <w:t>⑪ 원 표준이 단위를 복수 허용 → sh:in 으로 허용 단위를 열거하고, 단위마다 범위가 다르면 (단위, 범위) 짝을 sh:or 로 나열한다. 단위를 임의로 하나만 고르면 원 표준을 좁히게 된다.</w:t>
      </w:r>
    </w:p>
    <w:p>
      <w:r>
        <w:rPr>
          <w:rFonts w:ascii="맑은 고딕" w:hAnsi="맑은 고딕" w:eastAsia="맑은 고딕"/>
          <w:b w:val="0"/>
          <w:sz w:val="20"/>
        </w:rPr>
        <w:t>형상 전체에 걸리는 규칙(택일·닫힘·특정 노드 대상) → sh:or · sh:closed · sh:targetNode. 요소 하나에 대응하지 않으므로 요소 정의표가 아니라 이 절에 적는다.</w:t>
      </w:r>
    </w:p>
    <w:p>
      <w:r>
        <w:rPr>
          <w:rFonts w:ascii="맑은 고딕" w:hAnsi="맑은 고딕" w:eastAsia="맑은 고딕"/>
          <w:b w:val="0"/>
          <w:sz w:val="20"/>
        </w:rPr>
        <w:t>이 표준에서는 이미지 크기 허용범위(height 200~400 · width 300~600)와 구문 정확성 품질목표(99% 이상 → dqv:value 0.99~1.0)가 여기에 해당한다. 품질목표는 요소가 아니라 데이터세트 단위 규칙이므로 sh:targetNode 로 해당 노드에 직접 건다 — targetNode가 없으면 그 형상은 어떤 노드에도 걸리지 않아 검증에서 통째로 빠진다.</w:t>
      </w:r>
    </w:p>
    <w:p>
      <w:pPr>
        <w:pStyle w:val="Heading1"/>
      </w:pPr>
      <w:r>
        <w:t>6. 요소 이력 (도입 / 폐기 버전)</w:t>
      </w:r>
    </w:p>
    <w:p>
      <w:r>
        <w:rPr>
          <w:rFonts w:ascii="맑은 고딕" w:hAnsi="맑은 고딕" w:eastAsia="맑은 고딕"/>
          <w:b/>
          <w:sz w:val="20"/>
        </w:rPr>
        <w:t xml:space="preserve">살아있는 표준(living standard)을 위해 요소별 도입·폐기 버전을 관리한다. </w:t>
      </w:r>
      <w:r>
        <w:rPr>
          <w:rFonts w:ascii="맑은 고딕" w:hAnsi="맑은 고딕" w:eastAsia="맑은 고딕"/>
          <w:b w:val="0"/>
          <w:sz w:val="20"/>
        </w:rPr>
        <w:t>이번 AI-Ready 개정에서 위 전체 요소의 어휘 바인딩(⑭~⑯)이 신규 도입된다(도입 = 현행 개정). 폐기 요소는 없다. 향후 요소를 추가·폐기할 때 이 절에 버전과 사유를 기록하고, 폐기 요소는 삭제하지 않고 폐기 표시로 남겨 하위 호환을 유지한다.</w:t>
      </w:r>
    </w:p>
    <w:p>
      <w:r>
        <w:rPr>
          <w:rFonts w:ascii="맑은 고딕" w:hAnsi="맑은 고딕" w:eastAsia="맑은 고딕"/>
          <w:b/>
          <w:color w:val="305080"/>
          <w:sz w:val="22"/>
        </w:rPr>
        <w:t>── Part B · 데이터세트 수준 구성요소 설계 (→ 부속서 C) ──</w:t>
      </w:r>
    </w:p>
    <w:p>
      <w:r>
        <w:rPr>
          <w:rFonts w:ascii="맑은 고딕" w:hAnsi="맑은 고딕" w:eastAsia="맑은 고딕"/>
          <w:b w:val="0"/>
          <w:sz w:val="20"/>
        </w:rPr>
        <w:t>아래 구성요소는 개별 데이터 요소가 아니라 데이터세트 전체의 계보·품질·운영·이용조건을 다룬다. 각 구성요소 표준(PROV-O·DQV·Croissant·ODRL)의 어휘로 설계하며, 데이터 요소를 참조할 때는 Part A(§2)의 IRI를 쓴다.</w:t>
      </w:r>
    </w:p>
    <w:p>
      <w:pPr>
        <w:pStyle w:val="Heading1"/>
      </w:pPr>
      <w:r>
        <w:t>7. 품질 프로파일 설계 (DQV → 부속서 C)</w:t>
      </w:r>
    </w:p>
    <w:p>
      <w:r>
        <w:rPr>
          <w:rFonts w:ascii="맑은 고딕" w:hAnsi="맑은 고딕" w:eastAsia="맑은 고딕"/>
          <w:b w:val="0"/>
          <w:sz w:val="20"/>
        </w:rPr>
        <w:t>품질을 dqv:QualityMeasurement로 형식화하고, 각 측정을 품질 차원(ISO/IEC 5259-2 정렬)에 연결한다.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736"/>
        <w:gridCol w:w="1512"/>
        <w:gridCol w:w="4320"/>
      </w:tblGrid>
      <w:tr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품질 차원 (isMeasurementOf)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예시 측정값 (부속서 C)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설명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syntacticAccuracyRate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0.95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제공 10,000건 중 오류 500건 → 0.95 (품질목표 0.99 미달, 재수행 필요)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classCoverage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총 분류체계 7종, 각 클래스 인스턴스 수량 확보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classBalanceIndex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0.86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위반유형 7종 분포 10~17.5% → 균형 지수 0.86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diversityScore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0.82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 xml:space="preserve">근거. </w:t>
      </w:r>
      <w:r>
        <w:rPr>
          <w:rFonts w:ascii="맑은 고딕" w:hAnsi="맑은 고딕" w:eastAsia="맑은 고딕"/>
          <w:b w:val="0"/>
          <w:sz w:val="18"/>
        </w:rPr>
        <w:t>이 설계는 §2의 품질 요소 — 품질 측정(hasQualityMeasurement), 품질 차원(hasDimension), 측정 대상(isMeasurementOf), 측정값(value), 구문 정확성(syntaxAccuracy), 통계 충분성(statSufficiency), 통계 균일성(statUniformity), 정확성 차원(accuracy), 다양성 차원(diversity) — 를 DQV 측정으로 형식화하고 ISO/IEC 5259-2 차원에 정렬한 것이다. “예시 측정값”은 부속서 C의 예시 데이터세트 측정치이며 표준이 특정 수치를 규정하지 않는다.</w:t>
      </w:r>
    </w:p>
    <w:p>
      <w:r>
        <w:rPr>
          <w:rFonts w:ascii="맑은 고딕" w:hAnsi="맑은 고딕" w:eastAsia="맑은 고딕"/>
          <w:b/>
          <w:color w:val="305080"/>
          <w:sz w:val="22"/>
        </w:rPr>
        <w:t>── Part C · 부속서 대응 ──</w:t>
      </w:r>
    </w:p>
    <w:p>
      <w:pPr>
        <w:pStyle w:val="Heading1"/>
      </w:pPr>
      <w:r>
        <w:t>8. 부속서와 이 명세의 대응</w:t>
      </w:r>
    </w:p>
    <w:p>
      <w:r>
        <w:rPr>
          <w:rFonts w:ascii="맑은 고딕" w:hAnsi="맑은 고딕" w:eastAsia="맑은 고딕"/>
          <w:b w:val="0"/>
          <w:sz w:val="20"/>
        </w:rPr>
        <w:t>이 표준의 각 부속서가 이 명세의 어느 부분에서 나오는지 정리한다. 이제 모든 기계가독 부속서가 이 한 문서에 근거를 둔다.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3024"/>
        <w:gridCol w:w="5544"/>
      </w:tblGrid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부속서</w:t>
            </w:r>
          </w:p>
        </w:tc>
        <w:tc>
          <w:tcPr>
            <w:tcW w:type="dxa" w:w="554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이 명세의 근거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 · JSON-LD @context</w:t>
            </w:r>
          </w:p>
        </w:tc>
        <w:tc>
          <w:tcPr>
            <w:tcW w:type="dxa" w:w="554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§1 네임스페이스 · §2 어휘 IRI 매핑·직렬화 키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C · SHACL 형상</w:t>
            </w:r>
          </w:p>
        </w:tc>
        <w:tc>
          <w:tcPr>
            <w:tcW w:type="dxa" w:w="554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§3 코드·열거값 · §5 필수·카디널리티·값범위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E · DQV 품질 프로파일</w:t>
            </w:r>
          </w:p>
        </w:tc>
        <w:tc>
          <w:tcPr>
            <w:tcW w:type="dxa" w:w="554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Part B 품질 프로파일 설계 (+ §2의 품질 측정, 품질 차원, 측정 대상 요소 참조)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7"/>
        </w:rPr>
        <w:t>※ 4절 요소 정의표(본문)(요소 정의표)는 이 명세의 결과가 아니라 입력이다 — 에디터가 작성한 표준초안 4절이 출발점이다.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