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정보통신단체표준(국문표준)</w:t>
      </w:r>
    </w:p>
    <w:p>
      <w:pPr>
        <w:jc w:val="center"/>
      </w:pPr>
      <w:r>
        <w:rPr>
          <w:rFonts w:ascii="맑은 고딕" w:hAnsi="맑은 고딕" w:eastAsia="맑은 고딕"/>
          <w:b/>
          <w:sz w:val="26"/>
        </w:rPr>
        <w:t>TTAK.KO-10.0976</w:t>
      </w:r>
    </w:p>
    <w:p/>
    <w:p>
      <w:pPr>
        <w:jc w:val="center"/>
      </w:pPr>
      <w:r>
        <w:rPr>
          <w:rFonts w:ascii="맑은 고딕" w:hAnsi="맑은 고딕" w:eastAsia="맑은 고딕"/>
          <w:b/>
          <w:sz w:val="34"/>
        </w:rPr>
        <w:t>연구데이터 관리 및 공유를 위한 메타데이터</w:t>
      </w:r>
    </w:p>
    <w:p>
      <w:pPr>
        <w:jc w:val="center"/>
      </w:pPr>
      <w:r>
        <w:rPr>
          <w:rFonts w:ascii="맑은 고딕" w:hAnsi="맑은 고딕" w:eastAsia="맑은 고딕"/>
          <w:b w:val="0"/>
          <w:color w:val="444444"/>
          <w:sz w:val="22"/>
        </w:rPr>
        <w:t>AI-Ready 개정 표준초안 (개정부 중심)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777777"/>
          <w:sz w:val="18"/>
        </w:rPr>
        <w:t>제정 2017.03.30 · AI-Ready 개정 제안   ·   소관 PG606 (인공지능 기반기술)   ·   KISTI(한국과학기술정보연구원)</w:t>
      </w:r>
    </w:p>
    <w:p>
      <w:r>
        <w:br w:type="page"/>
      </w:r>
    </w:p>
    <w:p>
      <w:r>
        <w:rPr>
          <w:rFonts w:ascii="맑은 고딕" w:hAnsi="맑은 고딕" w:eastAsia="맑은 고딕"/>
          <w:b/>
          <w:sz w:val="18"/>
        </w:rPr>
        <w:t xml:space="preserve">※ 이 초안은 「AI-Ready 개정부 중심」으로 작성되었다. </w:t>
      </w:r>
      <w:r>
        <w:rPr>
          <w:rFonts w:ascii="맑은 고딕" w:hAnsi="맑은 고딕" w:eastAsia="맑은 고딕"/>
          <w:b w:val="0"/>
          <w:sz w:val="18"/>
        </w:rPr>
        <w:t>기존 표준의 도메인 본문(적용범위·용어·기존 요소 상세)은 원 표준을 계승·요약 참조하고, AI-Ready 개정으로 새로 추가·강화되는 부분 — 인용표준 보강(2절)·요소 정의표의 전역 어휘 식별자(4절)·기계가독 부속서(5절) — 을 실제로 채웠다. 절 번호는 「정보통신단체표준 작성지침(TTAR-09.0040)」 및 그 AI-Ready 개정안(6.5.3·6.5.7·6.6)을 따른다.</w:t>
      </w:r>
    </w:p>
    <w:p/>
    <w:p>
      <w:pPr>
        <w:pStyle w:val="Heading1"/>
      </w:pPr>
      <w:r>
        <w:t>서문</w:t>
      </w:r>
    </w:p>
    <w:p>
      <w:r>
        <w:rPr>
          <w:rFonts w:ascii="맑은 고딕" w:hAnsi="맑은 고딕" w:eastAsia="맑은 고딕"/>
          <w:b w:val="0"/>
          <w:sz w:val="20"/>
        </w:rPr>
        <w:t>이 표준은 「연구데이터 관리 및 공유를 위한 메타데이터」의 개정판이다. 원 표준(제정 2017.03.30)의 적용범위와 데이터 구조를 계승하되, 데이터를 사람과 기계가 함께 읽을 수 있도록 각 데이터 요소의 의미를 전역 어휘 식별자(IRI)에 매핑하고, 그 매핑을 JSON-LD @context로 배포하며, 값 제약·출처·이용조건을 기계가독 부속서로 제공한다. 이로써 이 표준을 따르는 데이터는 별도 해석 없이 상호운용·검증·재이용이 가능해진다.</w:t>
      </w:r>
    </w:p>
    <w:p>
      <w:r>
        <w:rPr>
          <w:rFonts w:ascii="맑은 고딕" w:hAnsi="맑은 고딕" w:eastAsia="맑은 고딕"/>
          <w:b/>
          <w:sz w:val="20"/>
        </w:rPr>
        <w:t xml:space="preserve">AI-Ready 목표 수준 — </w:t>
      </w:r>
      <w:r>
        <w:rPr>
          <w:rFonts w:ascii="맑은 고딕" w:hAnsi="맑은 고딕" w:eastAsia="맑은 고딕"/>
          <w:b w:val="0"/>
          <w:sz w:val="20"/>
        </w:rPr>
        <w:t xml:space="preserve">① 지식정보 (연구데이터 카탈로그) · 필수 시맨틱 · 신태틱 (= L1) · 권장 + 데이터 모델 · 출처 · 접근. </w:t>
      </w:r>
      <w:r>
        <w:rPr>
          <w:rFonts w:ascii="맑은 고딕" w:hAnsi="맑은 고딕" w:eastAsia="맑은 고딕"/>
          <w:b w:val="0"/>
          <w:sz w:val="20"/>
        </w:rPr>
        <w:t>(근거: 첨부 「AI-Ready 선언」 및 「자가점검표」)</w:t>
      </w:r>
    </w:p>
    <w:p>
      <w:pPr>
        <w:pStyle w:val="Heading1"/>
      </w:pPr>
      <w:r>
        <w:t>1. 적용범위</w:t>
      </w:r>
    </w:p>
    <w:p>
      <w:r>
        <w:rPr>
          <w:rFonts w:ascii="맑은 고딕" w:hAnsi="맑은 고딕" w:eastAsia="맑은 고딕"/>
          <w:b w:val="0"/>
          <w:sz w:val="20"/>
        </w:rPr>
        <w:t>이 표준은 「연구데이터 관리 및 공유를 위한 메타데이터」이 규정하는 데이터의 요소·구조·값 형식을 계승하며(원 표준 1절 참조), 그 데이터 요소를 전역 어휘에 매핑하여 기계가독 형식으로 배포하기 위한 요소 정의·인용표준·부속서 구성을 규정한다. 원 표준의 도메인 규정은 변경 없이 유지되고, 이 개정은 그 위에 기계가독 계층을 더한다.</w:t>
      </w:r>
    </w:p>
    <w:p>
      <w:pPr>
        <w:pStyle w:val="Heading1"/>
      </w:pPr>
      <w:r>
        <w:t>2. 인용표준</w:t>
      </w:r>
    </w:p>
    <w:p>
      <w:r>
        <w:rPr>
          <w:rFonts w:ascii="맑은 고딕" w:hAnsi="맑은 고딕" w:eastAsia="맑은 고딕"/>
          <w:b w:val="0"/>
          <w:sz w:val="20"/>
        </w:rPr>
        <w:t>다음 표준·어휘는 이 표준의 적용에 필수적이며, 본문에서 인용되는 범위에서 이 표준의 일부를 구성한다. (AI-Ready 개정으로 새로 등재 — 종전에는 일부가 참고문헌에 있었으나, 요소 의미가 규범적으로 이 어휘들에 의존하므로 인용표준으로 승격한다.)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600"/>
        <w:gridCol w:w="1512"/>
        <w:gridCol w:w="3456"/>
      </w:tblGrid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인용표준 · 어휘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출처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 표준에서의 용도(접두어)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DCMI Metadata Terms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DCMI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dct: 식별자·제목·생성자·발행처·권리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Data Catalog Vocabulary (DCAT) 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dcat: 카탈로그·데이터셋·배포본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DataCite Metadata Schema 4.x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DataCite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datacite: 식별자체계·제목유형·일자유형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PROV-O: The PROV Ontology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prov: 데이터 생성 내력(권장)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SKOS Simple Knowledge Organization System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skos: 주제 분류체계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ODRL Information Model 2.2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odrl: 이용정책(권장)</w:t>
            </w:r>
          </w:p>
        </w:tc>
      </w:tr>
    </w:tbl>
    <w:p/>
    <w:p>
      <w:pPr>
        <w:pStyle w:val="Heading1"/>
      </w:pPr>
      <w:r>
        <w:t>3. 용어, 정의 및 약어</w:t>
      </w:r>
    </w:p>
    <w:p>
      <w:r>
        <w:rPr>
          <w:rFonts w:ascii="맑은 고딕" w:hAnsi="맑은 고딕" w:eastAsia="맑은 고딕"/>
          <w:b w:val="0"/>
          <w:sz w:val="20"/>
        </w:rPr>
        <w:t>원 표준의 용어·정의를 계승한다(원 표준 3절 참조). AI-Ready 개정으로 다음 용어를 추가한다.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용어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정의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전역 어휘 식별자(IRI)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요소의 의미를 전 세계적으로 유일하게 가리키는 식별자. 이 표준은 각 요소를 하나의 IRI에 매핑한다.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@context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 키를 IRI에 연결하는 JSON-LD 규범 매핑 파일. 부속서 A로 배포한다.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프로파일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데이터의 성격에 따른 AI-Ready 적용 유형(① 지식정보 / ② 자기기술형 레코드 / ③ AI 데이터세트 / ④ 품질 지표).</w:t>
            </w:r>
          </w:p>
        </w:tc>
      </w:tr>
    </w:tbl>
    <w:p/>
    <w:p>
      <w:pPr>
        <w:pStyle w:val="Heading1"/>
      </w:pPr>
      <w:r>
        <w:t>4. 데이터 요소 정의 (정규 컬럼표)</w:t>
      </w:r>
    </w:p>
    <w:p>
      <w:r>
        <w:rPr>
          <w:rFonts w:ascii="맑은 고딕" w:hAnsi="맑은 고딕" w:eastAsia="맑은 고딕"/>
          <w:b/>
          <w:sz w:val="20"/>
        </w:rPr>
        <w:t xml:space="preserve">이 절이 AI-Ready 개정의 핵심이며, 이후 모든 기계가독 부속서가 파생되는 원천이다. </w:t>
      </w:r>
      <w:r>
        <w:rPr>
          <w:rFonts w:ascii="맑은 고딕" w:hAnsi="맑은 고딕" w:eastAsia="맑은 고딕"/>
          <w:b w:val="0"/>
          <w:sz w:val="20"/>
        </w:rPr>
        <w:t>원 표준이 정의한 데이터 요소 26개 전체를 작성지침 6.5.7 정규 컬럼표로 규정한다. 필수여부(M 필수/R 권장/O 선택)·카디널리티(반복)·데이터 유형·단위는 도메인 지식으로 표준 작성 담당자(에디터)가 채우고, 맨 오른쪽 어휘 IRI 열은 어휘 전문가(공동 에디터)가 매핑한다.</w:t>
      </w:r>
    </w:p>
    <w:p>
      <w:r>
        <w:rPr>
          <w:rFonts w:ascii="맑은 고딕" w:hAnsi="맑은 고딕" w:eastAsia="맑은 고딕"/>
          <w:b/>
          <w:sz w:val="18"/>
        </w:rPr>
        <w:t xml:space="preserve">부속서는 이 표에서 파생된다 — </w:t>
      </w:r>
      <w:r>
        <w:rPr>
          <w:rFonts w:ascii="맑은 고딕" w:hAnsi="맑은 고딕" w:eastAsia="맑은 고딕"/>
          <w:b w:val="0"/>
          <w:sz w:val="18"/>
        </w:rPr>
        <w:t>단, 어휘 IRI 매핑·코드 바인딩·단위 결합은 공동 에디터가 「AI-Ready 어휘 바인딩 명세」(문서 ③)에서 확정하며, 그 명세를 거쳐 필수·카디널리티는 부속서 B(SHACL)의 sh:minCount·sh:maxCount로, 단위는 단위 부속서(미작성)로, 어휘 IRI·직렬화 키는 부속서 A(@context)로 기계 생성된다. (이 표준 필수 M 5개 · 권장 R 6개)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900"/>
        <w:gridCol w:w="460"/>
        <w:gridCol w:w="560"/>
        <w:gridCol w:w="1080"/>
        <w:gridCol w:w="560"/>
        <w:gridCol w:w="1908"/>
        <w:gridCol w:w="900"/>
        <w:gridCol w:w="1200"/>
      </w:tblGrid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필수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반복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데이터 유형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길이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값 범위 / 허용값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단위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어휘 IRI (공동 에디터)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컬렉션</w:t>
              <w:br/>
              <w:t>(Collection)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dctype:Collection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데이터셋</w:t>
              <w:br/>
              <w:t>(Dataset)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dcat:Dataset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파일(배포본)</w:t>
              <w:br/>
              <w:t>(File)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dcat:Distribution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리포지터리</w:t>
              <w:br/>
              <w:t>(Repository)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dcat:Catalog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 포함</w:t>
              <w:br/>
              <w:t>(hasPart)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dct:hasPart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상위 소속</w:t>
              <w:br/>
              <w:t>(isPartOf)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dct:isPartOf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식별자</w:t>
              <w:br/>
              <w:t>(Identifier)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dct:identifier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식별자 체계</w:t>
              <w:br/>
              <w:t>(IdentifierType)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datacite:usesIdentifierScheme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제목</w:t>
              <w:br/>
              <w:t>(Title)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dct:title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제목 유형</w:t>
              <w:br/>
              <w:t>(TitleType)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datacite:hasTitleType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생성자</w:t>
              <w:br/>
              <w:t>(Creator)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dct:creator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발행처</w:t>
              <w:br/>
              <w:t>(Publisher)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dct:publisher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발행연도</w:t>
              <w:br/>
              <w:t>(PublicationYear)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xsd:gYear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dct:issued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일자</w:t>
              <w:br/>
              <w:t>(Date)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dct:date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일자 유형</w:t>
              <w:br/>
              <w:t>(DateType)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datacite:hasDateType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설명</w:t>
              <w:br/>
              <w:t>(Description)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dct:description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주제</w:t>
              <w:br/>
              <w:t>(Subject)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dct:subject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주제 분류체계</w:t>
              <w:br/>
              <w:t>(SubjectScheme)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skos:inScheme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기여자</w:t>
              <w:br/>
              <w:t>(Contributor)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dct:contributor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연락처</w:t>
              <w:br/>
              <w:t>(Contact)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dcat:contactPoint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권리</w:t>
              <w:br/>
              <w:t>(Rights)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dct:rights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키워드</w:t>
              <w:br/>
              <w:t>(Keyword)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dcat:keyword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접근 유형</w:t>
              <w:br/>
              <w:t>(AccessType)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open · closed · embargoed · restricted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dcat:accessRights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접근 제한</w:t>
              <w:br/>
              <w:t>(AccessRestriction)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dct:accessRights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라이선스</w:t>
              <w:br/>
              <w:t>(License)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dct:license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 활동</w:t>
              <w:br/>
              <w:t>(wasGeneratedBy)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prov:wasGeneratedBy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6"/>
        </w:rPr>
        <w:t>※ 필수: M 필수·R 권장·O 선택(클래스는 —). 카디널리티: 1 정확히 하나·0..1 최대 하나·1..n 하나 이상·0..n 임의. 지면상 정규 컬럼 중 핵심 열만 표시했으며, 정의·Range·길이·허용값·예시·출처·통제어휘 URI·요소 이력은 작성지침 6.5.7 및 요소정의체계 설계안을 따른다. 요소 정의표(4절 요소 정의표(본문))와 @context(부속서 A)는 이 표와 1:1로 대응한다.</w:t>
      </w:r>
    </w:p>
    <w:p>
      <w:pPr>
        <w:pStyle w:val="Heading1"/>
      </w:pPr>
      <w:r>
        <w:t>5. 기계가독 표현 및 부속서</w:t>
      </w:r>
    </w:p>
    <w:p>
      <w:r>
        <w:rPr>
          <w:rFonts w:ascii="맑은 고딕" w:hAnsi="맑은 고딕" w:eastAsia="맑은 고딕"/>
          <w:b w:val="0"/>
          <w:sz w:val="20"/>
        </w:rPr>
        <w:t>이 표준을 따르는 데이터의 기계가독 표현은 다음 부속서로 제공한다. 별표(★)는 이 표준의 프로파일에서 필수 산출물이다.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6"/>
        <w:gridCol w:w="5256"/>
        <w:gridCol w:w="2016"/>
      </w:tblGrid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부속서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필수/권장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4절 요소 정의표(본문)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요소 정의표 — 4절 본문이며 부속서가 아니다(별도 파일 없음)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A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JSON-LD @context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B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SHACL 형상 (값 제약 검증)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C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PROV-O 출처 그래프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D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ODRL 이용정책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 xml:space="preserve">요소 정의표는 4절 본문이며 부속서가 아니다. 부속서는 모두 기계가독 파일로 부속서/ 폴더에 포함되며, 「정보통신단체표준 작성지침」 6.6에 따라 A부터 차례로 부여한다.</w:t>
      </w:r>
      <w:r>
        <w:rPr>
          <w:rFonts w:ascii="맑은 고딕" w:hAnsi="맑은 고딕" w:eastAsia="맑은 고딕"/>
          <w:b/>
          <w:sz w:val="18"/>
        </w:rPr>
        <w:t/>
      </w:r>
      <w:r>
        <w:rPr>
          <w:rFonts w:ascii="맑은 고딕" w:hAnsi="맑은 고딕" w:eastAsia="맑은 고딕"/>
          <w:b w:val="0"/>
          <w:sz w:val="18"/>
        </w:rPr>
        <w:t xml:space="preserve"> @context(부속서 A)는 4절 요소 정의표와 1:1로 대응한다.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