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sz w:val="40"/>
        </w:rPr>
        <w:t>AI-Ready 부속서 설계 명세</w:t>
      </w:r>
    </w:p>
    <w:p>
      <w:r>
        <w:rPr>
          <w:rFonts w:ascii="맑은 고딕" w:hAnsi="맑은 고딕" w:eastAsia="맑은 고딕"/>
          <w:b w:val="0"/>
          <w:color w:val="444444"/>
          <w:sz w:val="24"/>
        </w:rPr>
        <w:t>연구데이터 관리 및 공유를 위한 메타데이터</w:t>
      </w:r>
    </w:p>
    <w:p>
      <w:r>
        <w:rPr>
          <w:rFonts w:ascii="맑은 고딕" w:hAnsi="맑은 고딕" w:eastAsia="맑은 고딕"/>
          <w:b w:val="0"/>
          <w:color w:val="777777"/>
          <w:sz w:val="18"/>
        </w:rPr>
        <w:t>TTAK.KO-10.0976 · 공동 에디터(어휘 전문가) 작성 · v0.2</w:t>
      </w:r>
    </w:p>
    <w:p>
      <w:pPr>
        <w:pStyle w:val="Heading1"/>
      </w:pPr>
      <w:r>
        <w:t>0. 이 문서에 대하여</w:t>
      </w:r>
    </w:p>
    <w:p>
      <w:r>
        <w:rPr>
          <w:rFonts w:ascii="맑은 고딕" w:hAnsi="맑은 고딕" w:eastAsia="맑은 고딕"/>
          <w:b w:val="0"/>
          <w:sz w:val="20"/>
        </w:rPr>
        <w:t>이 문서는 표준 작성 담당자(에디터)가 완성한 「데이터 요소 정의표」(표준초안 4절, 도메인 컬럼 ①~⑬)를 받아, 어휘 전문가(공동 에디터)가 이 표준의 모든 기계가독 부속서를 설계한 결과다. 요소정의표가 “무엇을 규정하는가”라면, 이 명세는 “그것을 어느 전역 어휘·코드·단위·구성요소 그래프에 어떻게 묶는가”를 정한다.</w:t>
      </w:r>
    </w:p>
    <w:p>
      <w:r>
        <w:rPr>
          <w:rFonts w:ascii="맑은 고딕" w:hAnsi="맑은 고딕" w:eastAsia="맑은 고딕"/>
          <w:b/>
          <w:sz w:val="20"/>
        </w:rPr>
        <w:t xml:space="preserve">이 표준의 모든 부속서가 이 명세에서 나온다. </w:t>
      </w:r>
      <w:r>
        <w:rPr>
          <w:rFonts w:ascii="맑은 고딕" w:hAnsi="맑은 고딕" w:eastAsia="맑은 고딕"/>
          <w:b w:val="0"/>
          <w:sz w:val="20"/>
        </w:rPr>
        <w:t>Part A는 요소를 어휘에 묶어 부속서 A·B를 낳고, Part B는 데이터세트 수준의 출처·이용정책을 설계해 부속서 C·D를 낳는다. Part C는 그 대응을 정리한다.</w:t>
      </w:r>
    </w:p>
    <w:p>
      <w:r>
        <w:rPr>
          <w:rFonts w:ascii="맑은 고딕" w:hAnsi="맑은 고딕" w:eastAsia="맑은 고딕"/>
          <w:b/>
          <w:color w:val="305080"/>
          <w:sz w:val="22"/>
        </w:rPr>
        <w:t>── Part A · 요소 어휘 바인딩 (→ 부속서 A · B) ──</w:t>
      </w:r>
    </w:p>
    <w:p>
      <w:r>
        <w:rPr>
          <w:rFonts w:ascii="맑은 고딕" w:hAnsi="맑은 고딕" w:eastAsia="맑은 고딕"/>
          <w:b w:val="0"/>
          <w:sz w:val="18"/>
        </w:rPr>
        <w:t>이 부의 항목은 「요소정의체계 설계안」 정규 컬럼표에서 공동 에디터가 채우는 열 — 어휘 IRI·통제어휘 URI(코드값)·직렬화 키·요소 이력 — 에 대응한다. 에디터가 채운 도메인 컬럼(정의·필수·카디널리티 등)은 표준초안 4절에 있다.</w:t>
      </w:r>
    </w:p>
    <w:p>
      <w:pPr>
        <w:pStyle w:val="Heading1"/>
      </w:pPr>
      <w:r>
        <w:t>1. 네임스페이스 및 직렬화</w:t>
      </w:r>
    </w:p>
    <w:p>
      <w:r>
        <w:rPr>
          <w:rFonts w:ascii="맑은 고딕" w:hAnsi="맑은 고딕" w:eastAsia="맑은 고딕"/>
          <w:b w:val="0"/>
          <w:sz w:val="20"/>
        </w:rPr>
        <w:t>이 표준이 사용하는 전역 어휘의 네임스페이스와 접두어다. JSON-LD 직렬화 버전은 1.1이며, 각 요소의 직렬화 키(@context key)는 요소명(영문)을 그대로 쓴다.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728"/>
        <w:gridCol w:w="6840"/>
      </w:tblGrid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접두어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네임스페이스 IRI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dct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http://purl.org/dc/terms/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dcat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http://www.w3.org/ns/dcat#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dctype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http://purl.org/dc/dcmitype/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datacite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http://purl.org/spar/datacite/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prov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http://www.w3.org/ns/prov#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skos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http://www.w3.org/2004/02/skos/core#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foaf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http://xmlns.com/foaf/0.1/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xsd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http://www.w3.org/2001/XMLSchema#</w:t>
            </w:r>
          </w:p>
        </w:tc>
      </w:tr>
    </w:tbl>
    <w:p/>
    <w:p>
      <w:pPr>
        <w:pStyle w:val="Heading1"/>
      </w:pPr>
      <w:r>
        <w:t>2. 어휘 IRI 매핑</w:t>
      </w:r>
    </w:p>
    <w:p>
      <w:r>
        <w:rPr>
          <w:rFonts w:ascii="맑은 고딕" w:hAnsi="맑은 고딕" w:eastAsia="맑은 고딕"/>
          <w:b w:val="0"/>
          <w:sz w:val="20"/>
        </w:rPr>
        <w:t>각 요소를 그 의미를 규정하는 전역 어휘 IRI에 매핑한다(정규 컬럼표의 “어휘 IRI” 열, 시맨틱 L1의 핵심). 이 표가 부속서 A(@context)의 요소↔IRI 바인딩으로 그대로 옮겨진다.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808"/>
        <w:gridCol w:w="1512"/>
        <w:gridCol w:w="2160"/>
        <w:gridCol w:w="2088"/>
      </w:tblGrid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요소명 (국문 · 영문)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데이터 유형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어휘 IRI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직렬화 키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컬렉션 (Collection)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클래스(객체)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dctype:Collection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Collection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데이터셋 (Dataset)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클래스(객체)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dcat:Dataset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Dataset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파일(배포본) (File)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클래스(객체)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dcat:Distribution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File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리포지터리 (Repository)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클래스(객체)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dcat:Catalog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Repository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부분 포함 (hasPart)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dct:hasPart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hasPart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상위 소속 (isPartOf)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dct:isPartOf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isPartOf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식별자 (Identifier)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dct:identifier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Identifier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식별자 체계 (IdentifierType)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열거(코드)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datacite:usesIdentifierScheme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IdentifierType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제목 (Title)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dct:title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Title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제목 유형 (TitleType)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열거(코드)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datacite:hasTitleType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TitleType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생성자 (Creator)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dct:creator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Creator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발행처 (Publisher)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dct:publisher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Publisher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발행연도 (PublicationYear)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xsd:gYear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dct:issued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PublicationYear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일자 (Date)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xsd:date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dct:date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Date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일자 유형 (DateType)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열거(코드)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datacite:hasDateType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DateType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설명 (Description)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dct:description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Description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주제 (Subject)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dct:subject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Subject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주제 분류체계 (SubjectScheme)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skos:inScheme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SubjectScheme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기여자 (Contributor)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dct:contributor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Contributor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연락처 (Contact)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dcat:contactPoint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Contact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권리 (Rights)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dct:rights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Rights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키워드 (Keyword)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dcat:keyword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Keyword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접근 유형 (AccessType)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열거(코드)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dcat:accessRights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AccessType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접근 제한 (AccessRestriction)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dct:accessRights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AccessRestriction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라이선스 (License)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dct:license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License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생성 활동 (wasGeneratedBy)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prov:wasGeneratedBy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wasGeneratedBy</w:t>
            </w:r>
          </w:p>
        </w:tc>
      </w:tr>
    </w:tbl>
    <w:p/>
    <w:p>
      <w:pPr>
        <w:pStyle w:val="Heading1"/>
      </w:pPr>
      <w:r>
        <w:t>3. 코드·열거값 바인딩</w:t>
      </w:r>
    </w:p>
    <w:p>
      <w:r>
        <w:rPr>
          <w:rFonts w:ascii="맑은 고딕" w:hAnsi="맑은 고딕" w:eastAsia="맑은 고딕"/>
          <w:b w:val="0"/>
          <w:sz w:val="20"/>
        </w:rPr>
        <w:t>통제어휘(코드·열거)를 갖는 요소의 허용값 목록이다(정규 컬럼표의 “통제어휘 URI” 열). 부속서 B(SHACL)의 sh:in 제약으로 옮겨진다.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448"/>
        <w:gridCol w:w="6120"/>
      </w:tblGrid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요소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허용값 목록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접근유형</w:t>
              <w:br/>
              <w:t>(dcat:accessRights)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open · closed · embargoed · restricted</w:t>
            </w:r>
          </w:p>
        </w:tc>
      </w:tr>
    </w:tbl>
    <w:p/>
    <w:p>
      <w:pPr>
        <w:pStyle w:val="Heading1"/>
      </w:pPr>
      <w:r>
        <w:t>4. 단위 바인딩 (QUDT / UCUM)</w:t>
      </w:r>
    </w:p>
    <w:p>
      <w:r>
        <w:rPr>
          <w:rFonts w:ascii="맑은 고딕" w:hAnsi="맑은 고딕" w:eastAsia="맑은 고딕"/>
          <w:b w:val="0"/>
          <w:sz w:val="20"/>
        </w:rPr>
        <w:t>이 표준은 측정값 단위를 규정하지 않는다(단위 부속서 없음).</w:t>
      </w:r>
    </w:p>
    <w:p>
      <w:pPr>
        <w:pStyle w:val="Heading1"/>
      </w:pPr>
      <w:r>
        <w:t>5. 값 제약 (필수·카디널리티·값범위)</w:t>
      </w:r>
    </w:p>
    <w:p>
      <w:r>
        <w:rPr>
          <w:rFonts w:ascii="맑은 고딕" w:hAnsi="맑은 고딕" w:eastAsia="맑은 고딕"/>
          <w:b w:val="0"/>
          <w:sz w:val="20"/>
        </w:rPr>
        <w:t>각 요소의 필수여부(M/R/O)와 카디널리티는 표준초안 요소정의표에서 확정된 값이며, 부속서 B의 sh:minCount·sh:maxCount로 옮겨진다.</w:t>
      </w:r>
    </w:p>
    <w:p>
      <w:r>
        <w:rPr>
          <w:rFonts w:ascii="맑은 고딕" w:hAnsi="맑은 고딕" w:eastAsia="맑은 고딕"/>
          <w:b/>
          <w:sz w:val="18"/>
        </w:rPr>
        <w:t xml:space="preserve">필수의 범위(scope)는 소속 객체 기준이다. </w:t>
      </w:r>
      <w:r>
        <w:rPr>
          <w:rFonts w:ascii="맑은 고딕" w:hAnsi="맑은 고딕" w:eastAsia="맑은 고딕"/>
          <w:b w:val="0"/>
          <w:sz w:val="18"/>
        </w:rPr>
        <w:t>예컨대 파라미터 이름·값은 “파라미터가 존재하면 반드시”라는 뜻의 M이며, 이는 SHACL의 해당 객체 형상(NodeShape) 안 sh:minCount로 표현된다.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880"/>
        <w:gridCol w:w="720"/>
        <w:gridCol w:w="1296"/>
        <w:gridCol w:w="3672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요소명 (국문 · 영문)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필수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카디널리티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→ SHACL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부분 포함 (hasPart)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0..n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상위 소속 (isPartOf)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식별자 (Identifier)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식별자 체계 (IdentifierType)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제목 (Title)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제목 유형 (TitleType)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생성자 (Creator)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1..n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발행처 (Publisher)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발행연도 (PublicationYear)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일자 (Date)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0..n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일자 유형 (DateType)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설명 (Description)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주제 (Subject)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0..n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주제 분류체계 (SubjectScheme)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기여자 (Contributor)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0..n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연락처 (Contact)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0..n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권리 (Rights)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0..n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키워드 (Keyword)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0..n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접근 유형 (AccessType)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접근 제한 (AccessRestriction)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라이선스 (License)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생성 활동 (wasGeneratedBy)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</w:tbl>
    <w:p/>
    <w:p>
      <w:r>
        <w:rPr>
          <w:rFonts w:ascii="맑은 고딕" w:hAnsi="맑은 고딕" w:eastAsia="맑은 고딕"/>
          <w:b/>
          <w:sz w:val="18"/>
        </w:rPr>
        <w:t xml:space="preserve">값범위 제약(원 표준 유래). </w:t>
      </w:r>
      <w:r>
        <w:rPr>
          <w:rFonts w:ascii="맑은 고딕" w:hAnsi="맑은 고딕" w:eastAsia="맑은 고딕"/>
          <w:b w:val="0"/>
          <w:sz w:val="18"/>
        </w:rPr>
        <w:t>부속서 B의 검증 메시지로 반영된다.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592"/>
        <w:gridCol w:w="5976"/>
      </w:tblGrid>
      <w:tr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적용 대상</w:t>
            </w:r>
          </w:p>
        </w:tc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값범위 · 유효 조건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접근유형</w:t>
            </w:r>
          </w:p>
        </w:tc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접근유형은 open·closed·embargoed·restricted 중 하나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20"/>
        </w:rPr>
        <w:t>값 범위·형식·단위는 요소 정의표의 ⑨ 길이·⑩ 값 범위/허용값·⑪ 단위 칸에서 확정되며, 부속서 B의 다음 facet으로 옮겨진다. 이 대응을 적어 두지 않으면 표에서 부속서를 다시 생성할 때 해당 제약이 출력되지 못하고 사라진다.</w:t>
      </w:r>
    </w:p>
    <w:p>
      <w:r>
        <w:rPr>
          <w:rFonts w:ascii="맑은 고딕" w:hAnsi="맑은 고딕" w:eastAsia="맑은 고딕"/>
          <w:b w:val="0"/>
          <w:sz w:val="20"/>
        </w:rPr>
        <w:t>⑩ 값 범위(수치 상·하한) → sh:minInclusive · sh:maxInclusive</w:t>
      </w:r>
    </w:p>
    <w:p>
      <w:r>
        <w:rPr>
          <w:rFonts w:ascii="맑은 고딕" w:hAnsi="맑은 고딕" w:eastAsia="맑은 고딕"/>
          <w:b w:val="0"/>
          <w:sz w:val="20"/>
        </w:rPr>
        <w:t>⑩ 허용값(열거) → sh:in</w:t>
      </w:r>
    </w:p>
    <w:p>
      <w:r>
        <w:rPr>
          <w:rFonts w:ascii="맑은 고딕" w:hAnsi="맑은 고딕" w:eastAsia="맑은 고딕"/>
          <w:b w:val="0"/>
          <w:sz w:val="20"/>
        </w:rPr>
        <w:t>⑨ 길이·형식(자릿수·정규식) → sh:pattern (길이만 제한하면 sh:minLength · sh:maxLength)</w:t>
      </w:r>
    </w:p>
    <w:p>
      <w:r>
        <w:rPr>
          <w:rFonts w:ascii="맑은 고딕" w:hAnsi="맑은 고딕" w:eastAsia="맑은 고딕"/>
          <w:b w:val="0"/>
          <w:sz w:val="20"/>
        </w:rPr>
        <w:t>⑪ 단위를 하나로 고정 → sh:hasValue</w:t>
      </w:r>
    </w:p>
    <w:p>
      <w:r>
        <w:rPr>
          <w:rFonts w:ascii="맑은 고딕" w:hAnsi="맑은 고딕" w:eastAsia="맑은 고딕"/>
          <w:b w:val="0"/>
          <w:sz w:val="20"/>
        </w:rPr>
        <w:t>⑪ 원 표준이 단위를 복수 허용 → sh:in 으로 허용 단위를 열거하고, 단위마다 범위가 다르면 (단위, 범위) 짝을 sh:or 로 나열한다. 단위를 임의로 하나만 고르면 원 표준을 좁히게 된다.</w:t>
      </w:r>
    </w:p>
    <w:p>
      <w:r>
        <w:rPr>
          <w:rFonts w:ascii="맑은 고딕" w:hAnsi="맑은 고딕" w:eastAsia="맑은 고딕"/>
          <w:b w:val="0"/>
          <w:sz w:val="20"/>
        </w:rPr>
        <w:t>형상 전체에 걸리는 규칙(택일·닫힘·특정 노드 대상) → sh:or · sh:closed · sh:targetNode. 요소 하나에 대응하지 않으므로 요소 정의표가 아니라 이 절에 적는다.</w:t>
      </w:r>
    </w:p>
    <w:p>
      <w:r>
        <w:rPr>
          <w:rFonts w:ascii="맑은 고딕" w:hAnsi="맑은 고딕" w:eastAsia="맑은 고딕"/>
          <w:b w:val="0"/>
          <w:sz w:val="20"/>
        </w:rPr>
        <w:t>이 표준에서 값 제약에 해당하는 것은 접근 유형의 허용값 열거(open · closed · embargoed · restricted)이며, 수치 범위를 갖는 요소는 없다.</w:t>
      </w:r>
    </w:p>
    <w:p>
      <w:pPr>
        <w:pStyle w:val="Heading1"/>
      </w:pPr>
      <w:r>
        <w:t>6. 요소 이력 (도입 / 폐기 버전)</w:t>
      </w:r>
    </w:p>
    <w:p>
      <w:r>
        <w:rPr>
          <w:rFonts w:ascii="맑은 고딕" w:hAnsi="맑은 고딕" w:eastAsia="맑은 고딕"/>
          <w:b/>
          <w:sz w:val="20"/>
        </w:rPr>
        <w:t xml:space="preserve">살아있는 표준(living standard)을 위해 요소별 도입·폐기 버전을 관리한다. </w:t>
      </w:r>
      <w:r>
        <w:rPr>
          <w:rFonts w:ascii="맑은 고딕" w:hAnsi="맑은 고딕" w:eastAsia="맑은 고딕"/>
          <w:b w:val="0"/>
          <w:sz w:val="20"/>
        </w:rPr>
        <w:t>이번 AI-Ready 개정에서 위 전체 요소의 어휘 바인딩(⑭~⑯)이 신규 도입된다(도입 = 현행 개정). 폐기 요소는 없다. 향후 요소를 추가·폐기할 때 이 절에 버전과 사유를 기록하고, 폐기 요소는 삭제하지 않고 폐기 표시로 남겨 하위 호환을 유지한다.</w:t>
      </w:r>
    </w:p>
    <w:p>
      <w:r>
        <w:rPr>
          <w:rFonts w:ascii="맑은 고딕" w:hAnsi="맑은 고딕" w:eastAsia="맑은 고딕"/>
          <w:b/>
          <w:color w:val="305080"/>
          <w:sz w:val="22"/>
        </w:rPr>
        <w:t>── Part B · 데이터세트 수준 구성요소 설계 (→ 부속서 C · D) ──</w:t>
      </w:r>
    </w:p>
    <w:p>
      <w:r>
        <w:rPr>
          <w:rFonts w:ascii="맑은 고딕" w:hAnsi="맑은 고딕" w:eastAsia="맑은 고딕"/>
          <w:b w:val="0"/>
          <w:sz w:val="20"/>
        </w:rPr>
        <w:t>아래 구성요소는 개별 데이터 요소가 아니라 데이터세트 전체의 계보·품질·운영·이용조건을 다룬다. 각 구성요소 표준(PROV-O·DQV·Croissant·ODRL)의 어휘로 설계하며, 데이터 요소를 참조할 때는 Part A(§2)의 IRI를 쓴다.</w:t>
      </w:r>
    </w:p>
    <w:p>
      <w:pPr>
        <w:pStyle w:val="Heading1"/>
      </w:pPr>
      <w:r>
        <w:t>7. 출처·계보 설계 (PROV-O → 부속서 C)</w:t>
      </w:r>
    </w:p>
    <w:p>
      <w:r>
        <w:rPr>
          <w:rFonts w:ascii="맑은 고딕" w:hAnsi="맑은 고딕" w:eastAsia="맑은 고딕"/>
          <w:b w:val="0"/>
          <w:sz w:val="20"/>
        </w:rPr>
        <w:t>데이터가 누구에 의해·어떤 활동으로 생성·파생됐는지를 PROV-O의 세 축 — 엔티티(데이터·산출물)·활동(생성·처리)·주체(사람·기관) — 과 계보 관계로 형식화한다.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160"/>
        <w:gridCol w:w="2952"/>
        <w:gridCol w:w="3456"/>
      </w:tblGrid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PROV-O 구조</w:t>
            </w:r>
          </w:p>
        </w:tc>
        <w:tc>
          <w:tcPr>
            <w:tcW w:type="dxa" w:w="2952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이 표준에서의 대응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예시 (부속서 C)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엔티티 (prov:Entity)</w:t>
            </w:r>
          </w:p>
        </w:tc>
        <w:tc>
          <w:tcPr>
            <w:tcW w:type="dxa" w:w="295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데이터셋·파일 등 산출물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Nucleosome positioning on genomic DNA, ex:file-1311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활동 (prov:Activity)</w:t>
            </w:r>
          </w:p>
        </w:tc>
        <w:tc>
          <w:tcPr>
            <w:tcW w:type="dxa" w:w="295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데이터 생성·처리 활동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관찰·측정 연구 활동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주체 (prov:Agent)</w:t>
            </w:r>
          </w:p>
        </w:tc>
        <w:tc>
          <w:tcPr>
            <w:tcW w:type="dxa" w:w="295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생성자·발행처·지원기관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김선태, 한국과학기술정보연구원(KISTI), EPSRC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계보 관계</w:t>
            </w:r>
          </w:p>
        </w:tc>
        <w:tc>
          <w:tcPr>
            <w:tcW w:type="dxa" w:w="295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위 세 축을 잇는 관계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생성(wasGeneratedBy) · 귀속(wasAttributedTo) · 파생(wasDerivedFrom) · 연관(wasAssociatedWith) · 영향(wasInfluencedBy)</w:t>
            </w:r>
          </w:p>
        </w:tc>
      </w:tr>
    </w:tbl>
    <w:p/>
    <w:p>
      <w:r>
        <w:rPr>
          <w:rFonts w:ascii="맑은 고딕" w:hAnsi="맑은 고딕" w:eastAsia="맑은 고딕"/>
          <w:b/>
          <w:sz w:val="18"/>
        </w:rPr>
        <w:t xml:space="preserve">근거. </w:t>
      </w:r>
      <w:r>
        <w:rPr>
          <w:rFonts w:ascii="맑은 고딕" w:hAnsi="맑은 고딕" w:eastAsia="맑은 고딕"/>
          <w:b w:val="0"/>
          <w:sz w:val="18"/>
        </w:rPr>
        <w:t>이 설계는 §2의 출처 관련 요소 — 생성자(Creator), 발행처(Publisher), 발행연도(PublicationYear), 일자(Date), 기여자(Contributor), 생성 활동(wasGeneratedBy) — 를 PROV-O로 형식화한 것이다. 부속서 C는 이 설계를 따른 예시 인스턴스이며, 표의 “예시” 열 값(사람·기관·데이터셋 이름)은 그 예시에서 온 것으로 표준이 특정 대상을 규정하지 않는다.</w:t>
      </w:r>
    </w:p>
    <w:p>
      <w:pPr>
        <w:pStyle w:val="Heading1"/>
      </w:pPr>
      <w:r>
        <w:t>8. 이용정책 설계 (ODRL → 부속서 D)</w:t>
      </w:r>
    </w:p>
    <w:p>
      <w:r>
        <w:rPr>
          <w:rFonts w:ascii="맑은 고딕" w:hAnsi="맑은 고딕" w:eastAsia="맑은 고딕"/>
          <w:b w:val="0"/>
          <w:sz w:val="20"/>
        </w:rPr>
        <w:t>데이터의 이용조건을 ODRL 정책으로 형식화한다(접근/사용 제약 L3).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864"/>
        <w:gridCol w:w="2160"/>
        <w:gridCol w:w="3384"/>
        <w:gridCol w:w="2160"/>
      </w:tblGrid>
      <w:tr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유형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행위(action)</w:t>
            </w:r>
          </w:p>
        </w:tc>
        <w:tc>
          <w:tcPr>
            <w:tcW w:type="dxa" w:w="338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적용 목적·조건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의무(duty)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허가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이용·복제·배포</w:t>
            </w:r>
          </w:p>
        </w:tc>
        <w:tc>
          <w:tcPr>
            <w:tcW w:type="dxa" w:w="338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일반 연구 목적 이용(General Research Use) [DUO_0000042]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출처 표시·동의 획득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금지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상업적 이용</w:t>
            </w:r>
          </w:p>
        </w:tc>
        <w:tc>
          <w:tcPr>
            <w:tcW w:type="dxa" w:w="338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비상업적 이용만(NCU) [DUO_0000046]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—</w:t>
            </w:r>
          </w:p>
        </w:tc>
      </w:tr>
    </w:tbl>
    <w:p/>
    <w:p>
      <w:r>
        <w:rPr>
          <w:rFonts w:ascii="맑은 고딕" w:hAnsi="맑은 고딕" w:eastAsia="맑은 고딕"/>
          <w:b/>
          <w:sz w:val="18"/>
        </w:rPr>
        <w:t xml:space="preserve">표 읽는 법. </w:t>
      </w:r>
      <w:r>
        <w:rPr>
          <w:rFonts w:ascii="맑은 고딕" w:hAnsi="맑은 고딕" w:eastAsia="맑은 고딕"/>
          <w:b w:val="0"/>
          <w:sz w:val="18"/>
        </w:rPr>
        <w:t>ODRL은 이용조건을 세 규칙으로 나눈다 — 허가(permission)는 할 수 있는 행위, 금지(prohibition)는 할 수 없는 행위, 의무(duty)는 허가를 받는 대가로 지켜야 하는 조건이다. “적용 목적·조건”은 그 규칙이 어떤 이용 목적일 때 발동하는지를 정하며, 대괄호 안 코드는 DUO(Data Use Ontology)의 표준 식별자로 기계가 목적을 정확히 대조하게 한다(예: DUO_0000042=일반 연구 목적 GRU, DUO_0000046=비상업 NCU).</w:t>
      </w:r>
    </w:p>
    <w:p>
      <w:r>
        <w:rPr>
          <w:rFonts w:ascii="맑은 고딕" w:hAnsi="맑은 고딕" w:eastAsia="맑은 고딕"/>
          <w:b/>
          <w:sz w:val="18"/>
        </w:rPr>
        <w:t xml:space="preserve">라이선스. </w:t>
      </w:r>
      <w:r>
        <w:rPr>
          <w:rFonts w:ascii="맑은 고딕" w:hAnsi="맑은 고딕" w:eastAsia="맑은 고딕"/>
          <w:b w:val="0"/>
          <w:sz w:val="18"/>
        </w:rPr>
        <w:t>이 데이터세트는 CC-BY-4.0 (또는 CC-BY-NC) 라이선스로 배포되며, 위 표는 그 라이선스 조건을 기계가 읽도록 ODRL로 옮긴 것이다.</w:t>
      </w:r>
    </w:p>
    <w:p>
      <w:r>
        <w:rPr>
          <w:rFonts w:ascii="맑은 고딕" w:hAnsi="맑은 고딕" w:eastAsia="맑은 고딕"/>
          <w:b/>
          <w:sz w:val="18"/>
        </w:rPr>
        <w:t xml:space="preserve">접근 유형. </w:t>
      </w:r>
      <w:r>
        <w:rPr>
          <w:rFonts w:ascii="맑은 고딕" w:hAnsi="맑은 고딕" w:eastAsia="맑은 고딕"/>
          <w:b w:val="0"/>
          <w:sz w:val="18"/>
        </w:rPr>
        <w:t>‘open(공개)’이면 즉시 이용할 수 있고, ‘embargoed(이용지연)’이면 해제일까지 접근이 제한된다 — embargo는 정책에 “현재 시각 ≥ 해제일(dateTime)” 제약을 넣어 해제일이 지나면 자동으로 열린다.</w:t>
      </w:r>
    </w:p>
    <w:p>
      <w:r>
        <w:rPr>
          <w:rFonts w:ascii="맑은 고딕" w:hAnsi="맑은 고딕" w:eastAsia="맑은 고딕"/>
          <w:b/>
          <w:color w:val="305080"/>
          <w:sz w:val="22"/>
        </w:rPr>
        <w:t>── Part C · 부속서 대응 ──</w:t>
      </w:r>
    </w:p>
    <w:p>
      <w:pPr>
        <w:pStyle w:val="Heading1"/>
      </w:pPr>
      <w:r>
        <w:t>9. 부속서와 이 명세의 대응</w:t>
      </w:r>
    </w:p>
    <w:p>
      <w:r>
        <w:rPr>
          <w:rFonts w:ascii="맑은 고딕" w:hAnsi="맑은 고딕" w:eastAsia="맑은 고딕"/>
          <w:b w:val="0"/>
          <w:sz w:val="20"/>
        </w:rPr>
        <w:t>이 표준의 각 부속서가 이 명세의 어느 부분에서 나오는지 정리한다. 이제 모든 기계가독 부속서가 이 한 문서에 근거를 둔다.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3024"/>
        <w:gridCol w:w="5544"/>
      </w:tblGrid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부속서</w:t>
            </w:r>
          </w:p>
        </w:tc>
        <w:tc>
          <w:tcPr>
            <w:tcW w:type="dxa" w:w="554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이 명세의 근거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 · JSON-LD @context</w:t>
            </w:r>
          </w:p>
        </w:tc>
        <w:tc>
          <w:tcPr>
            <w:tcW w:type="dxa" w:w="554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§1 네임스페이스 · §2 어휘 IRI 매핑·직렬화 키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C · SHACL 형상</w:t>
            </w:r>
          </w:p>
        </w:tc>
        <w:tc>
          <w:tcPr>
            <w:tcW w:type="dxa" w:w="554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§3 코드·열거값 · §5 필수·카디널리티·값범위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 · PROV-O 출처 그래프</w:t>
            </w:r>
          </w:p>
        </w:tc>
        <w:tc>
          <w:tcPr>
            <w:tcW w:type="dxa" w:w="554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Part B 출처·계보 설계 (+ §2의 생성 활동 요소 참조)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G · ODRL 이용정책</w:t>
            </w:r>
          </w:p>
        </w:tc>
        <w:tc>
          <w:tcPr>
            <w:tcW w:type="dxa" w:w="554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Part B 이용정책 설계 (+ §2의 접근 유형, 접근 제한, 라이선스 요소 참조)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7"/>
        </w:rPr>
        <w:t>※ 4절 요소 정의표(본문)(요소 정의표)는 이 명세의 결과가 아니라 입력이다 — 에디터가 작성한 표준초안 4절이 출발점이다.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