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i w:val="0"/>
          <w:sz w:val="34"/>
        </w:rPr>
        <w:t>AI-Ready 표준화 전략 연구 — 참고 문헌 목록</w:t>
      </w:r>
    </w:p>
    <w:p>
      <w:r>
        <w:rPr>
          <w:rFonts w:ascii="맑은 고딕" w:hAnsi="맑은 고딕" w:eastAsia="맑은 고딕"/>
          <w:b w:val="0"/>
          <w:i w:val="0"/>
          <w:color w:val="444444"/>
          <w:sz w:val="22"/>
        </w:rPr>
        <w:t>AI-Ready 표준 생태계 조성을 위한 표준화 전략 연구 · 근거 문헌 및 인용 표준</w:t>
      </w:r>
    </w:p>
    <w:p>
      <w:r>
        <w:rPr>
          <w:rFonts w:ascii="맑은 고딕" w:hAnsi="맑은 고딕" w:eastAsia="맑은 고딕"/>
          <w:b w:val="0"/>
          <w:i w:val="0"/>
          <w:color w:val="777777"/>
          <w:sz w:val="18"/>
        </w:rPr>
        <w:t>작업 루트: …\TTA\  ·  주 폴더 new\  ·  v1.0</w:t>
      </w:r>
    </w:p>
    <w:p>
      <w:pPr>
        <w:pStyle w:val="Heading1"/>
      </w:pPr>
      <w:r>
        <w:t>A. TTA 표준화 규범 (개정 대상·근거)</w:t>
      </w:r>
    </w:p>
    <w:p>
      <w:r>
        <w:rPr>
          <w:rFonts w:ascii="맑은 고딕" w:hAnsi="맑은 고딕" w:eastAsia="맑은 고딕"/>
          <w:b w:val="0"/>
          <w:i w:val="0"/>
          <w:sz w:val="20"/>
        </w:rPr>
        <w:t>이 과제의 규정 정합성·개정 방향의 근거가 된 TTA 내부 규범 3종. 정식 명칭·문서번호·시행일·경로와, 이 과제가 실제로 참조한 조문을 함께 밝힌다.</w:t>
      </w:r>
    </w:p>
    <w:p>
      <w:pPr>
        <w:pStyle w:val="Heading2"/>
      </w:pPr>
      <w:r>
        <w:t>A-1. 정보통신표준화 운영규정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6408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항목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내용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정식 명칭 · 문서번호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정보통신표준화 운영규정 (SAG-0029(24) / R24)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시행일 · 분량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2025. 6. 27. 시행 · 30면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경로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new\정보통신표준화 운영규정.pdf</w:t>
              <w:br/>
              <w:t>(원본 동일: SAG-0029(24)_정보통신표준화운영규정_250627 (1).hwp / .pdf)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개정 권한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표준총회 (제5조제1항제4호) — 정기회의 연 2회</w:t>
            </w:r>
          </w:p>
        </w:tc>
      </w:tr>
    </w:tbl>
    <w:p/>
    <w:p>
      <w:r>
        <w:rPr>
          <w:rFonts w:ascii="맑은 고딕" w:hAnsi="맑은 고딕" w:eastAsia="맑은 고딕"/>
          <w:b/>
          <w:i w:val="0"/>
          <w:sz w:val="19"/>
        </w:rPr>
        <w:t xml:space="preserve">참조 조문. </w:t>
      </w:r>
      <w:r>
        <w:rPr>
          <w:rFonts w:ascii="맑은 고딕" w:hAnsi="맑은 고딕" w:eastAsia="맑은 고딕"/>
          <w:b w:val="0"/>
          <w:i w:val="0"/>
          <w:sz w:val="19"/>
        </w:rPr>
        <w:t>제5조①4(운영규정 개정=표준총회 권한) · 제20조의3(전문위원회 임무 한계 — 개별 표준초안 작성 불가) · 제29조①2(관련분야 전문가를 특별위원으로 위촉 → 어휘 전문가 근거) · 제33조⑤(특별위원 의결권 없음) · 제38조②③(표준초안 작성 주체=해당 PG 위원인 에디터, 작성 방법은 작성지침에 위임) · 제39조②(의견수렴 표준총회 60일 전 개시) · 제42조(표준총회 채택 요건) · 제47조①(기술보고서 TC 최종 채택) · 제54조(표준 전자화)</w:t>
      </w:r>
    </w:p>
    <w:p>
      <w:pPr>
        <w:pStyle w:val="Heading2"/>
      </w:pPr>
      <w:r>
        <w:t>A-2. 정보통신표준화 운영요령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6408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항목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내용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정식 명칭 · 문서번호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정보통신표준화 운영요령 (SBG-0030(13) / R13)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시행일 · 분량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2025. 6. 13. 시행 · 62면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경로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new\정보통신표준화 운영요령.pdf</w:t>
              <w:br/>
              <w:t>(원본 동일: SBG-0030(13)_정보통신표준화운영요령_250613.hwpx / .pdf)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개정 권한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운영위원회 (제57조 직접 위임) — 8/10 당일 의결 가능</w:t>
            </w:r>
          </w:p>
        </w:tc>
      </w:tr>
    </w:tbl>
    <w:p/>
    <w:p>
      <w:r>
        <w:rPr>
          <w:rFonts w:ascii="맑은 고딕" w:hAnsi="맑은 고딕" w:eastAsia="맑은 고딕"/>
          <w:b/>
          <w:i w:val="0"/>
          <w:sz w:val="19"/>
        </w:rPr>
        <w:t xml:space="preserve">참조 조문. </w:t>
      </w:r>
      <w:r>
        <w:rPr>
          <w:rFonts w:ascii="맑은 고딕" w:hAnsi="맑은 고딕" w:eastAsia="맑은 고딕"/>
          <w:b w:val="0"/>
          <w:i w:val="0"/>
          <w:sz w:val="19"/>
        </w:rPr>
        <w:t>제2조①(정의 — AI-Ready 정의·적용대상·수준 신설 지점) · 제3조의5·제4조①·제5조③(전문위원회 구성·임무) · 제13조⑤ 및 별지 제11호(표준 제안서 서식·첨부) · 제15조①②(적용대상 판정 절차) · 제16조①(운영위원회 임무) · 제19조①2·9(기술규격 구성 단서·요소정의표 등재) · 제19조의2①④(복수 에디터·공동 에디터 지정) · 제21조⑤(표준안 상정) · 제26조⑥(유지보수 5년 주기) · 제57조(운영요령 개정=운영위원회) · 별표1(제·개정 절차) · 별표10·별지 제11-1호(신설 대상)</w:t>
      </w:r>
    </w:p>
    <w:p>
      <w:pPr>
        <w:pStyle w:val="Heading2"/>
      </w:pPr>
      <w:r>
        <w:t>A-3. 정보통신단체표준 작성지침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6408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항목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내용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정식 명칭 · 문서번호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정보통신단체표준 작성지침 (TTAR-09.0040 / R1)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시행일 · 분량 · 담당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2025. 5. 23. 시행 · 44면 · 전략계획위원회(SPC)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경로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new\[TTA]정보통신단체표준 작성지침(TTAR-09.0040R1).pdf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개정 절차</w:t>
            </w:r>
          </w:p>
        </w:tc>
        <w:tc>
          <w:tcPr>
            <w:tcW w:type="dxa" w:w="640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기술보고서(TTAR)라 표준총회 없이 TC 최종 채택 (운영규정 제47조①)</w:t>
            </w:r>
          </w:p>
        </w:tc>
      </w:tr>
    </w:tbl>
    <w:p/>
    <w:p>
      <w:r>
        <w:rPr>
          <w:rFonts w:ascii="맑은 고딕" w:hAnsi="맑은 고딕" w:eastAsia="맑은 고딕"/>
          <w:b/>
          <w:i w:val="0"/>
          <w:sz w:val="19"/>
        </w:rPr>
        <w:t xml:space="preserve">참조 조문. </w:t>
      </w:r>
      <w:r>
        <w:rPr>
          <w:rFonts w:ascii="맑은 고딕" w:hAnsi="맑은 고딕" w:eastAsia="맑은 고딕"/>
          <w:b w:val="0"/>
          <w:i w:val="0"/>
          <w:sz w:val="19"/>
        </w:rPr>
        <w:t>5.1 e)(작성도구) · 5.2(기술규격 구성 — 부속서 불가 단서) · 6.5(본문 구성: 적용범위·인용표준·용어·약어) · 6.5.3(인용표준 — 규범 인용 등재) · 6.5.7(데이터 요소 정의 — 신설 대상) · 6.6(부속서·@context — 신설 대상) · 부속서 A(영문 준용) · 부속서 B(단위·어휘 매핑 — 신설) · 부록 Ⅱ(문서 구조·이력)</w:t>
      </w:r>
    </w:p>
    <w:p>
      <w:pPr>
        <w:pStyle w:val="Heading1"/>
      </w:pPr>
      <w:r>
        <w:t>B. 외부 어휘·표준 (AI-Ready 7구성요소 근거)</w:t>
      </w:r>
    </w:p>
    <w:p>
      <w:r>
        <w:rPr>
          <w:rFonts w:ascii="맑은 고딕" w:hAnsi="맑은 고딕" w:eastAsia="맑은 고딕"/>
          <w:b w:val="0"/>
          <w:i w:val="0"/>
          <w:sz w:val="20"/>
        </w:rPr>
        <w:t>AI-Ready 각 구성요소가 요소를 매핑·형식화하는 데 사용하는 전역 어휘·스키마 표준. @context·SHACL을 비롯한 기계가독 부속서의 네임스페이스가 이들을 규범 인용한다.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20"/>
        <w:gridCol w:w="6048"/>
      </w:tblGrid>
      <w:tr>
        <w:tc>
          <w:tcPr>
            <w:tcW w:type="dxa" w:w="2520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구성요소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어휘 · 표준 (발행처)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시맨틱 · 신태틱 (L1)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DCMI Metadata Terms(DCMI) · DCAT 3(W3C) · DataCite Metadata Schema 4.x · SKOS(W3C) · FOAF · schema.org · JSON-LD 1.1(W3C) · GeoSPARQL 1.1(OGC) · Simple Features Access(OGC/ISO 19125) · SOSA/SSN(W3C)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데이터 모델 (L2)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SHACL — Shapes Constraint Language(W3C) · XML Schema(XSD) · JSON Schema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단위 (데이터 모델 부속)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QUDT 2.1(QUDT.org) · UCUM — Unified Code for Units of Measure(Regenstrief)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출처 / 계보 (L2)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PROV-O — The PROV Ontology(W3C)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운영 시맨틱 (L3, ML)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Croissant — ML Metadata(MLCommons)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품질 (L3)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DQV — Data Quality Vocabulary(W3C Note) · ISO/IEC 5259-2(데이터 품질 차원)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접근 / 사용 제약 (L3)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ODRL Information Model 2.2(W3C) · DUO — Data Use Ontology(GA4GH/OBO)</w:t>
            </w:r>
          </w:p>
        </w:tc>
      </w:tr>
    </w:tbl>
    <w:p/>
    <w:p>
      <w:pPr>
        <w:pStyle w:val="Heading1"/>
      </w:pPr>
      <w:r>
        <w:t>C. 분석 대상 표준 (진단 20종)</w:t>
      </w:r>
    </w:p>
    <w:p>
      <w:r>
        <w:rPr>
          <w:rFonts w:ascii="맑은 고딕" w:hAnsi="맑은 고딕" w:eastAsia="맑은 고딕"/>
          <w:b w:val="0"/>
          <w:i w:val="0"/>
          <w:sz w:val="20"/>
        </w:rPr>
        <w:t>AI-Ready 성숙도·전환 방법 도출을 위해 분석한 기존 정보통신단체표준. 원문 PDF·검토·개선방향·분석카드는 new\RG\·new\TG\에 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20"/>
        <w:gridCol w:w="6048"/>
      </w:tblGrid>
      <w:tr>
        <w:tc>
          <w:tcPr>
            <w:tcW w:type="dxa" w:w="2520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구분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표준 (표준번호)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RG · PG606 전수 11종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TTAK.KO-10.0976 · 1284 · 1344-Part2 · 1465 · 1506 · 1533 · 1571 · 1594 · 1595 · 1598 · KO-11.0222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TG · 타 PG 표본 9종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TTAE.IT-Y.3603 · TTAK.KO-10.1291-Part1 · 1419 · 1500 · 1510 · 1530 · 1561 · KO-11.0310 · 0326-Part6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실증 샘플 5종 (최종)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TTAK.KO-10.0976 · 1510 · 1530 · 1594 · KO-11.0310  (원문 예: 05_TTAK.KO-10.1530_….pdf)</w:t>
            </w:r>
          </w:p>
        </w:tc>
      </w:tr>
    </w:tbl>
    <w:p/>
    <w:p>
      <w:pPr>
        <w:pStyle w:val="Heading1"/>
      </w:pPr>
      <w:r>
        <w:t>D. 기타 프로젝트 근거 문서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76"/>
        <w:gridCol w:w="4392"/>
      </w:tblGrid>
      <w:tr>
        <w:tc>
          <w:tcPr>
            <w:tcW w:type="dxa" w:w="4176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문서</w:t>
            </w:r>
          </w:p>
        </w:tc>
        <w:tc>
          <w:tcPr>
            <w:tcW w:type="dxa" w:w="439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용도 · 경로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과업 지시 — AI 레디 표준 생태계 조성 표준화 전략 연구</w:t>
            </w:r>
          </w:p>
        </w:tc>
        <w:tc>
          <w:tcPr>
            <w:tcW w:type="dxa" w:w="439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과업 범위 근거 · 루트 (용역) AI 레디 표준…_공유용.hwpx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AI_레디_표준_사업_수행계획서</w:t>
            </w:r>
          </w:p>
        </w:tc>
        <w:tc>
          <w:tcPr>
            <w:tcW w:type="dxa" w:w="439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수행 계획 · 루트 AI_레디_표준_사업_수행계획서.pdf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AI 데이터 품질관리·구축 가이드 제1~4권</w:t>
            </w:r>
          </w:p>
        </w:tc>
        <w:tc>
          <w:tcPr>
            <w:tcW w:type="dxa" w:w="439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품질(DQV)·구축 근거 · 루트 260228_[제N권]….pdf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PG606 정기회의 회의록(제87차 등)</w:t>
            </w:r>
          </w:p>
        </w:tc>
        <w:tc>
          <w:tcPr>
            <w:tcW w:type="dxa" w:w="439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검토 경위 · 루트 2025PG606-032_….hwp, 회의록\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김학래 교수 표준제안 대비 AI Ready Data 표준 제안</w:t>
            </w:r>
          </w:p>
        </w:tc>
        <w:tc>
          <w:tcPr>
            <w:tcW w:type="dxa" w:w="439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선행 제안 참고 · 루트 김학래교수표준제안….hwpx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17"/>
        </w:rPr>
        <w:t>※ 규범(A) 인용 조문은 이 과제가 참조·개정 방향 도출에 실제로 사용한 조항이며, 조문 번호는 위 시행일 기준 현행본에 따른다. 8/10 운영위원회 상정 시 원문 최종본과 재대조를 권장한다.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