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sz w:val="34"/>
        </w:rPr>
        <w:t>TTA 표준화 규범 3종 AI-Ready 개정(안)</w:t>
      </w:r>
    </w:p>
    <w:p>
      <w:r>
        <w:rPr>
          <w:rFonts w:ascii="맑은 고딕" w:hAnsi="맑은 고딕" w:eastAsia="맑은 고딕"/>
          <w:b w:val="0"/>
          <w:color w:val="444444"/>
          <w:sz w:val="22"/>
        </w:rPr>
        <w:t>신구조문대비표 — 운영요령 개정 · 운영규정 근거 · 작성지침 개정 연계</w:t>
      </w:r>
    </w:p>
    <w:p>
      <w:r>
        <w:rPr>
          <w:rFonts w:ascii="맑은 고딕" w:hAnsi="맑은 고딕" w:eastAsia="맑은 고딕"/>
          <w:b w:val="0"/>
          <w:color w:val="777777"/>
          <w:sz w:val="17"/>
        </w:rPr>
        <w:t>운영규정 SAG-0029(24)/R24(2025.6.27.) · 운영요령 SBG-0030(13)/R13(2025.6.13.) · 작성지침 TTAR-09.0040/R1(2025.5.23.) 기준</w:t>
      </w:r>
    </w:p>
    <w:p>
      <w:pPr>
        <w:pStyle w:val="Heading1"/>
      </w:pPr>
      <w:r>
        <w:t>1. 개정 이유</w:t>
      </w:r>
    </w:p>
    <w:p>
      <w:r>
        <w:rPr>
          <w:rFonts w:ascii="맑은 고딕" w:hAnsi="맑은 고딕" w:eastAsia="맑은 고딕"/>
          <w:b w:val="0"/>
          <w:sz w:val="20"/>
        </w:rPr>
        <w:t>데이터의 의미·구조·출처·품질·이용조건을 사람과 기계가 함께 읽을 수 있는 AI-Ready 표준으로 전환하기 위해, 제안(선언)→초안(요소 정의표·부속서)→상정(자가점검)에 이르는 절차 근거를 규범에 신설·보강한다. 변경은 원칙적으로 운영요령에 담는다(운영요령으로 개정한다) — 운영요령 개정은 운영규정 제57조("운영위원회는 … 필요한 사항을 요령으로 정할 수 있다")에 따라 운영위원회 권한이며, 표준 제·개정과 달리 60일 의견수렴(제39조)이나 표준총회 상정을 요하지 않으므로 안건으로 상정되면 그 회의에서 심의·의결할 수 있다. 반면 운영규정 개정은 표준총회(연 2회) 권한이라 절차가 길어, 운영규정은 기존 조문을 근거로만 활용하고 개정하지 않는다. 초안 작성 방법의 세부는 작성지침(TTAR-09.0040) 개정으로 규정한다.</w:t>
      </w:r>
    </w:p>
    <w:p>
      <w:pPr>
        <w:pStyle w:val="Heading1"/>
      </w:pPr>
      <w:r>
        <w:t>2. 개정 개요 — 3종의 역할과 상정 순서</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32"/>
        <w:gridCol w:w="1296"/>
        <w:gridCol w:w="3744"/>
        <w:gridCol w:w="1440"/>
      </w:tblGrid>
      <w:tr>
        <w:tc>
          <w:tcPr>
            <w:tcW w:type="dxa" w:w="2232"/>
          </w:tcPr>
          <w:p>
            <w:r/>
            <w:r>
              <w:rPr>
                <w:rFonts w:ascii="맑은 고딕" w:hAnsi="맑은 고딕" w:eastAsia="맑은 고딕"/>
                <w:b/>
                <w:sz w:val="17"/>
              </w:rPr>
              <w:t>규범</w:t>
            </w:r>
          </w:p>
        </w:tc>
        <w:tc>
          <w:tcPr>
            <w:tcW w:type="dxa" w:w="1296"/>
          </w:tcPr>
          <w:p>
            <w:r/>
            <w:r>
              <w:rPr>
                <w:rFonts w:ascii="맑은 고딕" w:hAnsi="맑은 고딕" w:eastAsia="맑은 고딕"/>
                <w:b/>
                <w:sz w:val="17"/>
              </w:rPr>
              <w:t>개정 성격</w:t>
            </w:r>
          </w:p>
        </w:tc>
        <w:tc>
          <w:tcPr>
            <w:tcW w:type="dxa" w:w="3744"/>
          </w:tcPr>
          <w:p>
            <w:r/>
            <w:r>
              <w:rPr>
                <w:rFonts w:ascii="맑은 고딕" w:hAnsi="맑은 고딕" w:eastAsia="맑은 고딕"/>
                <w:b/>
                <w:sz w:val="17"/>
              </w:rPr>
              <w:t>핵심 내용</w:t>
            </w:r>
          </w:p>
        </w:tc>
        <w:tc>
          <w:tcPr>
            <w:tcW w:type="dxa" w:w="1440"/>
          </w:tcPr>
          <w:p>
            <w:r/>
            <w:r>
              <w:rPr>
                <w:rFonts w:ascii="맑은 고딕" w:hAnsi="맑은 고딕" w:eastAsia="맑은 고딕"/>
                <w:b/>
                <w:sz w:val="17"/>
              </w:rPr>
              <w:t>권한 · 상정</w:t>
            </w:r>
          </w:p>
        </w:tc>
      </w:tr>
      <w:tr>
        <w:tc>
          <w:tcPr>
            <w:tcW w:type="dxa" w:w="2232"/>
          </w:tcPr>
          <w:p>
            <w:r/>
            <w:r>
              <w:rPr>
                <w:rFonts w:ascii="맑은 고딕" w:hAnsi="맑은 고딕" w:eastAsia="맑은 고딕"/>
                <w:b w:val="0"/>
                <w:sz w:val="17"/>
              </w:rPr>
              <w:t>정보통신표준화 운영요령</w:t>
            </w:r>
          </w:p>
        </w:tc>
        <w:tc>
          <w:tcPr>
            <w:tcW w:type="dxa" w:w="1296"/>
          </w:tcPr>
          <w:p>
            <w:r/>
            <w:r>
              <w:rPr>
                <w:rFonts w:ascii="맑은 고딕" w:hAnsi="맑은 고딕" w:eastAsia="맑은 고딕"/>
                <w:b w:val="0"/>
                <w:sz w:val="17"/>
              </w:rPr>
              <w:t>신설·보강</w:t>
            </w:r>
          </w:p>
        </w:tc>
        <w:tc>
          <w:tcPr>
            <w:tcW w:type="dxa" w:w="3744"/>
          </w:tcPr>
          <w:p>
            <w:r/>
            <w:r>
              <w:rPr>
                <w:rFonts w:ascii="맑은 고딕" w:hAnsi="맑은 고딕" w:eastAsia="맑은 고딕"/>
                <w:b w:val="0"/>
                <w:sz w:val="17"/>
              </w:rPr>
              <w:t>용어(제2조)·제안 시 선언(제13조)·적용대상 판정(제15조)·초안 요소표 의무(제19조)·공동 에디터(제19조의2)·상정 자가점검(제21조)·유지보수 점검(제26조)·기계 점검(제11조) + 별표 10·별지 제11-1호(선언)·제21-1호(자가점검표)·제15호·제23호·제24호</w:t>
            </w:r>
          </w:p>
        </w:tc>
        <w:tc>
          <w:tcPr>
            <w:tcW w:type="dxa" w:w="1440"/>
          </w:tcPr>
          <w:p>
            <w:r/>
            <w:r>
              <w:rPr>
                <w:rFonts w:ascii="맑은 고딕" w:hAnsi="맑은 고딕" w:eastAsia="맑은 고딕"/>
                <w:b w:val="0"/>
                <w:sz w:val="17"/>
              </w:rPr>
              <w:t>운영위원회 (제57조) · 안건 ①</w:t>
            </w:r>
          </w:p>
        </w:tc>
      </w:tr>
      <w:tr>
        <w:tc>
          <w:tcPr>
            <w:tcW w:type="dxa" w:w="2232"/>
          </w:tcPr>
          <w:p>
            <w:r/>
            <w:r>
              <w:rPr>
                <w:rFonts w:ascii="맑은 고딕" w:hAnsi="맑은 고딕" w:eastAsia="맑은 고딕"/>
                <w:b w:val="0"/>
                <w:sz w:val="17"/>
              </w:rPr>
              <w:t>정보통신표준화 운영규정</w:t>
            </w:r>
          </w:p>
        </w:tc>
        <w:tc>
          <w:tcPr>
            <w:tcW w:type="dxa" w:w="1296"/>
          </w:tcPr>
          <w:p>
            <w:r/>
            <w:r>
              <w:rPr>
                <w:rFonts w:ascii="맑은 고딕" w:hAnsi="맑은 고딕" w:eastAsia="맑은 고딕"/>
                <w:b w:val="0"/>
                <w:sz w:val="17"/>
              </w:rPr>
              <w:t>개정 불필요</w:t>
            </w:r>
          </w:p>
        </w:tc>
        <w:tc>
          <w:tcPr>
            <w:tcW w:type="dxa" w:w="3744"/>
          </w:tcPr>
          <w:p>
            <w:r/>
            <w:r>
              <w:rPr>
                <w:rFonts w:ascii="맑은 고딕" w:hAnsi="맑은 고딕" w:eastAsia="맑은 고딕"/>
                <w:b w:val="0"/>
                <w:sz w:val="17"/>
              </w:rPr>
              <w:t>기존 조문을 근거로 활용 — 제29조①2(특별위원)·제33조⑤(의결권 없음)·제38조②③(에디터·지침 위임)·제57조(운영요령 위임)</w:t>
            </w:r>
          </w:p>
        </w:tc>
        <w:tc>
          <w:tcPr>
            <w:tcW w:type="dxa" w:w="1440"/>
          </w:tcPr>
          <w:p>
            <w:r/>
            <w:r>
              <w:rPr>
                <w:rFonts w:ascii="맑은 고딕" w:hAnsi="맑은 고딕" w:eastAsia="맑은 고딕"/>
                <w:b w:val="0"/>
                <w:sz w:val="17"/>
              </w:rPr>
              <w:t>표준총회 (제5조①4) · 개정 회피</w:t>
            </w:r>
          </w:p>
        </w:tc>
      </w:tr>
      <w:tr>
        <w:tc>
          <w:tcPr>
            <w:tcW w:type="dxa" w:w="2232"/>
          </w:tcPr>
          <w:p>
            <w:r/>
            <w:r>
              <w:rPr>
                <w:rFonts w:ascii="맑은 고딕" w:hAnsi="맑은 고딕" w:eastAsia="맑은 고딕"/>
                <w:b w:val="0"/>
                <w:sz w:val="17"/>
              </w:rPr>
              <w:t>정보통신단체표준 작성지침</w:t>
            </w:r>
          </w:p>
        </w:tc>
        <w:tc>
          <w:tcPr>
            <w:tcW w:type="dxa" w:w="1296"/>
          </w:tcPr>
          <w:p>
            <w:r/>
            <w:r>
              <w:rPr>
                <w:rFonts w:ascii="맑은 고딕" w:hAnsi="맑은 고딕" w:eastAsia="맑은 고딕"/>
                <w:b w:val="0"/>
                <w:sz w:val="17"/>
              </w:rPr>
              <w:t>신설·보강</w:t>
            </w:r>
          </w:p>
        </w:tc>
        <w:tc>
          <w:tcPr>
            <w:tcW w:type="dxa" w:w="3744"/>
          </w:tcPr>
          <w:p>
            <w:r/>
            <w:r>
              <w:rPr>
                <w:rFonts w:ascii="맑은 고딕" w:hAnsi="맑은 고딕" w:eastAsia="맑은 고딕"/>
                <w:b w:val="0"/>
                <w:sz w:val="17"/>
              </w:rPr>
              <w:t>6.5.3 인용표준·6.5.7 요소 정의표(신설)·6.6 부속서/@context(신설)·부속서 B 단위·부록 Ⅱ-4 이력</w:t>
            </w:r>
          </w:p>
        </w:tc>
        <w:tc>
          <w:tcPr>
            <w:tcW w:type="dxa" w:w="1440"/>
          </w:tcPr>
          <w:p>
            <w:r/>
            <w:r>
              <w:rPr>
                <w:rFonts w:ascii="맑은 고딕" w:hAnsi="맑은 고딕" w:eastAsia="맑은 고딕"/>
                <w:b w:val="0"/>
                <w:sz w:val="17"/>
              </w:rPr>
              <w:t>전략계획위원회·TC (제47조①) · 안건 ②</w:t>
            </w:r>
          </w:p>
        </w:tc>
      </w:tr>
    </w:tbl>
    <w:p/>
    <w:p>
      <w:r>
        <w:rPr>
          <w:rFonts w:ascii="맑은 고딕" w:hAnsi="맑은 고딕" w:eastAsia="맑은 고딕"/>
          <w:b/>
          <w:sz w:val="18"/>
        </w:rPr>
        <w:t xml:space="preserve">상정 순서 ①→②. </w:t>
      </w:r>
      <w:r>
        <w:rPr>
          <w:rFonts w:ascii="맑은 고딕" w:hAnsi="맑은 고딕" w:eastAsia="맑은 고딕"/>
          <w:b w:val="0"/>
          <w:sz w:val="18"/>
        </w:rPr>
        <w:t>작성지침 6.6이 "운영요령 제19조의2에 따라 지정된 공동 에디터"라고 조문을 참조하므로, 운영요령(공동 에디터 근거)이 먼저 의결돼야 작성지침 개정이 성립한다. 여기서 말하는 참조는 규범 문서끼리 조문을 가리키는 것으로, 작성지침 6.5.3의 "인용 표준"(외부 어휘·스키마에 대한 규범 의존 등재)과는 다른 개념이다.</w:t>
      </w:r>
    </w:p>
    <w:p>
      <w:pPr>
        <w:pStyle w:val="Heading1"/>
      </w:pPr>
      <w:r>
        <w:t>3. 정보통신표준화 운영요령 신구조문대비표 (안건 ①)</w:t>
      </w:r>
    </w:p>
    <w:p>
      <w:r>
        <w:rPr>
          <w:rFonts w:ascii="맑은 고딕" w:hAnsi="맑은 고딕" w:eastAsia="맑은 고딕"/>
          <w:b w:val="0"/>
          <w:sz w:val="20"/>
        </w:rPr>
        <w:t>굵게 표시한 부분이 신설·추가되는 내용이다. 현행 문안은 SBG-0030(13)/R13 추출본으로, 의결 전 원문 최종 대조가 필요하다.</w:t>
      </w:r>
    </w:p>
    <w:p>
      <w:pPr>
        <w:pStyle w:val="Heading2"/>
      </w:pPr>
      <w:r>
        <w:t>3.1 제2조(용어의 정의) — 제1항 6~8호 신설</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제2조(용어의 정의) ① 이 운영요령에서 사용하는 용어의 정의는 다음과 같다.</w:t>
            </w:r>
          </w:p>
          <w:p>
            <w:r>
              <w:rPr>
                <w:rFonts w:ascii="맑은 고딕" w:hAnsi="맑은 고딕" w:eastAsia="맑은 고딕"/>
                <w:b w:val="0"/>
                <w:sz w:val="17"/>
              </w:rPr>
              <w:t>1. "표준화과제"란 … 채택한 표준화 대상을 말한다.</w:t>
            </w:r>
          </w:p>
          <w:p>
            <w:r>
              <w:rPr>
                <w:rFonts w:ascii="맑은 고딕" w:hAnsi="맑은 고딕" w:eastAsia="맑은 고딕"/>
                <w:b w:val="0"/>
                <w:sz w:val="17"/>
              </w:rPr>
              <w:t>2.~5. (표준초안 · 표준안 · 정보통신용어표준화 · 표준용어)</w:t>
            </w:r>
          </w:p>
          <w:p>
            <w:r>
              <w:rPr>
                <w:rFonts w:ascii="맑은 고딕" w:hAnsi="맑은 고딕" w:eastAsia="맑은 고딕"/>
                <w:b w:val="0"/>
                <w:sz w:val="17"/>
              </w:rPr>
              <w:t>② … 운영규정과 IPR요령에서 정하는 바에 따른다.</w:t>
            </w:r>
          </w:p>
        </w:tc>
        <w:tc>
          <w:tcPr>
            <w:tcW w:type="dxa" w:w="4320"/>
          </w:tcPr>
          <w:p>
            <w:r/>
            <w:r>
              <w:rPr>
                <w:rFonts w:ascii="맑은 고딕" w:hAnsi="맑은 고딕" w:eastAsia="맑은 고딕"/>
                <w:b w:val="0"/>
                <w:sz w:val="17"/>
              </w:rPr>
              <w:t>제2조(용어의 정의) ① … (현행 1.~5. 유지)</w:t>
            </w:r>
          </w:p>
          <w:p>
            <w:r>
              <w:rPr>
                <w:rFonts w:ascii="맑은 고딕" w:hAnsi="맑은 고딕" w:eastAsia="맑은 고딕"/>
                <w:b/>
                <w:sz w:val="17"/>
              </w:rPr>
              <w:t>6. "AI-Ready 표준"이란 데이터의 의미·구조·출처·품질·이용조건을 사람과 기계가 함께 읽을 수 있도록, 데이터 요소를 전역 어휘 식별자(IRI)에 매핑하고 기계가독 형식으로 기술한 표준을 말한다.</w:t>
            </w:r>
          </w:p>
          <w:p>
            <w:r>
              <w:rPr>
                <w:rFonts w:ascii="맑은 고딕" w:hAnsi="맑은 고딕" w:eastAsia="맑은 고딕"/>
                <w:b/>
                <w:sz w:val="17"/>
              </w:rPr>
              <w:t>7. "AI-Ready 적용 대상"이란 데이터의 의미, 구조, 값, 품질 중 어느 하나 이상을 기술하는 표준을 말한다. 기능·통신 절차·인터페이스를 규정하는 표준은 이에 해당하지 아니한다. 다만, 기술규격(제19조제1항제2호에 따라 앞표지와 원문으로 구성)은 제외한다. 적용 대상 여부는 그 표준이 기술하는 내용으로 판정하며, 현재 달성한 AI-Ready 수준과는 무관하다.</w:t>
            </w:r>
          </w:p>
          <w:p>
            <w:r>
              <w:rPr>
                <w:rFonts w:ascii="맑은 고딕" w:hAnsi="맑은 고딕" w:eastAsia="맑은 고딕"/>
                <w:b/>
                <w:sz w:val="17"/>
              </w:rPr>
              <w:t>8. "AI-Ready 수준"이란 데이터의 기계가독 성숙도로서 L1(시맨틱·신태틱)·L2(데이터 모델·출처)·L3(운영·품질·접근)의 도달 정도를 말하며, 세부 요건은 별표 10에 따른다.</w:t>
            </w:r>
          </w:p>
          <w:p>
            <w:r>
              <w:rPr>
                <w:rFonts w:ascii="맑은 고딕" w:hAnsi="맑은 고딕" w:eastAsia="맑은 고딕"/>
                <w:b w:val="0"/>
                <w:sz w:val="17"/>
              </w:rPr>
              <w:t>② (현행 유지)</w:t>
            </w:r>
          </w:p>
        </w:tc>
      </w:tr>
    </w:tbl>
    <w:p/>
    <w:p>
      <w:pPr>
        <w:pStyle w:val="Heading2"/>
      </w:pPr>
      <w:r>
        <w:t>3.2 제13조(표준화과제의 제안 및 접수) — 제5항 신설</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제13조(표준화과제의 제안 및 접수) ① … 별지 제11호 서식 … 의 제안서를 사무국에 제출한다.</w:t>
            </w:r>
          </w:p>
          <w:p>
            <w:r>
              <w:rPr>
                <w:rFonts w:ascii="맑은 고딕" w:hAnsi="맑은 고딕" w:eastAsia="맑은 고딕"/>
                <w:b w:val="0"/>
                <w:sz w:val="17"/>
              </w:rPr>
              <w:t>② … 첨부하는 표준초안의 종류는 다음 각 호와 같으며 … 1.~4.</w:t>
            </w:r>
          </w:p>
          <w:p>
            <w:r>
              <w:rPr>
                <w:rFonts w:ascii="맑은 고딕" w:hAnsi="맑은 고딕" w:eastAsia="맑은 고딕"/>
                <w:b w:val="0"/>
                <w:sz w:val="17"/>
              </w:rPr>
              <w:t>③ 사무국은 … 보완을 요청 …</w:t>
            </w:r>
          </w:p>
          <w:p>
            <w:r>
              <w:rPr>
                <w:rFonts w:ascii="맑은 고딕" w:hAnsi="맑은 고딕" w:eastAsia="맑은 고딕"/>
                <w:b w:val="0"/>
                <w:sz w:val="17"/>
              </w:rPr>
              <w:t>④ 개인 또는 중소기업이 … 사무국의 협력을 받을 수 있다.</w:t>
            </w:r>
          </w:p>
        </w:tc>
        <w:tc>
          <w:tcPr>
            <w:tcW w:type="dxa" w:w="4320"/>
          </w:tcPr>
          <w:p>
            <w:r/>
            <w:r>
              <w:rPr>
                <w:rFonts w:ascii="맑은 고딕" w:hAnsi="맑은 고딕" w:eastAsia="맑은 고딕"/>
                <w:b w:val="0"/>
                <w:sz w:val="17"/>
              </w:rPr>
              <w:t>① ~ ④ (현행 유지)</w:t>
            </w:r>
          </w:p>
          <w:p>
            <w:r>
              <w:rPr>
                <w:rFonts w:ascii="맑은 고딕" w:hAnsi="맑은 고딕" w:eastAsia="맑은 고딕"/>
                <w:b/>
                <w:sz w:val="17"/>
              </w:rPr>
              <w:t>⑤ AI-Ready 적용 대상 표준을 제안하는 경우, 제안자는 별지 제11-1호 서식의 AI-Ready 선언(기술 대상 프로파일 및 목표 수준)을 제안서에 함께 첨부한다.</w:t>
            </w:r>
          </w:p>
        </w:tc>
      </w:tr>
    </w:tbl>
    <w:p/>
    <w:p>
      <w:pPr>
        <w:pStyle w:val="Heading2"/>
      </w:pPr>
      <w:r>
        <w:t>3.3 제15조(제안된 표준화과제의 검토) — 제2항 보강</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제15조(제안된 표준화과제의 검토) ① 사무국은 … 검토할 기술위원회등을 선정하여야 한다. …</w:t>
            </w:r>
          </w:p>
          <w:p>
            <w:r>
              <w:rPr>
                <w:rFonts w:ascii="맑은 고딕" w:hAnsi="맑은 고딕" w:eastAsia="맑은 고딕"/>
                <w:b w:val="0"/>
                <w:sz w:val="17"/>
              </w:rPr>
              <w:t>② … 기술위원회등의 장은 … 추진 타당성을 검토하고 … 별지 제15호 서식 … 의 검토결과서를 작성하여 운영위원회에 제안한다.</w:t>
            </w:r>
          </w:p>
          <w:p>
            <w:r>
              <w:rPr>
                <w:rFonts w:ascii="맑은 고딕" w:hAnsi="맑은 고딕" w:eastAsia="맑은 고딕"/>
                <w:b w:val="0"/>
                <w:sz w:val="17"/>
              </w:rPr>
              <w:t>③ … 관련 프로젝트그룹등을 선정하고 …</w:t>
            </w:r>
          </w:p>
        </w:tc>
        <w:tc>
          <w:tcPr>
            <w:tcW w:type="dxa" w:w="4320"/>
          </w:tcPr>
          <w:p>
            <w:r/>
            <w:r>
              <w:rPr>
                <w:rFonts w:ascii="맑은 고딕" w:hAnsi="맑은 고딕" w:eastAsia="맑은 고딕"/>
                <w:b w:val="0"/>
                <w:sz w:val="17"/>
              </w:rPr>
              <w:t>① (현행 유지)</w:t>
            </w:r>
          </w:p>
          <w:p>
            <w:r>
              <w:rPr>
                <w:rFonts w:ascii="맑은 고딕" w:hAnsi="맑은 고딕" w:eastAsia="맑은 고딕"/>
                <w:b w:val="0"/>
                <w:sz w:val="17"/>
              </w:rPr>
              <w:t xml:space="preserve">② … 검토결과서를 작성하여 운영위원회에 제안한다. </w:t>
            </w:r>
            <w:r>
              <w:rPr>
                <w:rFonts w:ascii="맑은 고딕" w:hAnsi="맑은 고딕" w:eastAsia="맑은 고딕"/>
                <w:b/>
                <w:sz w:val="17"/>
              </w:rPr>
              <w:t>이때 제안된 과제의 AI-Ready 적용 대상 여부와 목표 수준을 확인하여 검토결과서(별지 제15호 서식)에 기재한다.</w:t>
            </w:r>
          </w:p>
          <w:p>
            <w:r>
              <w:rPr>
                <w:rFonts w:ascii="맑은 고딕" w:hAnsi="맑은 고딕" w:eastAsia="맑은 고딕"/>
                <w:b w:val="0"/>
                <w:sz w:val="17"/>
              </w:rPr>
              <w:t>③ (현행 유지)</w:t>
            </w:r>
          </w:p>
        </w:tc>
      </w:tr>
    </w:tbl>
    <w:p/>
    <w:p>
      <w:pPr>
        <w:pStyle w:val="Heading2"/>
      </w:pPr>
      <w:r>
        <w:t>3.4 제19조(표준초안의 작성) — 제1항 9호 신설</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제19조(표준초안의 작성) ① 프로젝트그룹등에서의 표준초안 작성은 다음 각 호를 따른다.</w:t>
            </w:r>
          </w:p>
          <w:p>
            <w:r>
              <w:rPr>
                <w:rFonts w:ascii="맑은 고딕" w:hAnsi="맑은 고딕" w:eastAsia="맑은 고딕"/>
                <w:b w:val="0"/>
                <w:sz w:val="17"/>
              </w:rPr>
              <w:t>1. … 지식재산권 … 확약서 …</w:t>
            </w:r>
          </w:p>
          <w:p>
            <w:r>
              <w:rPr>
                <w:rFonts w:ascii="맑은 고딕" w:hAnsi="맑은 고딕" w:eastAsia="맑은 고딕"/>
                <w:b w:val="0"/>
                <w:sz w:val="17"/>
              </w:rPr>
              <w:t>2. 표준초안에는 표지·서문·목차·본문·해설서 … 다만, 기술규격은 앞표지와 원문으로 한다.</w:t>
            </w:r>
          </w:p>
          <w:p>
            <w:r>
              <w:rPr>
                <w:rFonts w:ascii="맑은 고딕" w:hAnsi="맑은 고딕" w:eastAsia="맑은 고딕"/>
                <w:b w:val="0"/>
                <w:sz w:val="17"/>
              </w:rPr>
              <w:t>3.~8. (명확 작성 · 준용 · 번역 · 차이점 · draft 처리)</w:t>
            </w:r>
          </w:p>
        </w:tc>
        <w:tc>
          <w:tcPr>
            <w:tcW w:type="dxa" w:w="4320"/>
          </w:tcPr>
          <w:p>
            <w:r/>
            <w:r>
              <w:rPr>
                <w:rFonts w:ascii="맑은 고딕" w:hAnsi="맑은 고딕" w:eastAsia="맑은 고딕"/>
                <w:b w:val="0"/>
                <w:sz w:val="17"/>
              </w:rPr>
              <w:t>① 1.~8. (현행 유지)</w:t>
            </w:r>
          </w:p>
          <w:p>
            <w:r>
              <w:rPr>
                <w:rFonts w:ascii="맑은 고딕" w:hAnsi="맑은 고딕" w:eastAsia="맑은 고딕"/>
                <w:b/>
                <w:sz w:val="17"/>
              </w:rPr>
              <w:t>9. AI-Ready 적용 대상 표준의 표준초안은 「정보통신단체표준 작성지침」에 따라 작성한다. 이 경우 데이터 요소를 정의하는 표준은 데이터 요소를 정규 컬럼표로 정의하고, 요소와 전역 어휘 식별자의 매핑을 JSON-LD @context 부속서로 첨부한다. 규범적으로 사용하는 외부 어휘·스키마는 적용 대상 표준 전부에 대하여 인용표준에 등재한다.</w:t>
            </w:r>
          </w:p>
        </w:tc>
      </w:tr>
    </w:tbl>
    <w:p/>
    <w:p>
      <w:pPr>
        <w:pStyle w:val="Heading2"/>
      </w:pPr>
      <w:r>
        <w:t>3.5 제19조의2(표준초안 에디터) — 제5항 신설 (공동 에디터)</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제19조의2(표준초안 에디터) ① 운영규정 제38조제2항에 따라 … 위원 중에서 에디터를 지정한다. 필요시 복수의 에디터를 지정할 수 있으며, 이 경우 주에디터를 지정한다.</w:t>
            </w:r>
          </w:p>
          <w:p>
            <w:r>
              <w:rPr>
                <w:rFonts w:ascii="맑은 고딕" w:hAnsi="맑은 고딕" w:eastAsia="맑은 고딕"/>
                <w:b w:val="0"/>
                <w:sz w:val="17"/>
              </w:rPr>
              <w:t>② 프로젝트그룹등의 장은 에디터를 겸임할 수 있다.</w:t>
            </w:r>
          </w:p>
          <w:p>
            <w:r>
              <w:rPr>
                <w:rFonts w:ascii="맑은 고딕" w:hAnsi="맑은 고딕" w:eastAsia="맑은 고딕"/>
                <w:b w:val="0"/>
                <w:sz w:val="17"/>
              </w:rPr>
              <w:t>③ 에디터의 임기는 … 표준으로 채택되는 시점까지 …</w:t>
            </w:r>
          </w:p>
          <w:p>
            <w:r>
              <w:rPr>
                <w:rFonts w:ascii="맑은 고딕" w:hAnsi="맑은 고딕" w:eastAsia="맑은 고딕"/>
                <w:b w:val="0"/>
                <w:sz w:val="17"/>
              </w:rPr>
              <w:t>④ 에디터는 … 「정보통신단체표준 작성지침」에 따라 표준초안을 작성한다.</w:t>
            </w:r>
          </w:p>
        </w:tc>
        <w:tc>
          <w:tcPr>
            <w:tcW w:type="dxa" w:w="4320"/>
          </w:tcPr>
          <w:p>
            <w:r/>
            <w:r>
              <w:rPr>
                <w:rFonts w:ascii="맑은 고딕" w:hAnsi="맑은 고딕" w:eastAsia="맑은 고딕"/>
                <w:b w:val="0"/>
                <w:sz w:val="17"/>
              </w:rPr>
              <w:t>① ~ ④ (현행 유지)</w:t>
            </w:r>
          </w:p>
          <w:p>
            <w:r>
              <w:rPr>
                <w:rFonts w:ascii="맑은 고딕" w:hAnsi="맑은 고딕" w:eastAsia="맑은 고딕"/>
                <w:b/>
                <w:sz w:val="17"/>
              </w:rPr>
              <w:t>⑤ AI-Ready 적용 대상 표준의 경우, 프로젝트그룹등의 장은 운영규정 제29조제1항제2호에 따라 위촉된 어휘 전문가(특별위원)를 제1항에 따른 공동 에디터로 지정할 수 있다. 공동 에디터는 요소와 전역 어휘 식별자의 매핑 및 기계가독 부속서를 보강하며, 특별위원으로서 의결권을 갖지 아니한다(운영규정 제33조제5항).</w:t>
            </w:r>
          </w:p>
        </w:tc>
      </w:tr>
    </w:tbl>
    <w:p/>
    <w:p>
      <w:pPr>
        <w:pStyle w:val="Heading2"/>
      </w:pPr>
      <w:r>
        <w:t>3.6 제21조(표준안의 채택) — 제5항 신설 (상정 자가점검)</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제21조(표준안의 채택) ① 기술위원회등은 … 표준초안을 심의·채택한다.</w:t>
            </w:r>
          </w:p>
          <w:p>
            <w:r>
              <w:rPr>
                <w:rFonts w:ascii="맑은 고딕" w:hAnsi="맑은 고딕" w:eastAsia="맑은 고딕"/>
                <w:b w:val="0"/>
                <w:sz w:val="17"/>
              </w:rPr>
              <w:t>② … 표준안을 표준총회에 상정한다.</w:t>
            </w:r>
          </w:p>
          <w:p>
            <w:r>
              <w:rPr>
                <w:rFonts w:ascii="맑은 고딕" w:hAnsi="맑은 고딕" w:eastAsia="맑은 고딕"/>
                <w:b w:val="0"/>
                <w:sz w:val="17"/>
              </w:rPr>
              <w:t>③ … 제출된 의견서 및 검토결과서를 표준총회에 제출 …</w:t>
            </w:r>
          </w:p>
          <w:p>
            <w:r>
              <w:rPr>
                <w:rFonts w:ascii="맑은 고딕" w:hAnsi="맑은 고딕" w:eastAsia="맑은 고딕"/>
                <w:b w:val="0"/>
                <w:sz w:val="17"/>
              </w:rPr>
              <w:t>④ … 부결되어 재논의된 이력이 있는 경우 … 활동경위서를 상정한다.</w:t>
            </w:r>
          </w:p>
        </w:tc>
        <w:tc>
          <w:tcPr>
            <w:tcW w:type="dxa" w:w="4320"/>
          </w:tcPr>
          <w:p>
            <w:r/>
            <w:r>
              <w:rPr>
                <w:rFonts w:ascii="맑은 고딕" w:hAnsi="맑은 고딕" w:eastAsia="맑은 고딕"/>
                <w:b w:val="0"/>
                <w:sz w:val="17"/>
              </w:rPr>
              <w:t>① ~ ④ (현행 유지)</w:t>
            </w:r>
          </w:p>
          <w:p>
            <w:r>
              <w:rPr>
                <w:rFonts w:ascii="맑은 고딕" w:hAnsi="맑은 고딕" w:eastAsia="맑은 고딕"/>
                <w:b/>
                <w:sz w:val="17"/>
              </w:rPr>
              <w:t>⑤ AI-Ready 적용 대상 표준안을 상정하는 경우, 기술위원회등의 장은 별표 10의 기준에 따른 AI-Ready 자가점검표(별지 제21-1호 서식 — 구성요소별 달성 등급·문서 정합성·제출 산출물 확인)를 함께 제출한다.</w:t>
            </w:r>
          </w:p>
        </w:tc>
      </w:tr>
    </w:tbl>
    <w:p/>
    <w:p>
      <w:pPr>
        <w:pStyle w:val="Heading2"/>
      </w:pPr>
      <w:r>
        <w:t>3.7 제26조(표준의 관리) — 제6항 신설 (유지보수 점검)</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제26조(표준의 관리) ① … 표준 공고 후 5년 이내의 표준 … 에 대하여 유지·개정 또는 폐지 여부를 검토(유지보수)한다.</w:t>
            </w:r>
          </w:p>
          <w:p>
            <w:r>
              <w:rPr>
                <w:rFonts w:ascii="맑은 고딕" w:hAnsi="맑은 고딕" w:eastAsia="맑은 고딕"/>
                <w:b w:val="0"/>
                <w:sz w:val="17"/>
              </w:rPr>
              <w:t>② … 별지 제23호 서식 … 의 검토결과서를 작성하여 운영위원회에 보고 …</w:t>
            </w:r>
          </w:p>
          <w:p>
            <w:r>
              <w:rPr>
                <w:rFonts w:ascii="맑은 고딕" w:hAnsi="맑은 고딕" w:eastAsia="맑은 고딕"/>
                <w:b w:val="0"/>
                <w:sz w:val="17"/>
              </w:rPr>
              <w:t>③ ~ ⑤ (재검토 기간 · 잠정표준 · 개정/폐지 상정)</w:t>
            </w:r>
          </w:p>
        </w:tc>
        <w:tc>
          <w:tcPr>
            <w:tcW w:type="dxa" w:w="4320"/>
          </w:tcPr>
          <w:p>
            <w:r/>
            <w:r>
              <w:rPr>
                <w:rFonts w:ascii="맑은 고딕" w:hAnsi="맑은 고딕" w:eastAsia="맑은 고딕"/>
                <w:b w:val="0"/>
                <w:sz w:val="17"/>
              </w:rPr>
              <w:t>① ~ ⑤ (현행 유지)</w:t>
            </w:r>
          </w:p>
          <w:p>
            <w:r>
              <w:rPr>
                <w:rFonts w:ascii="맑은 고딕" w:hAnsi="맑은 고딕" w:eastAsia="맑은 고딕"/>
                <w:b/>
                <w:sz w:val="17"/>
              </w:rPr>
              <w:t>⑥ 제1항에 따른 유지보수 시, AI-Ready 적용 대상 표준은 별표 10의 기준에 따른 AI-Ready 자가점검(달성 등급·성숙도)을 함께 실시하여 그 결과를 검토결과서(별지 제23호 서식)에 기재한다.</w:t>
            </w:r>
          </w:p>
        </w:tc>
      </w:tr>
    </w:tbl>
    <w:p/>
    <w:p>
      <w:pPr>
        <w:pStyle w:val="Heading2"/>
      </w:pPr>
      <w:r>
        <w:t>3.8 제11조(회의 진행) — 제4항 신설 (기계 점검, 재량)</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제11조(회의 진행) ① 의장은 모든 위원이 충분히 발언할 수 있도록 … 발언을 제한할 수 있다.</w:t>
            </w:r>
          </w:p>
          <w:p>
            <w:r>
              <w:rPr>
                <w:rFonts w:ascii="맑은 고딕" w:hAnsi="맑은 고딕" w:eastAsia="맑은 고딕"/>
                <w:b w:val="0"/>
                <w:sz w:val="17"/>
              </w:rPr>
              <w:t>② … 이해관계인을 회의에 참석시킬 수 있다.</w:t>
            </w:r>
          </w:p>
          <w:p>
            <w:r>
              <w:rPr>
                <w:rFonts w:ascii="맑은 고딕" w:hAnsi="맑은 고딕" w:eastAsia="맑은 고딕"/>
                <w:b w:val="0"/>
                <w:sz w:val="17"/>
              </w:rPr>
              <w:t>③ 사무국은 … 전자적 방법을 활용할 수 있다.</w:t>
            </w:r>
          </w:p>
        </w:tc>
        <w:tc>
          <w:tcPr>
            <w:tcW w:type="dxa" w:w="4320"/>
          </w:tcPr>
          <w:p>
            <w:r/>
            <w:r>
              <w:rPr>
                <w:rFonts w:ascii="맑은 고딕" w:hAnsi="맑은 고딕" w:eastAsia="맑은 고딕"/>
                <w:b w:val="0"/>
                <w:sz w:val="17"/>
              </w:rPr>
              <w:t>① ~ ③ (현행 유지)</w:t>
            </w:r>
          </w:p>
          <w:p>
            <w:r>
              <w:rPr>
                <w:rFonts w:ascii="맑은 고딕" w:hAnsi="맑은 고딕" w:eastAsia="맑은 고딕"/>
                <w:b/>
                <w:sz w:val="17"/>
              </w:rPr>
              <w:t>④ 사무국은 AI-Ready 적용 대상 표준의 산출물(요소 정의표, 기계가독 부속서)에 대하여 형식 정합성을 전자적 방법으로 점검할 수 있다.</w:t>
            </w:r>
          </w:p>
          <w:p>
            <w:r>
              <w:rPr>
                <w:rFonts w:ascii="맑은 고딕" w:hAnsi="맑은 고딕" w:eastAsia="맑은 고딕"/>
                <w:b w:val="0"/>
                <w:sz w:val="17"/>
              </w:rPr>
              <w:t>※ "할 수 있다"(재량)로 두어 필수 관문화(별표1 절차 개정·사무국 부담)를 피한다.</w:t>
            </w:r>
          </w:p>
        </w:tc>
      </w:tr>
    </w:tbl>
    <w:p/>
    <w:p>
      <w:pPr>
        <w:pStyle w:val="Heading2"/>
      </w:pPr>
      <w:r>
        <w:t>3.9 별표·별지 신설·개정</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6552"/>
      </w:tblGrid>
      <w:tr>
        <w:tc>
          <w:tcPr>
            <w:tcW w:type="dxa" w:w="2016"/>
          </w:tcPr>
          <w:p>
            <w:r/>
            <w:r>
              <w:rPr>
                <w:rFonts w:ascii="맑은 고딕" w:hAnsi="맑은 고딕" w:eastAsia="맑은 고딕"/>
                <w:b/>
                <w:sz w:val="17"/>
              </w:rPr>
              <w:t>구분</w:t>
            </w:r>
          </w:p>
        </w:tc>
        <w:tc>
          <w:tcPr>
            <w:tcW w:type="dxa" w:w="6552"/>
          </w:tcPr>
          <w:p>
            <w:r/>
            <w:r>
              <w:rPr>
                <w:rFonts w:ascii="맑은 고딕" w:hAnsi="맑은 고딕" w:eastAsia="맑은 고딕"/>
                <w:b/>
                <w:sz w:val="17"/>
              </w:rPr>
              <w:t>내용</w:t>
            </w:r>
          </w:p>
        </w:tc>
      </w:tr>
      <w:tr>
        <w:tc>
          <w:tcPr>
            <w:tcW w:type="dxa" w:w="2016"/>
          </w:tcPr>
          <w:p>
            <w:r/>
            <w:r>
              <w:rPr>
                <w:rFonts w:ascii="맑은 고딕" w:hAnsi="맑은 고딕" w:eastAsia="맑은 고딕"/>
                <w:b/>
                <w:sz w:val="17"/>
              </w:rPr>
              <w:t>별표 10 신설</w:t>
            </w:r>
          </w:p>
        </w:tc>
        <w:tc>
          <w:tcPr>
            <w:tcW w:type="dxa" w:w="6552"/>
          </w:tcPr>
          <w:p>
            <w:r/>
            <w:r>
              <w:rPr>
                <w:rFonts w:ascii="맑은 고딕" w:hAnsi="맑은 고딕" w:eastAsia="맑은 고딕"/>
                <w:b w:val="0"/>
                <w:sz w:val="17"/>
              </w:rPr>
              <w:t>AI-Ready 수준 요건표 — L1(시맨틱·신태틱)·L2(데이터 모델·출처)·L3(운영·품질·접근) × 7구성요소별 등급 기준·성숙도 산식(적용 구성요소 수×2로 나눔; 비-ML 12·ML 14)</w:t>
            </w:r>
          </w:p>
        </w:tc>
      </w:tr>
      <w:tr>
        <w:tc>
          <w:tcPr>
            <w:tcW w:type="dxa" w:w="2016"/>
          </w:tcPr>
          <w:p>
            <w:r/>
            <w:r>
              <w:rPr>
                <w:rFonts w:ascii="맑은 고딕" w:hAnsi="맑은 고딕" w:eastAsia="맑은 고딕"/>
                <w:b/>
                <w:sz w:val="17"/>
              </w:rPr>
              <w:t>별지 제11-1호 신설</w:t>
            </w:r>
          </w:p>
        </w:tc>
        <w:tc>
          <w:tcPr>
            <w:tcW w:type="dxa" w:w="6552"/>
          </w:tcPr>
          <w:p>
            <w:r/>
            <w:r>
              <w:rPr>
                <w:rFonts w:ascii="맑은 고딕" w:hAnsi="맑은 고딕" w:eastAsia="맑은 고딕"/>
                <w:b w:val="0"/>
                <w:sz w:val="17"/>
              </w:rPr>
              <w:t>AI-Ready 선언(목표 수준 신청) 서식 — 프로파일(①지식정보/②자기기술형 레코드/③AI 데이터세트/④품질 지표)·필수/권장 목표·현행 진단. (하이픈 서식 선례: 별지 제5-1호·제10-1호)</w:t>
            </w:r>
          </w:p>
        </w:tc>
      </w:tr>
      <w:tr>
        <w:tc>
          <w:tcPr>
            <w:tcW w:type="dxa" w:w="2016"/>
          </w:tcPr>
          <w:p>
            <w:r/>
            <w:r>
              <w:rPr>
                <w:rFonts w:ascii="맑은 고딕" w:hAnsi="맑은 고딕" w:eastAsia="맑은 고딕"/>
                <w:b/>
                <w:sz w:val="17"/>
              </w:rPr>
              <w:t>별지 제15호 개정</w:t>
            </w:r>
          </w:p>
        </w:tc>
        <w:tc>
          <w:tcPr>
            <w:tcW w:type="dxa" w:w="6552"/>
          </w:tcPr>
          <w:p>
            <w:r/>
            <w:r>
              <w:rPr>
                <w:rFonts w:ascii="맑은 고딕" w:hAnsi="맑은 고딕" w:eastAsia="맑은 고딕"/>
                <w:b w:val="0"/>
                <w:sz w:val="17"/>
              </w:rPr>
              <w:t>표준화과제안(제·개정) 검토결과서에 "AI-Ready 적용 대상·목표 수준" 확인란 추가(제15조제2항 연계). ※ 별지 제16호(표준 폐지 검토)는 AI-Ready 무관이라 개정 제외</w:t>
            </w:r>
          </w:p>
        </w:tc>
      </w:tr>
      <w:tr>
        <w:tc>
          <w:tcPr>
            <w:tcW w:type="dxa" w:w="2016"/>
          </w:tcPr>
          <w:p>
            <w:r/>
            <w:r>
              <w:rPr>
                <w:rFonts w:ascii="맑은 고딕" w:hAnsi="맑은 고딕" w:eastAsia="맑은 고딕"/>
                <w:b/>
                <w:sz w:val="17"/>
              </w:rPr>
              <w:t>별지 제23호·제24호 개정</w:t>
            </w:r>
          </w:p>
        </w:tc>
        <w:tc>
          <w:tcPr>
            <w:tcW w:type="dxa" w:w="6552"/>
          </w:tcPr>
          <w:p>
            <w:r/>
            <w:r>
              <w:rPr>
                <w:rFonts w:ascii="맑은 고딕" w:hAnsi="맑은 고딕" w:eastAsia="맑은 고딕"/>
                <w:b w:val="0"/>
                <w:sz w:val="17"/>
              </w:rPr>
              <w:t>유지보수 검토결과서에 "AI-Ready 자가점검 결과"란 추가(제26조제6항 연계) — 별지 제23호(표준)·제24호(잠정표준) 동일 적용</w:t>
            </w:r>
          </w:p>
        </w:tc>
      </w:tr>
    </w:tbl>
    <w:p/>
    <w:p>
      <w:pPr>
        <w:pStyle w:val="Heading2"/>
      </w:pPr>
      <w:r>
        <w:t>3.10 별표 목록·별지 서식 목록 반영 (신설 항목 등재)</w:t>
      </w:r>
    </w:p>
    <w:p>
      <w:r>
        <w:rPr>
          <w:rFonts w:ascii="맑은 고딕" w:hAnsi="맑은 고딕" w:eastAsia="맑은 고딕"/>
          <w:b w:val="0"/>
          <w:sz w:val="20"/>
        </w:rPr>
        <w:t>별표 10과 별지 제11-1호는 신설 항목이므로, 운영요령 앞부분의 「별표 목록」(No.·별표 내용·관련 운영요령)과 「별지 서식 목록」(분류·No.·서식 내용·관련 운영규정·관련 운영요령)에도 등재한다. 별지 제15·23·24호는 제목이 바뀌지 않으므로(내용 확인란만 추가) 목록 변경이 없다.</w:t>
      </w:r>
    </w:p>
    <w:p>
      <w:r>
        <w:rPr>
          <w:rFonts w:ascii="맑은 고딕" w:hAnsi="맑은 고딕" w:eastAsia="맑은 고딕"/>
          <w:b/>
          <w:sz w:val="19"/>
        </w:rPr>
        <w:t>「별표 목록」 반영</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「별표 목록」 (발췌)</w:t>
            </w:r>
          </w:p>
          <w:p>
            <w:r>
              <w:rPr>
                <w:rFonts w:ascii="맑은 고딕" w:hAnsi="맑은 고딕" w:eastAsia="맑은 고딕"/>
                <w:b w:val="0"/>
                <w:sz w:val="17"/>
              </w:rPr>
              <w:t>7  &lt;별표 7&gt; 정보통신 표준용어의 제·개정 및 폐지 절차도   제29조</w:t>
            </w:r>
          </w:p>
          <w:p>
            <w:r>
              <w:rPr>
                <w:rFonts w:ascii="맑은 고딕" w:hAnsi="맑은 고딕" w:eastAsia="맑은 고딕"/>
                <w:b w:val="0"/>
                <w:sz w:val="17"/>
              </w:rPr>
              <w:t>8  &lt;별표 8&gt; &lt;삭 제&gt;</w:t>
            </w:r>
          </w:p>
          <w:p>
            <w:r>
              <w:rPr>
                <w:rFonts w:ascii="맑은 고딕" w:hAnsi="맑은 고딕" w:eastAsia="맑은 고딕"/>
                <w:b w:val="0"/>
                <w:sz w:val="17"/>
              </w:rPr>
              <w:t>9  &lt;별표 9&gt; &lt;삭 제&gt;</w:t>
            </w:r>
          </w:p>
        </w:tc>
        <w:tc>
          <w:tcPr>
            <w:tcW w:type="dxa" w:w="4320"/>
          </w:tcPr>
          <w:p>
            <w:r/>
            <w:r>
              <w:rPr>
                <w:rFonts w:ascii="맑은 고딕" w:hAnsi="맑은 고딕" w:eastAsia="맑은 고딕"/>
                <w:b w:val="0"/>
                <w:sz w:val="17"/>
              </w:rPr>
              <w:t>「별표 목록」 (발췌)</w:t>
            </w:r>
          </w:p>
          <w:p>
            <w:r>
              <w:rPr>
                <w:rFonts w:ascii="맑은 고딕" w:hAnsi="맑은 고딕" w:eastAsia="맑은 고딕"/>
                <w:b w:val="0"/>
                <w:sz w:val="17"/>
              </w:rPr>
              <w:t>7  &lt;별표 7&gt; …   제29조</w:t>
            </w:r>
          </w:p>
          <w:p>
            <w:r>
              <w:rPr>
                <w:rFonts w:ascii="맑은 고딕" w:hAnsi="맑은 고딕" w:eastAsia="맑은 고딕"/>
                <w:b w:val="0"/>
                <w:sz w:val="17"/>
              </w:rPr>
              <w:t>8·9  &lt;삭 제&gt;</w:t>
            </w:r>
          </w:p>
          <w:p>
            <w:r>
              <w:rPr>
                <w:rFonts w:ascii="맑은 고딕" w:hAnsi="맑은 고딕" w:eastAsia="맑은 고딕"/>
                <w:b/>
                <w:sz w:val="17"/>
              </w:rPr>
              <w:t>10  &lt;별표 10&gt; AI-Ready 수준 요건   제2조·제21조·제26조</w:t>
            </w:r>
          </w:p>
        </w:tc>
      </w:tr>
    </w:tbl>
    <w:p/>
    <w:p>
      <w:r>
        <w:rPr>
          <w:rFonts w:ascii="맑은 고딕" w:hAnsi="맑은 고딕" w:eastAsia="맑은 고딕"/>
          <w:b/>
          <w:sz w:val="19"/>
        </w:rPr>
        <w:t>「별지 서식 목록」 반영 — 두 곳에 신설 (제안 · 상정)</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「별지 서식 목록」 (발췌)</w:t>
            </w:r>
          </w:p>
          <w:p>
            <w:r>
              <w:rPr>
                <w:rFonts w:ascii="맑은 고딕" w:hAnsi="맑은 고딕" w:eastAsia="맑은 고딕"/>
                <w:b w:val="0"/>
                <w:sz w:val="17"/>
              </w:rPr>
              <w:t>11    &lt;별지 제11호서식&gt; 표준 (제정, 개정) 제안서   제35조 / 제13조</w:t>
            </w:r>
          </w:p>
          <w:p>
            <w:r>
              <w:rPr>
                <w:rFonts w:ascii="맑은 고딕" w:hAnsi="맑은 고딕" w:eastAsia="맑은 고딕"/>
                <w:b w:val="0"/>
                <w:sz w:val="17"/>
              </w:rPr>
              <w:t>12    &lt;별지 제12호서식&gt; 표준 폐지 제안서   제35조 / 제13조</w:t>
            </w:r>
          </w:p>
          <w:p>
            <w:r>
              <w:rPr>
                <w:rFonts w:ascii="맑은 고딕" w:hAnsi="맑은 고딕" w:eastAsia="맑은 고딕"/>
                <w:b w:val="0"/>
                <w:sz w:val="17"/>
              </w:rPr>
              <w:t xml:space="preserve">  …  (중략)</w:t>
            </w:r>
          </w:p>
          <w:p>
            <w:r>
              <w:rPr>
                <w:rFonts w:ascii="맑은 고딕" w:hAnsi="맑은 고딕" w:eastAsia="맑은 고딕"/>
                <w:b w:val="0"/>
                <w:sz w:val="17"/>
              </w:rPr>
              <w:t>21    &lt;별지 제21호서식&gt; 표준화 활동 경위서   -  / 제21조</w:t>
            </w:r>
          </w:p>
          <w:p>
            <w:r>
              <w:rPr>
                <w:rFonts w:ascii="맑은 고딕" w:hAnsi="맑은 고딕" w:eastAsia="맑은 고딕"/>
                <w:b w:val="0"/>
                <w:sz w:val="17"/>
              </w:rPr>
              <w:t>22    &lt;별지 제22호서식&gt; 국가표준(KS)와 단체표준 동일성 검토 결과서   제43조 / 제24조의2</w:t>
            </w:r>
          </w:p>
        </w:tc>
        <w:tc>
          <w:tcPr>
            <w:tcW w:type="dxa" w:w="4320"/>
          </w:tcPr>
          <w:p>
            <w:r/>
            <w:r>
              <w:rPr>
                <w:rFonts w:ascii="맑은 고딕" w:hAnsi="맑은 고딕" w:eastAsia="맑은 고딕"/>
                <w:b w:val="0"/>
                <w:sz w:val="17"/>
              </w:rPr>
              <w:t>「별지 서식 목록」 (발췌)</w:t>
            </w:r>
          </w:p>
          <w:p>
            <w:r>
              <w:rPr>
                <w:rFonts w:ascii="맑은 고딕" w:hAnsi="맑은 고딕" w:eastAsia="맑은 고딕"/>
                <w:b w:val="0"/>
                <w:sz w:val="17"/>
              </w:rPr>
              <w:t>11    &lt;별지 제11호서식&gt; 표준 (제정, 개정) 제안서   제35조 / 제13조</w:t>
            </w:r>
          </w:p>
          <w:p>
            <w:r>
              <w:rPr>
                <w:rFonts w:ascii="맑은 고딕" w:hAnsi="맑은 고딕" w:eastAsia="맑은 고딕"/>
                <w:b/>
                <w:sz w:val="17"/>
              </w:rPr>
              <w:t>11-1  &lt;별지 제11-1호서식&gt; AI-Ready 선언(목표 수준 신청)   제35조 / 제13조</w:t>
            </w:r>
          </w:p>
          <w:p>
            <w:r>
              <w:rPr>
                <w:rFonts w:ascii="맑은 고딕" w:hAnsi="맑은 고딕" w:eastAsia="맑은 고딕"/>
                <w:b w:val="0"/>
                <w:sz w:val="17"/>
              </w:rPr>
              <w:t>12    &lt;별지 제12호서식&gt; 표준 폐지 제안서   제35조 / 제13조</w:t>
            </w:r>
          </w:p>
          <w:p>
            <w:r>
              <w:rPr>
                <w:rFonts w:ascii="맑은 고딕" w:hAnsi="맑은 고딕" w:eastAsia="맑은 고딕"/>
                <w:b w:val="0"/>
                <w:sz w:val="17"/>
              </w:rPr>
              <w:t xml:space="preserve">  …  (중략)</w:t>
            </w:r>
          </w:p>
          <w:p>
            <w:r>
              <w:rPr>
                <w:rFonts w:ascii="맑은 고딕" w:hAnsi="맑은 고딕" w:eastAsia="맑은 고딕"/>
                <w:b w:val="0"/>
                <w:sz w:val="17"/>
              </w:rPr>
              <w:t>21    &lt;별지 제21호서식&gt; 표준화 활동 경위서   -  / 제21조</w:t>
            </w:r>
          </w:p>
          <w:p>
            <w:r>
              <w:rPr>
                <w:rFonts w:ascii="맑은 고딕" w:hAnsi="맑은 고딕" w:eastAsia="맑은 고딕"/>
                <w:b/>
                <w:sz w:val="17"/>
              </w:rPr>
              <w:t>21-1  &lt;별지 제21-1호서식&gt; AI-Ready 자가점검표   -  / 제21조</w:t>
            </w:r>
          </w:p>
          <w:p>
            <w:r>
              <w:rPr>
                <w:rFonts w:ascii="맑은 고딕" w:hAnsi="맑은 고딕" w:eastAsia="맑은 고딕"/>
                <w:b w:val="0"/>
                <w:sz w:val="17"/>
              </w:rPr>
              <w:t>22    &lt;별지 제22호서식&gt; 국가표준(KS)와 단체표준 동일성 검토 결과서   제43조 / 제24조의2</w:t>
            </w:r>
          </w:p>
        </w:tc>
      </w:tr>
    </w:tbl>
    <w:p/>
    <w:p>
      <w:r>
        <w:rPr>
          <w:rFonts w:ascii="맑은 고딕" w:hAnsi="맑은 고딕" w:eastAsia="맑은 고딕"/>
          <w:b w:val="0"/>
          <w:sz w:val="17"/>
        </w:rPr>
        <w:t>※ 11-1(선언)·21-1(자가점검표)은 5-1·10-1호와 같은 하이픈 서식 선례를 따른다. 11-1은 제11호(제·개정 제안서) 첨부라 11~12 사이, 21-1은 제21호(상정, 제21조) 관련이라 21 다음에 둔다.</w:t>
      </w:r>
    </w:p>
    <w:p>
      <w:pPr>
        <w:pStyle w:val="Heading2"/>
      </w:pPr>
      <w:r>
        <w:t>3.11 부칙 신설 (시행일·적용례)</w:t>
      </w:r>
    </w:p>
    <w:p>
      <w:r>
        <w:rPr>
          <w:rFonts w:ascii="맑은 고딕" w:hAnsi="맑은 고딕" w:eastAsia="맑은 고딕"/>
          <w:b w:val="0"/>
          <w:sz w:val="20"/>
        </w:rPr>
        <w:t>규정 개정에는 부칙을 붙여 시행일을 정한다. 운영요령은 개정마다 부칙을 누적해 왔으며(최종 부칙: 2025. 6. 13. 시행), 이번 AI-Ready 개정에도 부칙을 말미에 신설한다. 신규 요건이 진행 중인 과제에 소급되지 않도록 적용례를 함께 둔다.</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320"/>
      </w:tblGrid>
      <w:tr>
        <w:tc>
          <w:tcPr>
            <w:tcW w:type="dxa" w:w="4248"/>
          </w:tcPr>
          <w:p>
            <w:r/>
            <w:r>
              <w:rPr>
                <w:rFonts w:ascii="맑은 고딕" w:hAnsi="맑은 고딕" w:eastAsia="맑은 고딕"/>
                <w:b/>
                <w:sz w:val="17"/>
              </w:rPr>
              <w:t>현 행</w:t>
            </w:r>
          </w:p>
        </w:tc>
        <w:tc>
          <w:tcPr>
            <w:tcW w:type="dxa" w:w="4320"/>
          </w:tcPr>
          <w:p>
            <w:r/>
            <w:r>
              <w:rPr>
                <w:rFonts w:ascii="맑은 고딕" w:hAnsi="맑은 고딕" w:eastAsia="맑은 고딕"/>
                <w:b/>
                <w:sz w:val="17"/>
              </w:rPr>
              <w:t>개정(안)  (굵은 부분이 신설·추가)</w:t>
            </w:r>
          </w:p>
        </w:tc>
      </w:tr>
      <w:tr>
        <w:tc>
          <w:tcPr>
            <w:tcW w:type="dxa" w:w="4248"/>
          </w:tcPr>
          <w:p>
            <w:r/>
            <w:r>
              <w:rPr>
                <w:rFonts w:ascii="맑은 고딕" w:hAnsi="맑은 고딕" w:eastAsia="맑은 고딕"/>
                <w:b w:val="0"/>
                <w:sz w:val="17"/>
              </w:rPr>
              <w:t>(현행 부칙 — 최종)</w:t>
            </w:r>
          </w:p>
          <w:p>
            <w:r>
              <w:rPr>
                <w:rFonts w:ascii="맑은 고딕" w:hAnsi="맑은 고딕" w:eastAsia="맑은 고딕"/>
                <w:b w:val="0"/>
                <w:sz w:val="17"/>
              </w:rPr>
              <w:t>부칙</w:t>
            </w:r>
          </w:p>
          <w:p>
            <w:r>
              <w:rPr>
                <w:rFonts w:ascii="맑은 고딕" w:hAnsi="맑은 고딕" w:eastAsia="맑은 고딕"/>
                <w:b w:val="0"/>
                <w:sz w:val="17"/>
              </w:rPr>
              <w:t>제1조(시행일) 이 운영요령은 2025년 6월 13일부터 시행한다.</w:t>
            </w:r>
          </w:p>
        </w:tc>
        <w:tc>
          <w:tcPr>
            <w:tcW w:type="dxa" w:w="4320"/>
          </w:tcPr>
          <w:p>
            <w:r/>
            <w:r>
              <w:rPr>
                <w:rFonts w:ascii="맑은 고딕" w:hAnsi="맑은 고딕" w:eastAsia="맑은 고딕"/>
                <w:b w:val="0"/>
                <w:sz w:val="17"/>
              </w:rPr>
              <w:t>(개정 시 부칙 신설 — 기존 부칙 말미에 추가)</w:t>
            </w:r>
          </w:p>
          <w:p>
            <w:r>
              <w:rPr>
                <w:rFonts w:ascii="맑은 고딕" w:hAnsi="맑은 고딕" w:eastAsia="맑은 고딕"/>
                <w:b/>
                <w:sz w:val="17"/>
              </w:rPr>
              <w:t>부칙  〈AI-Ready 표준 지원 개정〉</w:t>
            </w:r>
          </w:p>
          <w:p>
            <w:r>
              <w:rPr>
                <w:rFonts w:ascii="맑은 고딕" w:hAnsi="맑은 고딕" w:eastAsia="맑은 고딕"/>
                <w:b/>
                <w:sz w:val="17"/>
              </w:rPr>
              <w:t>제1조(시행일) 이 운영요령은 공포한 날부터 시행한다.</w:t>
            </w:r>
          </w:p>
          <w:p>
            <w:r>
              <w:rPr>
                <w:rFonts w:ascii="맑은 고딕" w:hAnsi="맑은 고딕" w:eastAsia="맑은 고딕"/>
                <w:b/>
                <w:sz w:val="17"/>
              </w:rPr>
              <w:t>제2조(적용례) ① 제2조·제13조·제15조·제19조·제19조의2·제21조와 별표 10·별지 제11-1호의 개정 규정은 이 운영요령 시행 후 최초로 제안하는 표준화과제부터 적용한다.</w:t>
            </w:r>
          </w:p>
          <w:p>
            <w:r>
              <w:rPr>
                <w:rFonts w:ascii="맑은 고딕" w:hAnsi="맑은 고딕" w:eastAsia="맑은 고딕"/>
                <w:b/>
                <w:sz w:val="17"/>
              </w:rPr>
              <w:t>② 이 운영요령 시행 당시 이미 공고된 표준에 대해서는 제26조제6항의 개정 규정을 그 표준의 다음 유지보수 시부터 적용한다.</w:t>
            </w:r>
          </w:p>
        </w:tc>
      </w:tr>
    </w:tbl>
    <w:p/>
    <w:p>
      <w:r>
        <w:rPr>
          <w:rFonts w:ascii="맑은 고딕" w:hAnsi="맑은 고딕" w:eastAsia="맑은 고딕"/>
          <w:b w:val="0"/>
          <w:sz w:val="17"/>
        </w:rPr>
        <w:t>※ 8월 10일은 운영위원회 상정·의결 회의일이며 시행일이 아니다. 시행일은 아직 정해지지 않았고, AI-Ready 개정 과제(작성지침 개정 등)가 2026년 말까지 진행되므로 그 완료 시점에 맞춰 의결·공포 절차에서 확정한다. 따라서 이 부칙은 특정일 대신 "공포한 날부터"로 두며, 특정일로 시행하려면 의결 시 그 날짜를 기재한다. 적용례(제2조)는 진행·기존 표준의 부담을 줄이고 전환을 유지보수 주기(제26조⑥)로 흡수하는 설계다.</w:t>
      </w:r>
    </w:p>
    <w:p>
      <w:pPr>
        <w:pStyle w:val="Heading2"/>
      </w:pPr>
      <w:r>
        <w:t>3.12 별표 1 (제·개정·폐지 절차도) — AI-Ready 접점 주석</w:t>
      </w:r>
    </w:p>
    <w:p>
      <w:r>
        <w:rPr>
          <w:rFonts w:ascii="맑은 고딕" w:hAnsi="맑은 고딕" w:eastAsia="맑은 고딕"/>
          <w:b w:val="0"/>
          <w:sz w:val="20"/>
        </w:rPr>
        <w:t>별표 1의 절차 흐름(제안→검토→채택→초안→의견수렴→상정→공고)은 바뀌지 않는다 — AI-Ready는 새 단계를 더하지 않고 기존 단계에 산출물·점검을 부가하기 때문이다. 아래 주석을 해당 단계에 덧붙여 AI-Ready 접점을 표시하고(적용 대상 표준에 한함), 서식 범위 표기는 신설분을 포함하도록 넓힌다.</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4"/>
        <w:gridCol w:w="2232"/>
        <w:gridCol w:w="4392"/>
      </w:tblGrid>
      <w:tr>
        <w:tc>
          <w:tcPr>
            <w:tcW w:type="dxa" w:w="1944"/>
          </w:tcPr>
          <w:p>
            <w:r/>
            <w:r>
              <w:rPr>
                <w:rFonts w:ascii="맑은 고딕" w:hAnsi="맑은 고딕" w:eastAsia="맑은 고딕"/>
                <w:b/>
                <w:sz w:val="17"/>
              </w:rPr>
              <w:t>절차 단계</w:t>
            </w:r>
          </w:p>
        </w:tc>
        <w:tc>
          <w:tcPr>
            <w:tcW w:type="dxa" w:w="2232"/>
          </w:tcPr>
          <w:p>
            <w:r/>
            <w:r>
              <w:rPr>
                <w:rFonts w:ascii="맑은 고딕" w:hAnsi="맑은 고딕" w:eastAsia="맑은 고딕"/>
                <w:b/>
                <w:sz w:val="17"/>
              </w:rPr>
              <w:t>현행 서식</w:t>
            </w:r>
          </w:p>
        </w:tc>
        <w:tc>
          <w:tcPr>
            <w:tcW w:type="dxa" w:w="4392"/>
          </w:tcPr>
          <w:p>
            <w:r/>
            <w:r>
              <w:rPr>
                <w:rFonts w:ascii="맑은 고딕" w:hAnsi="맑은 고딕" w:eastAsia="맑은 고딕"/>
                <w:b/>
                <w:sz w:val="17"/>
              </w:rPr>
              <w:t>AI-Ready 접점 (주석 신설)</w:t>
            </w:r>
          </w:p>
        </w:tc>
      </w:tr>
      <w:tr>
        <w:tc>
          <w:tcPr>
            <w:tcW w:type="dxa" w:w="1944"/>
          </w:tcPr>
          <w:p>
            <w:r/>
            <w:r>
              <w:rPr>
                <w:rFonts w:ascii="맑은 고딕" w:hAnsi="맑은 고딕" w:eastAsia="맑은 고딕"/>
                <w:b w:val="0"/>
                <w:sz w:val="17"/>
              </w:rPr>
              <w:t>표준화과제 제안</w:t>
            </w:r>
          </w:p>
        </w:tc>
        <w:tc>
          <w:tcPr>
            <w:tcW w:type="dxa" w:w="2232"/>
          </w:tcPr>
          <w:p>
            <w:r/>
            <w:r>
              <w:rPr>
                <w:rFonts w:ascii="맑은 고딕" w:hAnsi="맑은 고딕" w:eastAsia="맑은 고딕"/>
                <w:b w:val="0"/>
                <w:sz w:val="17"/>
              </w:rPr>
              <w:t>제11호~제12호</w:t>
            </w:r>
          </w:p>
        </w:tc>
        <w:tc>
          <w:tcPr>
            <w:tcW w:type="dxa" w:w="4392"/>
          </w:tcPr>
          <w:p>
            <w:r/>
            <w:r>
              <w:rPr>
                <w:rFonts w:ascii="맑은 고딕" w:hAnsi="맑은 고딕" w:eastAsia="맑은 고딕"/>
                <w:b/>
                <w:sz w:val="17"/>
              </w:rPr>
              <w:t>★ AI-Ready 선언(별지 제11-1호) 첨부</w:t>
            </w:r>
          </w:p>
        </w:tc>
      </w:tr>
      <w:tr>
        <w:tc>
          <w:tcPr>
            <w:tcW w:type="dxa" w:w="1944"/>
          </w:tcPr>
          <w:p>
            <w:r/>
            <w:r>
              <w:rPr>
                <w:rFonts w:ascii="맑은 고딕" w:hAnsi="맑은 고딕" w:eastAsia="맑은 고딕"/>
                <w:b w:val="0"/>
                <w:sz w:val="17"/>
              </w:rPr>
              <w:t>타당성 검토</w:t>
            </w:r>
          </w:p>
        </w:tc>
        <w:tc>
          <w:tcPr>
            <w:tcW w:type="dxa" w:w="2232"/>
          </w:tcPr>
          <w:p>
            <w:r/>
            <w:r>
              <w:rPr>
                <w:rFonts w:ascii="맑은 고딕" w:hAnsi="맑은 고딕" w:eastAsia="맑은 고딕"/>
                <w:b w:val="0"/>
                <w:sz w:val="17"/>
              </w:rPr>
              <w:t>제15호~제16호</w:t>
            </w:r>
          </w:p>
        </w:tc>
        <w:tc>
          <w:tcPr>
            <w:tcW w:type="dxa" w:w="4392"/>
          </w:tcPr>
          <w:p>
            <w:r/>
            <w:r>
              <w:rPr>
                <w:rFonts w:ascii="맑은 고딕" w:hAnsi="맑은 고딕" w:eastAsia="맑은 고딕"/>
                <w:b/>
                <w:sz w:val="17"/>
              </w:rPr>
              <w:t>★ 적용 대상·목표 수준 확인(별지 제15호)</w:t>
            </w:r>
          </w:p>
        </w:tc>
      </w:tr>
      <w:tr>
        <w:tc>
          <w:tcPr>
            <w:tcW w:type="dxa" w:w="1944"/>
          </w:tcPr>
          <w:p>
            <w:r/>
            <w:r>
              <w:rPr>
                <w:rFonts w:ascii="맑은 고딕" w:hAnsi="맑은 고딕" w:eastAsia="맑은 고딕"/>
                <w:b w:val="0"/>
                <w:sz w:val="17"/>
              </w:rPr>
              <w:t>표준초안 작성</w:t>
            </w:r>
          </w:p>
        </w:tc>
        <w:tc>
          <w:tcPr>
            <w:tcW w:type="dxa" w:w="2232"/>
          </w:tcPr>
          <w:p>
            <w:r/>
            <w:r>
              <w:rPr>
                <w:rFonts w:ascii="맑은 고딕" w:hAnsi="맑은 고딕" w:eastAsia="맑은 고딕"/>
                <w:b w:val="0"/>
                <w:sz w:val="17"/>
              </w:rPr>
              <w:t>(서식 없음)</w:t>
            </w:r>
          </w:p>
        </w:tc>
        <w:tc>
          <w:tcPr>
            <w:tcW w:type="dxa" w:w="4392"/>
          </w:tcPr>
          <w:p>
            <w:r/>
            <w:r>
              <w:rPr>
                <w:rFonts w:ascii="맑은 고딕" w:hAnsi="맑은 고딕" w:eastAsia="맑은 고딕"/>
                <w:b/>
                <w:sz w:val="17"/>
              </w:rPr>
              <w:t>★ 요소 정의표·@context 부속서(제19조①9호) · 공동 에디터(제19조의2⑤)</w:t>
            </w:r>
          </w:p>
        </w:tc>
      </w:tr>
      <w:tr>
        <w:tc>
          <w:tcPr>
            <w:tcW w:type="dxa" w:w="1944"/>
          </w:tcPr>
          <w:p>
            <w:r/>
            <w:r>
              <w:rPr>
                <w:rFonts w:ascii="맑은 고딕" w:hAnsi="맑은 고딕" w:eastAsia="맑은 고딕"/>
                <w:b w:val="0"/>
                <w:sz w:val="17"/>
              </w:rPr>
              <w:t>표준안 채택·심의</w:t>
            </w:r>
          </w:p>
        </w:tc>
        <w:tc>
          <w:tcPr>
            <w:tcW w:type="dxa" w:w="2232"/>
          </w:tcPr>
          <w:p>
            <w:r/>
            <w:r>
              <w:rPr>
                <w:rFonts w:ascii="맑은 고딕" w:hAnsi="맑은 고딕" w:eastAsia="맑은 고딕"/>
                <w:b w:val="0"/>
                <w:sz w:val="17"/>
              </w:rPr>
              <w:t xml:space="preserve">제18호~제21호 → </w:t>
            </w:r>
          </w:p>
          <w:p>
            <w:r>
              <w:rPr>
                <w:rFonts w:ascii="맑은 고딕" w:hAnsi="맑은 고딕" w:eastAsia="맑은 고딕"/>
                <w:b/>
                <w:sz w:val="17"/>
              </w:rPr>
              <w:t>제18호~제21-1호</w:t>
            </w:r>
          </w:p>
        </w:tc>
        <w:tc>
          <w:tcPr>
            <w:tcW w:type="dxa" w:w="4392"/>
          </w:tcPr>
          <w:p>
            <w:r/>
            <w:r>
              <w:rPr>
                <w:rFonts w:ascii="맑은 고딕" w:hAnsi="맑은 고딕" w:eastAsia="맑은 고딕"/>
                <w:b/>
                <w:sz w:val="17"/>
              </w:rPr>
              <w:t>★ AI-Ready 자가점검표(별지 제21-1호) 제출</w:t>
            </w:r>
          </w:p>
        </w:tc>
      </w:tr>
    </w:tbl>
    <w:p/>
    <w:p>
      <w:r>
        <w:rPr>
          <w:rFonts w:ascii="맑은 고딕" w:hAnsi="맑은 고딕" w:eastAsia="맑은 고딕"/>
          <w:b w:val="0"/>
          <w:sz w:val="17"/>
        </w:rPr>
        <w:t>※ 심의 단계 서식 참조 "제18호~제21호"는 자가점검표(별지 제21-1호)를 포함하도록 "제18호~제21-1호"로 넓힌다. 제안 단계 "제11호~제12호"는 별지 제11-1호를 이미 범위에 포함하므로 표기는 그대로 두어도 된다.</w:t>
      </w:r>
    </w:p>
    <w:p>
      <w:pPr>
        <w:pStyle w:val="Heading1"/>
      </w:pPr>
      <w:r>
        <w:t>4. 정보통신표준화 운영규정 — 개정 불필요 (근거 조문)</w:t>
      </w:r>
    </w:p>
    <w:p>
      <w:r>
        <w:rPr>
          <w:rFonts w:ascii="맑은 고딕" w:hAnsi="맑은 고딕" w:eastAsia="맑은 고딕"/>
          <w:b w:val="0"/>
          <w:sz w:val="20"/>
        </w:rPr>
        <w:t>모든 변경을 운영요령에 담으므로 운영규정 개정은 요하지 않는다. 아래 기존 조문을 근거로 활용한다. (운영규정 개정은 표준총회 권한이라 절차가 길다 — 제5조제1항제4호.)</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6408"/>
      </w:tblGrid>
      <w:tr>
        <w:tc>
          <w:tcPr>
            <w:tcW w:type="dxa" w:w="2160"/>
          </w:tcPr>
          <w:p>
            <w:r/>
            <w:r>
              <w:rPr>
                <w:rFonts w:ascii="맑은 고딕" w:hAnsi="맑은 고딕" w:eastAsia="맑은 고딕"/>
                <w:b/>
                <w:sz w:val="18"/>
              </w:rPr>
              <w:t>근거 조문</w:t>
            </w:r>
          </w:p>
        </w:tc>
        <w:tc>
          <w:tcPr>
            <w:tcW w:type="dxa" w:w="6408"/>
          </w:tcPr>
          <w:p>
            <w:r/>
            <w:r>
              <w:rPr>
                <w:rFonts w:ascii="맑은 고딕" w:hAnsi="맑은 고딕" w:eastAsia="맑은 고딕"/>
                <w:b/>
                <w:sz w:val="18"/>
              </w:rPr>
              <w:t>활용 내용</w:t>
            </w:r>
          </w:p>
        </w:tc>
      </w:tr>
      <w:tr>
        <w:tc>
          <w:tcPr>
            <w:tcW w:type="dxa" w:w="2160"/>
          </w:tcPr>
          <w:p>
            <w:r/>
            <w:r>
              <w:rPr>
                <w:rFonts w:ascii="맑은 고딕" w:hAnsi="맑은 고딕" w:eastAsia="맑은 고딕"/>
                <w:b w:val="0"/>
                <w:sz w:val="18"/>
              </w:rPr>
              <w:t>제57조</w:t>
            </w:r>
          </w:p>
        </w:tc>
        <w:tc>
          <w:tcPr>
            <w:tcW w:type="dxa" w:w="6408"/>
          </w:tcPr>
          <w:p>
            <w:r/>
            <w:r>
              <w:rPr>
                <w:rFonts w:ascii="맑은 고딕" w:hAnsi="맑은 고딕" w:eastAsia="맑은 고딕"/>
                <w:b w:val="0"/>
                <w:sz w:val="18"/>
              </w:rPr>
              <w:t>"운영위원회는 … 필요한 사항을 요령으로 정할 수 있다" — 운영요령 제정·개정권을 운영위원회에 부여(안건 ①의 근거). 제정권은 개정권을 포함한다.</w:t>
            </w:r>
          </w:p>
        </w:tc>
      </w:tr>
      <w:tr>
        <w:tc>
          <w:tcPr>
            <w:tcW w:type="dxa" w:w="2160"/>
          </w:tcPr>
          <w:p>
            <w:r/>
            <w:r>
              <w:rPr>
                <w:rFonts w:ascii="맑은 고딕" w:hAnsi="맑은 고딕" w:eastAsia="맑은 고딕"/>
                <w:b w:val="0"/>
                <w:sz w:val="18"/>
              </w:rPr>
              <w:t>제5조제1항제4호</w:t>
            </w:r>
          </w:p>
        </w:tc>
        <w:tc>
          <w:tcPr>
            <w:tcW w:type="dxa" w:w="6408"/>
          </w:tcPr>
          <w:p>
            <w:r/>
            <w:r>
              <w:rPr>
                <w:rFonts w:ascii="맑은 고딕" w:hAnsi="맑은 고딕" w:eastAsia="맑은 고딕"/>
                <w:b w:val="0"/>
                <w:sz w:val="18"/>
              </w:rPr>
              <w:t>표준총회 임무 = "규정·결의 등의 제정 등" 심의·의결 → 규정(운영규정)은 표준총회 소관. 운영요령은 여기의 "규정"이 아니라 제57조가 운영위에 맡긴 "요령"이다.</w:t>
            </w:r>
          </w:p>
        </w:tc>
      </w:tr>
      <w:tr>
        <w:tc>
          <w:tcPr>
            <w:tcW w:type="dxa" w:w="2160"/>
          </w:tcPr>
          <w:p>
            <w:r/>
            <w:r>
              <w:rPr>
                <w:rFonts w:ascii="맑은 고딕" w:hAnsi="맑은 고딕" w:eastAsia="맑은 고딕"/>
                <w:b w:val="0"/>
                <w:sz w:val="18"/>
              </w:rPr>
              <w:t>제29조제1항제2호</w:t>
            </w:r>
          </w:p>
        </w:tc>
        <w:tc>
          <w:tcPr>
            <w:tcW w:type="dxa" w:w="6408"/>
          </w:tcPr>
          <w:p>
            <w:r/>
            <w:r>
              <w:rPr>
                <w:rFonts w:ascii="맑은 고딕" w:hAnsi="맑은 고딕" w:eastAsia="맑은 고딕"/>
                <w:b w:val="0"/>
                <w:sz w:val="18"/>
              </w:rPr>
              <w:t>관련분야 전문가를 특별위원으로 위촉 → 어휘 전문가 = 공동 에디터의 신분 근거(운영요령 제19조의2 신설분이 이 조문을 참조)</w:t>
            </w:r>
          </w:p>
        </w:tc>
      </w:tr>
      <w:tr>
        <w:tc>
          <w:tcPr>
            <w:tcW w:type="dxa" w:w="2160"/>
          </w:tcPr>
          <w:p>
            <w:r/>
            <w:r>
              <w:rPr>
                <w:rFonts w:ascii="맑은 고딕" w:hAnsi="맑은 고딕" w:eastAsia="맑은 고딕"/>
                <w:b w:val="0"/>
                <w:sz w:val="18"/>
              </w:rPr>
              <w:t>제33조제5항</w:t>
            </w:r>
          </w:p>
        </w:tc>
        <w:tc>
          <w:tcPr>
            <w:tcW w:type="dxa" w:w="6408"/>
          </w:tcPr>
          <w:p>
            <w:r/>
            <w:r>
              <w:rPr>
                <w:rFonts w:ascii="맑은 고딕" w:hAnsi="맑은 고딕" w:eastAsia="맑은 고딕"/>
                <w:b w:val="0"/>
                <w:sz w:val="18"/>
              </w:rPr>
              <w:t>특별위원은 의결권 없음 → 공동 에디터가 형식화만 하고 표준 내용은 좌우하지 않는다는 설계 보장</w:t>
            </w:r>
          </w:p>
        </w:tc>
      </w:tr>
      <w:tr>
        <w:tc>
          <w:tcPr>
            <w:tcW w:type="dxa" w:w="2160"/>
          </w:tcPr>
          <w:p>
            <w:r/>
            <w:r>
              <w:rPr>
                <w:rFonts w:ascii="맑은 고딕" w:hAnsi="맑은 고딕" w:eastAsia="맑은 고딕"/>
                <w:b w:val="0"/>
                <w:sz w:val="18"/>
              </w:rPr>
              <w:t>제38조제2항·제3항</w:t>
            </w:r>
          </w:p>
        </w:tc>
        <w:tc>
          <w:tcPr>
            <w:tcW w:type="dxa" w:w="6408"/>
          </w:tcPr>
          <w:p>
            <w:r/>
            <w:r>
              <w:rPr>
                <w:rFonts w:ascii="맑은 고딕" w:hAnsi="맑은 고딕" w:eastAsia="맑은 고딕"/>
                <w:b w:val="0"/>
                <w:sz w:val="18"/>
              </w:rPr>
              <w:t>표준초안 작성 주체 = 해당 PG 위원인 에디터 / 작성 방법은 작성지침에 위임 → 안건 ②의 근거</w:t>
            </w:r>
          </w:p>
        </w:tc>
      </w:tr>
      <w:tr>
        <w:tc>
          <w:tcPr>
            <w:tcW w:type="dxa" w:w="2160"/>
          </w:tcPr>
          <w:p>
            <w:r/>
            <w:r>
              <w:rPr>
                <w:rFonts w:ascii="맑은 고딕" w:hAnsi="맑은 고딕" w:eastAsia="맑은 고딕"/>
                <w:b w:val="0"/>
                <w:sz w:val="18"/>
              </w:rPr>
              <w:t>제47조제1항</w:t>
            </w:r>
          </w:p>
        </w:tc>
        <w:tc>
          <w:tcPr>
            <w:tcW w:type="dxa" w:w="6408"/>
          </w:tcPr>
          <w:p>
            <w:r/>
            <w:r>
              <w:rPr>
                <w:rFonts w:ascii="맑은 고딕" w:hAnsi="맑은 고딕" w:eastAsia="맑은 고딕"/>
                <w:b w:val="0"/>
                <w:sz w:val="18"/>
              </w:rPr>
              <w:t>기술보고서(작성지침 TTAR)는 표준총회 없이 TC가 최종 채택 → 안건 ②의 채택 경로</w:t>
            </w:r>
          </w:p>
        </w:tc>
      </w:tr>
    </w:tbl>
    <w:p/>
    <w:p>
      <w:r>
        <w:rPr>
          <w:rFonts w:ascii="맑은 고딕" w:hAnsi="맑은 고딕" w:eastAsia="맑은 고딕"/>
          <w:b/>
          <w:sz w:val="18"/>
        </w:rPr>
        <w:t xml:space="preserve">예상 반론 — "운영위 임무(제16조)에 운영요령 개정이 없다". </w:t>
      </w:r>
      <w:r>
        <w:rPr>
          <w:rFonts w:ascii="맑은 고딕" w:hAnsi="맑은 고딕" w:eastAsia="맑은 고딕"/>
          <w:b w:val="0"/>
          <w:sz w:val="18"/>
        </w:rPr>
        <w:t>제16조는 운영위원회의 임무(과제 채택·PG 신설·의견조정 등)를 열거한 조항이고, 운영요령의 제정·개정권은 제57조가 별도로 부여한다(임무 열거 ≠ 규칙 제정권). 표준총회 임무(제5조제1항제4호)의 "규정 제정"은 운영규정을 가리키며, 운영요령은 제57조가 운영위에 맡긴 요령이다. 역대 운영요령 개정도 전부 운영위 경로다(연 2회뿐인 표준총회로는 불가능한 개정 빈도가 이를 방증).</w:t>
      </w:r>
    </w:p>
    <w:p>
      <w:r>
        <w:rPr>
          <w:rFonts w:ascii="맑은 고딕" w:hAnsi="맑은 고딕" w:eastAsia="맑은 고딕"/>
          <w:b/>
          <w:sz w:val="18"/>
        </w:rPr>
        <w:t xml:space="preserve">개정이 필요해지는 유일한 경우. </w:t>
      </w:r>
      <w:r>
        <w:rPr>
          <w:rFonts w:ascii="맑은 고딕" w:hAnsi="맑은 고딕" w:eastAsia="맑은 고딕"/>
          <w:b w:val="0"/>
          <w:sz w:val="18"/>
        </w:rPr>
        <w:t>AI-Ready를 표준총회 채택 요건(제42조)으로 의무화할 때뿐이며, 권장하지 않는다(권한·절차 부담 증가, 자율적 확산 저해).</w:t>
      </w:r>
    </w:p>
    <w:p>
      <w:pPr>
        <w:pStyle w:val="Heading1"/>
      </w:pPr>
      <w:r>
        <w:t>5. 정보통신단체표준 작성지침 (TTAR-09.0040) — 개정 요약 (안건 ②)</w:t>
      </w:r>
    </w:p>
    <w:p>
      <w:r>
        <w:rPr>
          <w:rFonts w:ascii="맑은 고딕" w:hAnsi="맑은 고딕" w:eastAsia="맑은 고딕"/>
          <w:b w:val="0"/>
          <w:sz w:val="20"/>
        </w:rPr>
        <w:t>세부 신구조문은 별도 문서 「작성지침_TTAR-09.0040_개정안_신구조문대비표.docx」에 완성돼 있다. 골자는 다음과 같다.</w:t>
      </w:r>
    </w:p>
    <w:p>
      <w:r>
        <w:rPr>
          <w:rFonts w:ascii="맑은 고딕" w:hAnsi="맑은 고딕" w:eastAsia="맑은 고딕"/>
          <w:b/>
          <w:sz w:val="18"/>
        </w:rPr>
        <w:t xml:space="preserve">절차 유의 (안건 ② 일정). </w:t>
      </w:r>
      <w:r>
        <w:rPr>
          <w:rFonts w:ascii="맑은 고딕" w:hAnsi="맑은 고딕" w:eastAsia="맑은 고딕"/>
          <w:b w:val="0"/>
          <w:sz w:val="18"/>
        </w:rPr>
        <w:t>운영규정 제47조제1항에 따라 작성지침(기술보고서)의 개정은 제35조부터 제39조까지의 표준 제정 절차(의견수렴 4주 이상 포함)를 준용하되 기술위원회등이 최종 채택한다(표준총회 불요). 따라서 안건 ②는 8/10 회의 당일 확정이 아니라 의견수렴 절차를 거쳐 확정되며, 상정 순서는 여전히 운영요령(①)이 먼저다.</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4"/>
        <w:gridCol w:w="1080"/>
        <w:gridCol w:w="5544"/>
      </w:tblGrid>
      <w:tr>
        <w:tc>
          <w:tcPr>
            <w:tcW w:type="dxa" w:w="1944"/>
          </w:tcPr>
          <w:p>
            <w:r/>
            <w:r>
              <w:rPr>
                <w:rFonts w:ascii="맑은 고딕" w:hAnsi="맑은 고딕" w:eastAsia="맑은 고딕"/>
                <w:b/>
                <w:sz w:val="17"/>
              </w:rPr>
              <w:t>조항</w:t>
            </w:r>
          </w:p>
        </w:tc>
        <w:tc>
          <w:tcPr>
            <w:tcW w:type="dxa" w:w="1080"/>
          </w:tcPr>
          <w:p>
            <w:r/>
            <w:r>
              <w:rPr>
                <w:rFonts w:ascii="맑은 고딕" w:hAnsi="맑은 고딕" w:eastAsia="맑은 고딕"/>
                <w:b/>
                <w:sz w:val="17"/>
              </w:rPr>
              <w:t>성격</w:t>
            </w:r>
          </w:p>
        </w:tc>
        <w:tc>
          <w:tcPr>
            <w:tcW w:type="dxa" w:w="5544"/>
          </w:tcPr>
          <w:p>
            <w:r/>
            <w:r>
              <w:rPr>
                <w:rFonts w:ascii="맑은 고딕" w:hAnsi="맑은 고딕" w:eastAsia="맑은 고딕"/>
                <w:b/>
                <w:sz w:val="17"/>
              </w:rPr>
              <w:t>내용</w:t>
            </w:r>
          </w:p>
        </w:tc>
      </w:tr>
      <w:tr>
        <w:tc>
          <w:tcPr>
            <w:tcW w:type="dxa" w:w="1944"/>
          </w:tcPr>
          <w:p>
            <w:r/>
            <w:r>
              <w:rPr>
                <w:rFonts w:ascii="맑은 고딕" w:hAnsi="맑은 고딕" w:eastAsia="맑은 고딕"/>
                <w:b w:val="0"/>
                <w:sz w:val="17"/>
              </w:rPr>
              <w:t>6.5.3 인용 표준</w:t>
            </w:r>
          </w:p>
        </w:tc>
        <w:tc>
          <w:tcPr>
            <w:tcW w:type="dxa" w:w="1080"/>
          </w:tcPr>
          <w:p>
            <w:r/>
            <w:r>
              <w:rPr>
                <w:rFonts w:ascii="맑은 고딕" w:hAnsi="맑은 고딕" w:eastAsia="맑은 고딕"/>
                <w:b w:val="0"/>
                <w:sz w:val="17"/>
              </w:rPr>
              <w:t>보강</w:t>
            </w:r>
          </w:p>
        </w:tc>
        <w:tc>
          <w:tcPr>
            <w:tcW w:type="dxa" w:w="5544"/>
          </w:tcPr>
          <w:p>
            <w:r/>
            <w:r>
              <w:rPr>
                <w:rFonts w:ascii="맑은 고딕" w:hAnsi="맑은 고딕" w:eastAsia="맑은 고딕"/>
                <w:b w:val="0"/>
                <w:sz w:val="17"/>
              </w:rPr>
              <w:t>외부 어휘·스키마를 규범적으로 사용하면 인용 표준에 등재(참고 문헌에만 두면 분류 오류). AI-Ready 무관하게 모든 표준에 이로움 — 매트릭스 90%가 오류.</w:t>
            </w:r>
          </w:p>
        </w:tc>
      </w:tr>
      <w:tr>
        <w:tc>
          <w:tcPr>
            <w:tcW w:type="dxa" w:w="1944"/>
          </w:tcPr>
          <w:p>
            <w:r/>
            <w:r>
              <w:rPr>
                <w:rFonts w:ascii="맑은 고딕" w:hAnsi="맑은 고딕" w:eastAsia="맑은 고딕"/>
                <w:b w:val="0"/>
                <w:sz w:val="17"/>
              </w:rPr>
              <w:t>6.5.7 데이터 요소 정의</w:t>
            </w:r>
          </w:p>
        </w:tc>
        <w:tc>
          <w:tcPr>
            <w:tcW w:type="dxa" w:w="1080"/>
          </w:tcPr>
          <w:p>
            <w:r/>
            <w:r>
              <w:rPr>
                <w:rFonts w:ascii="맑은 고딕" w:hAnsi="맑은 고딕" w:eastAsia="맑은 고딕"/>
                <w:b w:val="0"/>
                <w:sz w:val="17"/>
              </w:rPr>
              <w:t>신설</w:t>
            </w:r>
          </w:p>
        </w:tc>
        <w:tc>
          <w:tcPr>
            <w:tcW w:type="dxa" w:w="5544"/>
          </w:tcPr>
          <w:p>
            <w:r/>
            <w:r>
              <w:rPr>
                <w:rFonts w:ascii="맑은 고딕" w:hAnsi="맑은 고딕" w:eastAsia="맑은 고딕"/>
                <w:b w:val="0"/>
                <w:sz w:val="17"/>
              </w:rPr>
              <w:t>데이터 요소를 정의하는 표준은 요소를 정규 컬럼표(①식별번호~⑬관련출처=에디터, ⑭어휘 식별자=공동 에디터)로 작성. 에디터가 IRI를 직접 지정하지 않고 표·출처만 채움.</w:t>
            </w:r>
          </w:p>
        </w:tc>
      </w:tr>
      <w:tr>
        <w:tc>
          <w:tcPr>
            <w:tcW w:type="dxa" w:w="1944"/>
          </w:tcPr>
          <w:p>
            <w:r/>
            <w:r>
              <w:rPr>
                <w:rFonts w:ascii="맑은 고딕" w:hAnsi="맑은 고딕" w:eastAsia="맑은 고딕"/>
                <w:b w:val="0"/>
                <w:sz w:val="17"/>
              </w:rPr>
              <w:t>6.6 부속서</w:t>
            </w:r>
          </w:p>
        </w:tc>
        <w:tc>
          <w:tcPr>
            <w:tcW w:type="dxa" w:w="1080"/>
          </w:tcPr>
          <w:p>
            <w:r/>
            <w:r>
              <w:rPr>
                <w:rFonts w:ascii="맑은 고딕" w:hAnsi="맑은 고딕" w:eastAsia="맑은 고딕"/>
                <w:b w:val="0"/>
                <w:sz w:val="17"/>
              </w:rPr>
              <w:t>보강</w:t>
            </w:r>
          </w:p>
        </w:tc>
        <w:tc>
          <w:tcPr>
            <w:tcW w:type="dxa" w:w="5544"/>
          </w:tcPr>
          <w:p>
            <w:r/>
            <w:r>
              <w:rPr>
                <w:rFonts w:ascii="맑은 고딕" w:hAnsi="맑은 고딕" w:eastAsia="맑은 고딕"/>
                <w:b w:val="0"/>
                <w:sz w:val="17"/>
              </w:rPr>
              <w:t>요소↔전역 어휘 식별자 매핑을 JSON-LD @context 부속서로 첨부. 운영요령 제19조의2의 공동 에디터가 보강. 기술규격은 제외(5.2 앞표지·원문 구성).</w:t>
            </w:r>
          </w:p>
        </w:tc>
      </w:tr>
      <w:tr>
        <w:tc>
          <w:tcPr>
            <w:tcW w:type="dxa" w:w="1944"/>
          </w:tcPr>
          <w:p>
            <w:r/>
            <w:r>
              <w:rPr>
                <w:rFonts w:ascii="맑은 고딕" w:hAnsi="맑은 고딕" w:eastAsia="맑은 고딕"/>
                <w:b w:val="0"/>
                <w:sz w:val="17"/>
              </w:rPr>
              <w:t>부속서 B</w:t>
            </w:r>
          </w:p>
        </w:tc>
        <w:tc>
          <w:tcPr>
            <w:tcW w:type="dxa" w:w="1080"/>
          </w:tcPr>
          <w:p>
            <w:r/>
            <w:r>
              <w:rPr>
                <w:rFonts w:ascii="맑은 고딕" w:hAnsi="맑은 고딕" w:eastAsia="맑은 고딕"/>
                <w:b w:val="0"/>
                <w:sz w:val="17"/>
              </w:rPr>
              <w:t>신설(선택)</w:t>
            </w:r>
          </w:p>
        </w:tc>
        <w:tc>
          <w:tcPr>
            <w:tcW w:type="dxa" w:w="5544"/>
          </w:tcPr>
          <w:p>
            <w:r/>
            <w:r>
              <w:rPr>
                <w:rFonts w:ascii="맑은 고딕" w:hAnsi="맑은 고딕" w:eastAsia="맑은 고딕"/>
                <w:b w:val="0"/>
                <w:sz w:val="17"/>
              </w:rPr>
              <w:t>전역 어휘 매핑·단위 결합(QUDT/UCUM)·@context 작성 방법 지침.</w:t>
            </w:r>
          </w:p>
        </w:tc>
      </w:tr>
      <w:tr>
        <w:tc>
          <w:tcPr>
            <w:tcW w:type="dxa" w:w="1944"/>
          </w:tcPr>
          <w:p>
            <w:r/>
            <w:r>
              <w:rPr>
                <w:rFonts w:ascii="맑은 고딕" w:hAnsi="맑은 고딕" w:eastAsia="맑은 고딕"/>
                <w:b w:val="0"/>
                <w:sz w:val="17"/>
              </w:rPr>
              <w:t>부록 Ⅱ-4</w:t>
            </w:r>
          </w:p>
        </w:tc>
        <w:tc>
          <w:tcPr>
            <w:tcW w:type="dxa" w:w="1080"/>
          </w:tcPr>
          <w:p>
            <w:r/>
            <w:r>
              <w:rPr>
                <w:rFonts w:ascii="맑은 고딕" w:hAnsi="맑은 고딕" w:eastAsia="맑은 고딕"/>
                <w:b w:val="0"/>
                <w:sz w:val="17"/>
              </w:rPr>
              <w:t>개정</w:t>
            </w:r>
          </w:p>
        </w:tc>
        <w:tc>
          <w:tcPr>
            <w:tcW w:type="dxa" w:w="5544"/>
          </w:tcPr>
          <w:p>
            <w:r/>
            <w:r>
              <w:rPr>
                <w:rFonts w:ascii="맑은 고딕" w:hAnsi="맑은 고딕" w:eastAsia="맑은 고딕"/>
                <w:b w:val="0"/>
                <w:sz w:val="17"/>
              </w:rPr>
              <w:t>기술보고서의 이력에 개정 판(R2) 추가.</w:t>
            </w:r>
          </w:p>
        </w:tc>
      </w:tr>
    </w:tbl>
    <w:p/>
    <w:p>
      <w:pPr>
        <w:pStyle w:val="Heading1"/>
      </w:pPr>
      <w:r>
        <w:t>6. 규정 정합성 및 유의사항</w:t>
      </w:r>
    </w:p>
    <w:p>
      <w:r>
        <w:rPr>
          <w:rFonts w:ascii="맑은 고딕" w:hAnsi="맑은 고딕" w:eastAsia="맑은 고딕"/>
          <w:b/>
          <w:sz w:val="20"/>
        </w:rPr>
        <w:t xml:space="preserve">① 규율 위치는 운영요령. </w:t>
      </w:r>
      <w:r>
        <w:rPr>
          <w:rFonts w:ascii="맑은 고딕" w:hAnsi="맑은 고딕" w:eastAsia="맑은 고딕"/>
          <w:b w:val="0"/>
          <w:sz w:val="20"/>
        </w:rPr>
        <w:t>변경은 운영규정이 아니라 운영요령에 담는다. 운영요령 개정은 운영규정 제57조에 따라 운영위원회 권한이며, 표준 제·개정과 달리 60일 의견수렴·표준총회 상정을 요하지 않는다. 따라서 운영위원회 회의에 안건으로 상정하면(회의 1주일 전 제출·정족수 충족 전제) 그 회의에서 의결까지 가능하다. 다만 8/10 회의는 전략계획위원회 회의이므로 그 자리에서 운영요령을 의결할 수 없다 — 전략계획위원회는 활동결과의 운영위원회 보고(운영규정 제20조의3제1항제5호) 경로로 운영위원회 상정을 연계한다. 운영규정 개정(표준총회, 연 2회)은 회피한다.</w:t>
      </w:r>
    </w:p>
    <w:p>
      <w:r>
        <w:rPr>
          <w:rFonts w:ascii="맑은 고딕" w:hAnsi="맑은 고딕" w:eastAsia="맑은 고딕"/>
          <w:b/>
          <w:sz w:val="20"/>
        </w:rPr>
        <w:t xml:space="preserve">② 상정 순서 ①→②. 작성지침 6.6이 운영요령 제19조의2의 공동 에디터를 조문으로 참조하므로, 운영요령이 먼저 의결돼야 작성지침이 성립한다. 따라서 8/10 전략계획위원회에서 확정하는 것은 작성지침 개정(안)의 문안이며, 의견수렴 개시는 운영위원회의 운영요령 의결 이후로 한다. 반면 전문위원회 설치(③)는 다른 규범에 의존하지 않으므로 8/10에 의결할 수 있다.</w:t>
      </w:r>
      <w:r>
        <w:rPr>
          <w:rFonts w:ascii="맑은 고딕" w:hAnsi="맑은 고딕" w:eastAsia="맑은 고딕"/>
          <w:b w:val="0"/>
          <w:sz w:val="20"/>
        </w:rPr>
        <w:t/>
      </w:r>
    </w:p>
    <w:p>
      <w:r>
        <w:rPr>
          <w:rFonts w:ascii="맑은 고딕" w:hAnsi="맑은 고딕" w:eastAsia="맑은 고딕"/>
          <w:b/>
          <w:sz w:val="20"/>
        </w:rPr>
        <w:t xml:space="preserve">③ 전문위원회 관련 유의. </w:t>
      </w:r>
      <w:r>
        <w:rPr>
          <w:rFonts w:ascii="맑은 고딕" w:hAnsi="맑은 고딕" w:eastAsia="맑은 고딕"/>
          <w:b w:val="0"/>
          <w:sz w:val="20"/>
        </w:rPr>
        <w:t>전문위원회는 개별 표준초안을 대신 작성할 수 없다(운영규정 제20조의3②는 전략·지침·정책만). 어휘 전문가는 그 PG의 특별위원으로 위촉하여 공동 에디터로 지정한다. "전문위원회에 검토 요청" 신설안은 채택하지 않는다.</w:t>
      </w:r>
    </w:p>
    <w:p>
      <w:r>
        <w:rPr>
          <w:rFonts w:ascii="맑은 고딕" w:hAnsi="맑은 고딕" w:eastAsia="맑은 고딕"/>
          <w:b/>
          <w:sz w:val="20"/>
        </w:rPr>
        <w:t xml:space="preserve">④ 적용 범위를 조건절로. </w:t>
      </w:r>
      <w:r>
        <w:rPr>
          <w:rFonts w:ascii="맑은 고딕" w:hAnsi="맑은 고딕" w:eastAsia="맑은 고딕"/>
          <w:b w:val="0"/>
          <w:sz w:val="20"/>
        </w:rPr>
        <w:t>"AI-Ready 적용 대상 표준은 …"처럼 대상을 가르지 말고, "데이터 요소를 정의하는 표준은 …"처럼 요건을 조건절로 서술하면 절차 문서·어휘 표준이 자연히 빠진다.</w:t>
      </w:r>
    </w:p>
    <w:p>
      <w:r>
        <w:rPr>
          <w:rFonts w:ascii="맑은 고딕" w:hAnsi="맑은 고딕" w:eastAsia="맑은 고딕"/>
          <w:b/>
          <w:sz w:val="20"/>
        </w:rPr>
        <w:t xml:space="preserve">⑤ 재량 관문. </w:t>
      </w:r>
      <w:r>
        <w:rPr>
          <w:rFonts w:ascii="맑은 고딕" w:hAnsi="맑은 고딕" w:eastAsia="맑은 고딕"/>
          <w:b w:val="0"/>
          <w:sz w:val="20"/>
        </w:rPr>
        <w:t>사무국 기계 점검(제11조④)은 "할 수 있다"로 두어 필수 관문화에 따르는 별표1 절차 개정·사무국 부담을 피한다.</w:t>
      </w:r>
    </w:p>
    <w:p>
      <w:r>
        <w:rPr>
          <w:rFonts w:ascii="맑은 고딕" w:hAnsi="맑은 고딕" w:eastAsia="맑은 고딕"/>
          <w:b/>
          <w:sz w:val="18"/>
        </w:rPr>
        <w:t xml:space="preserve">⑥ 현행 문안 대조. </w:t>
      </w:r>
      <w:r>
        <w:rPr>
          <w:rFonts w:ascii="맑은 고딕" w:hAnsi="맑은 고딕" w:eastAsia="맑은 고딕"/>
          <w:b w:val="0"/>
          <w:sz w:val="18"/>
        </w:rPr>
        <w:t>위 현행 조문은 PDF 추출본이므로, 의결 상정 전 SBG-0030(13)/R13 원문 최종본과 자구를 재대조한다.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A1A1A"/>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