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勤務と出張の手続き</w:t>
      </w:r>
    </w:p>
    <w:p>
      <w:r>
        <w:t>発行 人事総務部</w:t>
      </w:r>
    </w:p>
    <w:p>
      <w:r>
        <w:t>本資料は社員が社内手続きを確認するためのガイドです。会社、人物、制度は全て実験用の架空設定です。現行規程を使用し、廃止された規程は現在の申請へ適用しません。</w:t>
      </w:r>
    </w:p>
    <w:p>
      <w:pPr>
        <w:pStyle w:val="Heading1"/>
      </w:pPr>
      <w:r>
        <w:t>在宅勤務規程 2026年10月改定</w:t>
      </w:r>
    </w:p>
    <w:p>
      <w:r>
        <w:t>2026年10月1日から在宅勤務は週3日まで。出社日はチームで調整する。前営業日の17時までに勤怠システムNekoTimeで申請し、直属上長の承認を得る。製造ライン担当者は原則出社。自宅以外のコワーキング施設は事前に情報システム部のセキュリティ確認が必要。連絡先は人事総務の白井。</w:t>
      </w:r>
    </w:p>
    <w:p>
      <w:pPr>
        <w:pStyle w:val="Heading1"/>
      </w:pPr>
      <w:r>
        <w:t>年次有給休暇と半日休暇</w:t>
      </w:r>
    </w:p>
    <w:p>
      <w:r>
        <w:t>有給休暇はNekoTimeから申請する。原則3営業日前までに上長の承認を受ける。半日休暇は午前または午後の単位で取得でき、時間単位の有休は導入していない。急な体調不良では当日9時までに上長へ連絡し、復帰後に申請できる。有休残日数は勤怠画面の休暇残高欄で確認する。</w:t>
      </w:r>
    </w:p>
    <w:p>
      <w:pPr>
        <w:pStyle w:val="Heading1"/>
      </w:pPr>
      <w:r>
        <w:t>育児短時間勤務制度</w:t>
      </w:r>
    </w:p>
    <w:p>
      <w:r>
        <w:t>小学校3年生修了までの子を養育する社員は1日の所定労働時間を6時間に短縮できる。開始希望日の1か月前までにNekoPeopleから申請し、人事総務と上長が勤務時間を調整する。給与は勤務時間に応じて計算する。介護短時間勤務は別制度であり、本規程の対象に含めない。</w:t>
      </w:r>
    </w:p>
    <w:p>
      <w:r>
        <w:br w:type="page"/>
      </w:r>
    </w:p>
    <w:p>
      <w:pPr>
        <w:pStyle w:val="Heading1"/>
      </w:pPr>
      <w:r>
        <w:t>国内出張の交通費と宿泊費</w:t>
      </w:r>
    </w:p>
    <w:p>
      <w:r>
        <w:t>国内出張の宿泊費上限は1泊12,000円、日当は1日2,000円。交通費は原則実費で、鉄道は普通車指定席まで。出張前にNekoExpenseで出張申請し、帰着後10営業日以内に領収書を添えて精算する。上限を超える宿泊は予約前に部門長の承認が必要。海外出張には別規程を適用する。</w:t>
      </w:r>
    </w:p>
    <w:p>
      <w:pPr>
        <w:pStyle w:val="Heading1"/>
      </w:pPr>
      <w:r>
        <w:t>経費精算の締切と紛失領収書</w:t>
      </w:r>
    </w:p>
    <w:p>
      <w:r>
        <w:t>経費精算の月次締切は毎月25日18時。承認が完了した経費を翌月10日に振り込む。25日が休日なら前営業日を締切にする。領収書を紛失した場合は再発行を依頼し、再発行できなければ支払証明と理由書を提出して経理の確認を受ける。出張の帰着後10営業日という期限も併せて守る。</w:t>
      </w:r>
    </w:p>
    <w:p>
      <w:pPr>
        <w:pStyle w:val="Heading1"/>
      </w:pPr>
      <w:r>
        <w:t>備品購入と稟議の承認区分</w:t>
      </w:r>
    </w:p>
    <w:p>
      <w:r>
        <w:t>備品購入は税込3万円未満なら課長承認、3万円以上30万円未満は部門長承認、30万円以上は役員承認が必要。発注前にNekoFlowで申請する。10万円以上の購入では原則2社の見積もりを添付する。発注後の事後申請は禁止。IT機器は金額にかかわらず情報システム部の事前確認を受ける。</w:t>
      </w:r>
    </w:p>
    <w:sectPr w:rsidR="00FC693F" w:rsidRPr="0006063C" w:rsidSect="00034616">
      <w:headerReference w:type="default" r:id="rId9"/>
      <w:footerReference w:type="default" r:id="rId10"/>
      <w:pgSz w:w="12240" w:h="15840"/>
      <w:pgMar w:top="1037" w:right="1152" w:bottom="1037"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資料基準日 2026年10月10日　文書ID D-HR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ネコネコインダストリー株式会社　実験用の架空資料</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Yu Gothic" w:hAnsi="Yu Gothic" w:eastAsia="Yu Gothic"/>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Yu Gothic" w:hAnsi="Yu Gothic" w:eastAsia="Yu Gothic"/>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Yu Gothic" w:hAnsi="Yu Gothic" w:eastAsia="Yu Gothic"/>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Yu Gothic" w:hAnsi="Yu Gothic" w:eastAsia="Yu Gothic"/>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