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社内データとセキュリティの初動</w:t>
      </w:r>
    </w:p>
    <w:p>
      <w:r>
        <w:t>発行 情報システム部</w:t>
      </w:r>
    </w:p>
    <w:p>
      <w:r>
        <w:t>本資料は社員が社内手続きを確認するためのガイドです。会社、人物、制度は全て実験用の架空設定です。現行規程を使用し、廃止された規程は現在の申請へ適用しません。</w:t>
      </w:r>
    </w:p>
    <w:p>
      <w:pPr>
        <w:pStyle w:val="Heading1"/>
      </w:pPr>
      <w:r>
        <w:t>社外からのVPN接続と多要素認証</w:t>
      </w:r>
    </w:p>
    <w:p>
      <w:r>
        <w:t>社外から社内システムを利用するときはNekoVPNへ接続し、会社アカウントの多要素認証を完了する。私物PCからの接続は禁止。接続失敗ではネットワーク確認、端末時計の同期、VPNクライアント再起動の順に試す。復旧しない場合は社内サポート窓口IT-Deskへ端末管理番号とエラー文を伝える。</w:t>
      </w:r>
    </w:p>
    <w:p>
      <w:pPr>
        <w:pStyle w:val="Heading1"/>
      </w:pPr>
      <w:r>
        <w:t>不審メールを開いた場合の初動</w:t>
      </w:r>
    </w:p>
    <w:p>
      <w:r>
        <w:t>不審メールの添付を開いた、または偽のログイン画面に情報を入力した場合は、端末のネットワークを切断し、電話内線771で情報システム部へ即時連絡する。メールや画面を削除せず保存する。通常の問い合わせチケットだけで済ませない。認証情報を入力した場合のパスワード変更は担当者の指示で行う。</w:t>
      </w:r>
    </w:p>
    <w:p>
      <w:pPr>
        <w:pStyle w:val="Heading1"/>
      </w:pPr>
      <w:r>
        <w:t>業務データの保存と外部共有</w:t>
      </w:r>
    </w:p>
    <w:p>
      <w:r>
        <w:t>業務ファイルは会社のNekoDriveへ保存し、PC内だけで保管しない。顧客名簿や設計図は外部公開リンクで共有しない。社外共有は期限付きの指定相手限定リンクを使い、部門長承認を受ける。個人クラウドへのコピーは禁止。バックアップは毎日2時に実施し、復元依頼はIT-Deskで受け付け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資料基準日 2026年10月10日　文書ID D-IT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ネコネコインダストリー株式会社　実験用の架空資料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