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A3C6E"/>
          <w:sz w:val="56"/>
        </w:rPr>
        <w:t>FactorX MVP</w:t>
      </w:r>
    </w:p>
    <w:p>
      <w:pPr>
        <w:jc w:val="center"/>
      </w:pPr>
      <w:r>
        <w:rPr>
          <w:rFonts w:ascii="Microsoft YaHei" w:hAnsi="Microsoft YaHei" w:eastAsia="Microsoft YaHei"/>
          <w:color w:val="2C5F9A"/>
          <w:sz w:val="40"/>
        </w:rPr>
        <w:t>/api/analyze 接口技术文档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color w:val="666666"/>
          <w:sz w:val="26"/>
        </w:rPr>
        <w:t>新闻分析链路编排接口 · 前后端对接规范</w:t>
      </w:r>
    </w:p>
    <w:p>
      <w:pPr>
        <w:spacing w:before="8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8EEF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文档版本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v1.0 (MVP)</w:t>
            </w:r>
          </w:p>
        </w:tc>
      </w:tr>
      <w:tr>
        <w:tc>
          <w:tcPr>
            <w:tcW w:type="dxa" w:w="2268"/>
            <w:shd w:val="clear" w:color="auto" w:fill="E8EEF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接口路径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POST /api/analyze</w:t>
            </w:r>
          </w:p>
        </w:tc>
      </w:tr>
      <w:tr>
        <w:tc>
          <w:tcPr>
            <w:tcW w:type="dxa" w:w="2268"/>
            <w:shd w:val="clear" w:color="auto" w:fill="E8EEF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技术栈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Spring Boot</w:t>
            </w:r>
          </w:p>
        </w:tc>
      </w:tr>
      <w:tr>
        <w:tc>
          <w:tcPr>
            <w:tcW w:type="dxa" w:w="2268"/>
            <w:shd w:val="clear" w:color="auto" w:fill="E8EEF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初稿 · 前后端联调用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</w:rPr>
        <w:t>1. 接口概述与定位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POST /api/analyze 是 FactorX MVP 后端的核心入口，也是整个新闻分析链路的编排器。前端将一条国际新闻发送至该接口后，后端依次完成事件抽取、股票匹配、ReLU 动量计算、影响评分和解释生成，最终返回一个统一的 JSON 结构，直接驱动前端仪表盘的多个展示面板。</w:t>
      </w:r>
    </w:p>
    <w:p>
      <w:r>
        <w:rPr>
          <w:rFonts w:ascii="Microsoft YaHei" w:hAnsi="Microsoft YaHei" w:eastAsia="Microsoft YaHei"/>
          <w:b w:val="0"/>
          <w:i/>
          <w:color w:val="555555"/>
          <w:sz w:val="21"/>
        </w:rPr>
        <w:t>该接口不是简单的"接收新闻并返回假数据"的占位接口，而是 FactorX 的"分析总线"——Controller 只负责接收请求，NewsAnalysisService 负责组织流程，各子 Service 分别完成事件、股票、ReLU、评分和解释，最终把一个可直接驱动前端的 AnalysisResponse 返回出去。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1.1 前端调用场景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前端 NewsInputPanel 组件中，用户点击"分析"按钮后即调用本接口。返回数据按字段分流至以下面板：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前端面板</w:t>
            </w:r>
          </w:p>
        </w:tc>
        <w:tc>
          <w:tcPr>
            <w:tcW w:type="dxa" w:w="198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消费字段</w:t>
            </w:r>
          </w:p>
        </w:tc>
        <w:tc>
          <w:tcPr>
            <w:tcW w:type="dxa" w:w="3969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展示内容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EventExtractionPanel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结构化事件（类型、行业、国家、金额等）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StockImpactPanel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stocks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受影响股票列表及影响评分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ReluMomentumChart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reluMomentum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 非对称动量曲线数据点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FactorActivationPanel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reluFactors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因子激活状态（动量纯度、正向密度等）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ExplanationPanel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explanation / riskNote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自然语言解释与风险提示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2. 请求规范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2.1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请求方法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接口路径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/api/analyze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Content-Type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application/json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字符编码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UTF-8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C5F9A"/>
        </w:rPr>
        <w:t>2.2 请求体结构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{</w:t>
        <w:br/>
        <w:t xml:space="preserve">  "headline": "Saudi Arabia announces $10B solar storage project involving Tesla suppliers",</w:t>
        <w:br/>
        <w:t xml:space="preserve">  "source": "Reuters",</w:t>
        <w:br/>
        <w:t xml:space="preserve">  "body": "..."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2.3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4252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新闻标题，用于事件抽取的主要输入。为空时返回 400 错误。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source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13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否</w:t>
            </w:r>
          </w:p>
        </w:tc>
        <w:tc>
          <w:tcPr>
            <w:tcW w:type="dxa" w:w="425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新闻来源（如 Reuters、Bloomberg），用于可信度评分。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body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新闻正文，辅助事件抽取。超长时（建议 &gt; 10000 字符）返回 400 错误。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3. 响应规范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3.1 响应结构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{</w:t>
        <w:br/>
        <w:t xml:space="preserve">  "event": {},</w:t>
        <w:br/>
        <w:t xml:space="preserve">  "stocks": [],</w:t>
        <w:br/>
        <w:t xml:space="preserve">  "reluMomentum": [],</w:t>
        <w:br/>
        <w:t xml:space="preserve">  "reluFactors": [],</w:t>
        <w:br/>
        <w:t xml:space="preserve">  "explanation": "",</w:t>
        <w:br/>
        <w:t xml:space="preserve">  "riskNote": ""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3.2 顶层字段说明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Object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结构化事件抽取结果，详见 3.3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stocks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匹配到的股票及其影响评分，详见 3.4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reluMomentum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 动量曲线数据点，用于前端绘图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reluFactors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 衍生因子，用于评分模型与因子激活展示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explanation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自然语言分析解释（MVP 阶段为模板生成）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riskNote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风险提示文案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C5F9A"/>
        </w:rPr>
        <w:t>3.3 event 字段结构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{</w:t>
        <w:br/>
        <w:t xml:space="preserve">  "eventType": "国际项目",</w:t>
        <w:br/>
        <w:t xml:space="preserve">  "sector": "新能源",</w:t>
        <w:br/>
        <w:t xml:space="preserve">  "country": "Saudi Arabia",</w:t>
        <w:br/>
        <w:t xml:space="preserve">  "projectAmountUsd": 10000000000,</w:t>
        <w:br/>
        <w:t xml:space="preserve">  "companies": ["Tesla"],</w:t>
        <w:br/>
        <w:t xml:space="preserve">  "sourceCredibility": 0.86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01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事件类型，如"国际项目""政策发布""财报异动"等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sector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关联行业板块，如"新能源""半导体""AI"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country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涉及国家/地区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projectAmountUsd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项目金额（美元），无金额时为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companies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Array&lt;String&gt;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事件中直接提及的公司名列表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sourceCredibility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Double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来源可信度评分，范围 0.0 ~ 1.0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C5F9A"/>
        </w:rPr>
        <w:t>3.4 stocks 字段结构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{</w:t>
        <w:br/>
        <w:t xml:space="preserve">  "symbol": "TSLA",</w:t>
        <w:br/>
        <w:t xml:space="preserve">  "company": "Tesla",</w:t>
        <w:br/>
        <w:t xml:space="preserve">  "direction": "利好",</w:t>
        <w:br/>
        <w:t xml:space="preserve">  "probability": 74,</w:t>
        <w:br/>
        <w:t xml:space="preserve">  "estimatedMove": "+2.0% ~ +5.5%",</w:t>
        <w:br/>
        <w:t xml:space="preserve">  "horizon": "3-10个交易日"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symbol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股票代码（美股 ticker）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company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公司全称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direction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影响方向："利好" / "利空" / "中性"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probability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影响概率，范围 0 ~ 100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estimatedMove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预估涨跌幅区间，如"+2.0% ~ +5.5%"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horizon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影响时间窗口，如"3-10个交易日"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4. 后端调用链架构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推荐分层结构如下，自上而下为调用方向：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AnalysisController</w:t>
        <w:br/>
        <w:t xml:space="preserve">  └─&gt; NewsAnalysisService</w:t>
        <w:br/>
        <w:t xml:space="preserve">        ├─&gt; EventExtractorService</w:t>
        <w:br/>
        <w:t xml:space="preserve">        ├─&gt; StockMatcherService</w:t>
        <w:br/>
        <w:t xml:space="preserve">        ├─&gt; ReluFactorService</w:t>
        <w:br/>
        <w:t xml:space="preserve">        ├─&gt; ScoringService</w:t>
        <w:br/>
        <w:t xml:space="preserve">        └─&gt; ExplanationService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4.1 各层职责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AnalysisController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负责 HTTP 层：接收 JSON 请求、参数校验、调用 NewsAnalysisService、返回结果。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不包含任何业务规则，仅做请求转发和异常包装。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参数校验失败时返回 400 Bad Request 及清晰错误信息。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NewsAnalysisService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负责"编排"：按固定顺序调用各子 Service，将上一步结果作为下一步输入。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是 /api/analyze 的业务主流程入口，维护 AnalysisContext 在各服务间传递。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最终组装 AnalysisResponse 并返回。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EventExtractorService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从标题和正文中提取结构化事件（eventType、sector、country、projectAmountUsd、companies、sourceCredibility）。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MVP 阶段采用规则实现：关键词匹配事件类型与行业、正则识别金额、媒体可信度映射表。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StockMatcherService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将事件中的公司名、行业关键词、供应链关键词映射为股票代码。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示例映射：Tesla -&gt; TSLA；AI chip -&gt; NVDA / AMD；lithography -&gt; ASML。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维护公司名-股票代码映射表及行业-代表股票映射表。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ReluFactorService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生成 ReLU 非对称动量数据，输出 reluMomentum（曲线点）和 reluFactors（衍生因子）。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MVP 阶段使用模拟价格序列；后续接入真实行情后按收盘价计算。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核心公式见第 5 节。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ScoringService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综合新闻事件、股票关联度、ReLU 动量等维度，计算影响概率、方向和涨跌幅区间。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加权评分公式见第 5 节。</w:t>
      </w:r>
    </w:p>
    <w:p>
      <w:pPr>
        <w:pStyle w:val="Heading3"/>
      </w:pPr>
      <w:r>
        <w:rPr>
          <w:rFonts w:ascii="Microsoft YaHei" w:hAnsi="Microsoft YaHei" w:eastAsia="Microsoft YaHei"/>
          <w:color w:val="3A7CA8"/>
        </w:rPr>
        <w:t>ExplanationService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基于事件结构、评分结果和因子状态，生成自然语言解释文案和风险提示。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MVP 阶段使用模板拼接，不依赖外部 AI API。</w:t>
      </w:r>
    </w:p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5. 核心算法与公式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5.1 ReLU 非对称动量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接入真实行情后，基于日收盘价计算：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r_t = ln(P_t / P_{t-1})           // 对数收益率</w:t>
        <w:br/>
        <w:t>relu_t = max(0, r_t - threshold)  // ReLU 激活，仅保留超过阈值的正向收益</w:t>
        <w:br/>
        <w:t>M_t = Σ max(0, r_i - threshold)   // 累计 ReLU 动量</w:t>
      </w:r>
    </w:p>
    <w:p>
      <w:r>
        <w:rPr>
          <w:rFonts w:ascii="Microsoft YaHei" w:hAnsi="Microsoft YaHei" w:eastAsia="Microsoft YaHei"/>
          <w:b w:val="0"/>
          <w:i/>
          <w:color w:val="555555"/>
          <w:sz w:val="21"/>
        </w:rPr>
        <w:t>其中 threshold 为动量激活阈值（MVP 建议默认 0.005，即 0.5%）。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5.2 reluFactors 衍生因子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因子名</w:t>
            </w:r>
          </w:p>
        </w:tc>
        <w:tc>
          <w:tcPr>
            <w:tcW w:type="dxa" w:w="3402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402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动量纯度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正向 ReLU 占总波动的比例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判断趋势是否干净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正向密度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激活天数占观察窗口的比例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判断动量持续性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平台风险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连续零激活天数 / 窗口长度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预警动量枯竭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C5F9A"/>
        </w:rPr>
        <w:t>5.3 影响评分公式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finalImpactScore =</w:t>
        <w:br/>
        <w:t xml:space="preserve">      0.30 * eventScore</w:t>
        <w:br/>
        <w:t xml:space="preserve">    + 0.25 * stockRelevanceScore</w:t>
        <w:br/>
        <w:t xml:space="preserve">    + 0.20 * reluMomentumScore</w:t>
        <w:br/>
        <w:t xml:space="preserve">    + 0.15 * sourceCredibilityScore</w:t>
        <w:br/>
        <w:t xml:space="preserve">    + 0.10 * marketConfirmationScore</w:t>
        <w:br/>
        <w:br/>
        <w:t>probability = 45 + finalImpactScore * 40</w:t>
      </w:r>
    </w:p>
    <w:p>
      <w:r>
        <w:rPr>
          <w:rFonts w:ascii="Microsoft YaHei" w:hAnsi="Microsoft YaHei" w:eastAsia="Microsoft YaHei"/>
          <w:b w:val="0"/>
          <w:i/>
          <w:color w:val="555555"/>
          <w:sz w:val="21"/>
        </w:rPr>
        <w:t>各子分数均归一化到 0.0 ~ 1.0 区间。probability 最终映射到 0 ~ 100。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5.4 评分维度权重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4535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eventScore（事件强度）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EventExtractorService：金额、事件类型、行业重要性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stockRelevanceScore（股票关联度）</w:t>
            </w:r>
          </w:p>
        </w:tc>
        <w:tc>
          <w:tcPr>
            <w:tcW w:type="dxa" w:w="113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StockMatcherService：直接提及 / 供应链 / 行业关联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reluMomentumScore（动量强度）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ReluFactorService：动量纯度、正向密度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sourceCredibilityScore（来源可信度）</w:t>
            </w:r>
          </w:p>
        </w:tc>
        <w:tc>
          <w:tcPr>
            <w:tcW w:type="dxa" w:w="113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EventExtractorService：媒体可信度映射表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marketConfirmationScore（市场确认）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MVP 阶段默认 0.5，后续接行情/板块数据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6. MVP 实现重点</w:t>
      </w:r>
    </w:p>
    <w:p>
      <w:r>
        <w:rPr>
          <w:rFonts w:ascii="Microsoft YaHei" w:hAnsi="Microsoft YaHei" w:eastAsia="Microsoft YaHei"/>
          <w:b/>
          <w:i w:val="0"/>
          <w:sz w:val="21"/>
        </w:rPr>
        <w:t>第一版核心目标是让接口闭环跑通，不接数据库、不接真实行情、不接外部 AI：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输入新闻</w:t>
        <w:br/>
        <w:t xml:space="preserve">  -&gt; 抽取事件（规则 + 关键词 + 正则）</w:t>
        <w:br/>
        <w:t xml:space="preserve">  -&gt; 匹配股票（映射表）</w:t>
        <w:br/>
        <w:t xml:space="preserve">  -&gt; 生成 ReLU 曲线（模拟价格序列）</w:t>
        <w:br/>
        <w:t xml:space="preserve">  -&gt; 输出概率、涨跌幅、解释（加权公式 + 模板）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6.1 第一版不做的事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不接入 PostgreSQL（完全内存计算，无持久化）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不接入真实新闻源（由前端手动输入）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不接入真实行情数据（ReLU 使用模拟序列）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不接入 OpenAI / 大模型 API（解释使用模板拼接）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1"/>
        </w:rPr>
        <w:t>不做用户认证与权限控制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6.2 后续迭代方向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803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新增能力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v1.1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 PostgreSQL 持久化分析记录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v1.2</w:t>
            </w:r>
          </w:p>
        </w:tc>
        <w:tc>
          <w:tcPr>
            <w:tcW w:type="dxa" w:w="6803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接入真实行情 API，ReLU 基于真实收盘价计算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v1.3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接入真实新闻源（RSS / 新闻 API），marketConfirmation 生效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v2.0</w:t>
            </w:r>
          </w:p>
        </w:tc>
        <w:tc>
          <w:tcPr>
            <w:tcW w:type="dxa" w:w="6803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接入大模型 API 生成解释，事件抽取升级为 NER 模型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7. 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HTTP 状态码</w:t>
            </w:r>
          </w:p>
        </w:tc>
        <w:tc>
          <w:tcPr>
            <w:tcW w:type="dxa" w:w="2835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685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响应示例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400 Bad Request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headline 为空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{"error": "headline must not be blank"}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400 Bad Request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body 超过长度限制</w:t>
            </w:r>
          </w:p>
        </w:tc>
        <w:tc>
          <w:tcPr>
            <w:tcW w:type="dxa" w:w="368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{"error": "body exceeds maximum length of 10000 characters"}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400 Bad Request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请求体 JSON 格式错误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{"error": "Invalid JSON format"}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 Internal Server Error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服务内部异常</w:t>
            </w:r>
          </w:p>
        </w:tc>
        <w:tc>
          <w:tcPr>
            <w:tcW w:type="dxa" w:w="3685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{"error": "Internal server error"}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555555"/>
          <w:sz w:val="21"/>
        </w:rPr>
        <w:t>建议统一使用 @ControllerAdvice + @ExceptionHandler 进行全局异常处理，确保所有错误返回一致的 JSON 结构。</w:t>
      </w:r>
    </w:p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8. 接口验收标准</w:t>
      </w:r>
    </w:p>
    <w:p>
      <w:r>
        <w:rPr>
          <w:rFonts w:ascii="Microsoft YaHei" w:hAnsi="Microsoft YaHei" w:eastAsia="Microsoft YaHei"/>
          <w:b/>
          <w:i w:val="0"/>
          <w:sz w:val="21"/>
        </w:rPr>
        <w:t>本接口达到合格需同时满足以下四项：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5102"/>
            <w:shd w:val="clear" w:color="auto" w:fill="2C5F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AC-1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前端可成功调用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返回 HTTP 200，无跨域或序列化错误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AC-2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JSON 结构完整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至少包含 event / stocks / reluMomentum / reluFactors / explanation / riskNote 六个字段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AC-3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错误处理清晰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标题为空、正文超长等输入错误返回 400 及明确错误信息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AC-4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响应时间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MVP 阶段单次请求响应时间控制在 3 秒以内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3C6E"/>
        </w:rPr>
        <w:t>9. 完整请求响应示例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9.1 请求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POST /api/analyze HTTP/1.1</w:t>
        <w:br/>
        <w:t>Content-Type: application/json</w:t>
        <w:br/>
        <w:br/>
        <w:t>{</w:t>
        <w:br/>
        <w:t xml:space="preserve">  "headline": "Saudi Arabia announces $10B solar storage project involving Tesla suppliers",</w:t>
        <w:br/>
        <w:t xml:space="preserve">  "source": "Reuters",</w:t>
        <w:br/>
        <w:t xml:space="preserve">  "body": "Saudi Arabia has announced a $10 billion solar energy storage project..."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C5F9A"/>
        </w:rPr>
        <w:t>9.2 响应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color w:val="2D2D2D"/>
          <w:sz w:val="18"/>
        </w:rPr>
        <w:t>HTTP/1.1 200 OK</w:t>
        <w:br/>
        <w:t>Content-Type: application/json</w:t>
        <w:br/>
        <w:br/>
        <w:t>{</w:t>
        <w:br/>
        <w:t xml:space="preserve">  "event": {</w:t>
        <w:br/>
        <w:t xml:space="preserve">    "eventType": "国际项目",</w:t>
        <w:br/>
        <w:t xml:space="preserve">    "sector": "新能源",</w:t>
        <w:br/>
        <w:t xml:space="preserve">    "country": "Saudi Arabia",</w:t>
        <w:br/>
        <w:t xml:space="preserve">    "projectAmountUsd": 10000000000,</w:t>
        <w:br/>
        <w:t xml:space="preserve">    "companies": ["Tesla"],</w:t>
        <w:br/>
        <w:t xml:space="preserve">    "sourceCredibility": 0.86</w:t>
        <w:br/>
        <w:t xml:space="preserve">  },</w:t>
        <w:br/>
        <w:t xml:space="preserve">  "stocks": [</w:t>
        <w:br/>
        <w:t xml:space="preserve">    {</w:t>
        <w:br/>
        <w:t xml:space="preserve">      "symbol": "TSLA",</w:t>
        <w:br/>
        <w:t xml:space="preserve">      "company": "Tesla",</w:t>
        <w:br/>
        <w:t xml:space="preserve">      "direction": "利好",</w:t>
        <w:br/>
        <w:t xml:space="preserve">      "probability": 74,</w:t>
        <w:br/>
        <w:t xml:space="preserve">      "estimatedMove": "+2.0% ~ +5.5%",</w:t>
        <w:br/>
        <w:t xml:space="preserve">      "horizon": "3-10个交易日"</w:t>
        <w:br/>
        <w:t xml:space="preserve">    }</w:t>
        <w:br/>
        <w:t xml:space="preserve">  ],</w:t>
        <w:br/>
        <w:t xml:space="preserve">  "reluMomentum": [</w:t>
        <w:br/>
        <w:t xml:space="preserve">    { "day": -19, "value": 0.0 },</w:t>
        <w:br/>
        <w:t xml:space="preserve">    { "day": -18, "value": 0.003 },</w:t>
        <w:br/>
        <w:t xml:space="preserve">    { "day": -17, "value": 0.008 },</w:t>
        <w:br/>
        <w:t xml:space="preserve">    "...": "..."</w:t>
        <w:br/>
        <w:t xml:space="preserve">  ],</w:t>
        <w:br/>
        <w:t xml:space="preserve">  "reluFactors": [</w:t>
        <w:br/>
        <w:t xml:space="preserve">    { "name": "动量纯度", "value": 0.72 },</w:t>
        <w:br/>
        <w:t xml:space="preserve">    { "name": "正向密度", "value": 0.65 },</w:t>
        <w:br/>
        <w:t xml:space="preserve">    { "name": "平台风险", "value": 0.15 }</w:t>
        <w:br/>
        <w:t xml:space="preserve">  ],</w:t>
        <w:br/>
        <w:t xml:space="preserve">  "explanation": "该新闻属于新能源国际项目，项目金额较大，且直接涉及 Tesla 供应链，因此对 TSLA 构成偏利好影响。当前 ReLU 动量显示正向动量已被激活，但仍需观察成交量和后续公告确认。",</w:t>
        <w:br/>
        <w:t xml:space="preserve">  "riskNote": "项目落地存在不确定性，需关注官方公告及供应链实际订单进展；ReLU 动量基于模拟数据，仅供参考。"</w:t>
        <w:br/>
        <w:t>}</w:t>
      </w:r>
    </w:p>
    <w:p/>
    <w:p>
      <w:pPr>
        <w:spacing w:before="600"/>
      </w:pPr>
    </w:p>
    <w:p>
      <w:pPr>
        <w:jc w:val="center"/>
      </w:pPr>
      <w:r>
        <w:rPr>
          <w:rFonts w:ascii="Microsoft YaHei" w:hAnsi="Microsoft YaHei" w:eastAsia="Microsoft YaHei"/>
          <w:i/>
          <w:color w:val="999999"/>
          <w:sz w:val="18"/>
        </w:rPr>
        <w:t>— FactorX MVP 技术文档 · 仅供前后端联调使用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