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8F3" w:rsidRPr="006F4BA2" w:rsidRDefault="006F4BA2" w:rsidP="006F4BA2">
      <w:pPr>
        <w:pStyle w:val="Title"/>
      </w:pPr>
      <w:r w:rsidRPr="006F4BA2">
        <w:t>Use of Excel to Calculate Complicated Transfer Functions</w:t>
      </w:r>
    </w:p>
    <w:p w:rsidR="006F4BA2" w:rsidRDefault="006F4BA2" w:rsidP="00EA093A">
      <w:r w:rsidRPr="006F4BA2">
        <w:t>Students may initially be daunted when asked to use Excel to generate and plot the magnitude and phase data in Excel.</w:t>
      </w:r>
      <w:r>
        <w:t xml:space="preserve">  However, a few simple tricks can greatly simplify the process.  Consider the transfer function of </w:t>
      </w:r>
      <w:r>
        <w:fldChar w:fldCharType="begin"/>
      </w:r>
      <w:r>
        <w:instrText xml:space="preserve"> REF _Ref126409613 \h </w:instrText>
      </w:r>
      <w:r>
        <w:fldChar w:fldCharType="separate"/>
      </w:r>
      <w:r w:rsidR="003C34A3">
        <w:t xml:space="preserve">Equation </w:t>
      </w:r>
      <w:r w:rsidR="003C34A3">
        <w:rPr>
          <w:noProof/>
        </w:rPr>
        <w:t>1</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6677"/>
        <w:gridCol w:w="1433"/>
      </w:tblGrid>
      <w:tr w:rsidR="006F4BA2" w:rsidRPr="008553B8" w:rsidTr="006F4BA2">
        <w:tc>
          <w:tcPr>
            <w:tcW w:w="1250" w:type="dxa"/>
            <w:vAlign w:val="center"/>
          </w:tcPr>
          <w:p w:rsidR="006F4BA2" w:rsidRPr="008553B8" w:rsidRDefault="006F4BA2" w:rsidP="00755788"/>
        </w:tc>
        <w:tc>
          <w:tcPr>
            <w:tcW w:w="6677" w:type="dxa"/>
            <w:vAlign w:val="center"/>
          </w:tcPr>
          <w:p w:rsidR="006F4BA2" w:rsidRPr="008553B8" w:rsidRDefault="006F4BA2" w:rsidP="006F4BA2">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=42</m:t>
                </m:r>
                <m:f>
                  <m:fPr>
                    <m:ctrlPr>
                      <w:rPr>
                        <w:rFonts w:ascii="Cambria Math" w:hAnsi="Cambria Math"/>
                        <w:i/>
                      </w:rPr>
                    </m:ctrlPr>
                  </m:fPr>
                  <m:num>
                    <m:r>
                      <w:rPr>
                        <w:rFonts w:ascii="Cambria Math" w:hAnsi="Cambria Math"/>
                      </w:rPr>
                      <m:t>jω+100</m:t>
                    </m:r>
                  </m:num>
                  <m:den>
                    <m:d>
                      <m:dPr>
                        <m:ctrlPr>
                          <w:rPr>
                            <w:rFonts w:ascii="Cambria Math" w:hAnsi="Cambria Math"/>
                            <w:i/>
                          </w:rPr>
                        </m:ctrlPr>
                      </m:dPr>
                      <m:e>
                        <m:r>
                          <w:rPr>
                            <w:rFonts w:ascii="Cambria Math" w:hAnsi="Cambria Math"/>
                          </w:rPr>
                          <m:t>jω+20</m:t>
                        </m:r>
                      </m:e>
                    </m:d>
                    <m:d>
                      <m:dPr>
                        <m:ctrlPr>
                          <w:rPr>
                            <w:rFonts w:ascii="Cambria Math" w:hAnsi="Cambria Math"/>
                            <w:i/>
                          </w:rPr>
                        </m:ctrlPr>
                      </m:dPr>
                      <m:e>
                        <m:r>
                          <w:rPr>
                            <w:rFonts w:ascii="Cambria Math" w:hAnsi="Cambria Math"/>
                          </w:rPr>
                          <m:t>jω+800</m:t>
                        </m:r>
                      </m:e>
                    </m:d>
                  </m:den>
                </m:f>
              </m:oMath>
            </m:oMathPara>
          </w:p>
        </w:tc>
        <w:tc>
          <w:tcPr>
            <w:tcW w:w="1433" w:type="dxa"/>
            <w:vAlign w:val="center"/>
          </w:tcPr>
          <w:p w:rsidR="006F4BA2" w:rsidRPr="008553B8" w:rsidRDefault="006F4BA2" w:rsidP="006F4BA2">
            <w:pPr>
              <w:pStyle w:val="Caption"/>
            </w:pPr>
            <w:bookmarkStart w:id="0" w:name="_Ref126409613"/>
            <w:r>
              <w:t xml:space="preserve">Equation </w:t>
            </w:r>
            <w:r>
              <w:fldChar w:fldCharType="begin"/>
            </w:r>
            <w:r>
              <w:instrText xml:space="preserve"> SEQ Equation \* ARABIC </w:instrText>
            </w:r>
            <w:r>
              <w:fldChar w:fldCharType="separate"/>
            </w:r>
            <w:r w:rsidR="003C34A3">
              <w:rPr>
                <w:noProof/>
              </w:rPr>
              <w:t>1</w:t>
            </w:r>
            <w:r>
              <w:fldChar w:fldCharType="end"/>
            </w:r>
            <w:bookmarkEnd w:id="0"/>
          </w:p>
        </w:tc>
      </w:tr>
    </w:tbl>
    <w:p w:rsidR="006F4BA2" w:rsidRDefault="00EA093A" w:rsidP="006F4BA2">
      <w:pPr>
        <w:rPr>
          <w:rFonts w:eastAsiaTheme="minorEastAsia"/>
        </w:rPr>
      </w:pPr>
      <w:r>
        <w:t xml:space="preserve">To obtain the magnitude and phase, first break the expression into three parts, the first being </w:t>
      </w:r>
      <m:oMath>
        <m:r>
          <w:rPr>
            <w:rFonts w:ascii="Cambria Math" w:hAnsi="Cambria Math"/>
          </w:rPr>
          <m:t>jω+100</m:t>
        </m:r>
      </m:oMath>
      <w:r>
        <w:rPr>
          <w:rFonts w:eastAsiaTheme="minorEastAsia"/>
        </w:rPr>
        <w:t xml:space="preserve"> in the numerator, the second being </w:t>
      </w:r>
      <m:oMath>
        <m:r>
          <w:rPr>
            <w:rFonts w:ascii="Cambria Math" w:eastAsiaTheme="minorEastAsia" w:hAnsi="Cambria Math"/>
          </w:rPr>
          <m:t>jω+20</m:t>
        </m:r>
      </m:oMath>
      <w:r>
        <w:rPr>
          <w:rFonts w:eastAsiaTheme="minorEastAsia"/>
        </w:rPr>
        <w:t xml:space="preserve"> in the denominator, and the third being </w:t>
      </w:r>
      <m:oMath>
        <m:r>
          <w:rPr>
            <w:rFonts w:ascii="Cambria Math" w:eastAsiaTheme="minorEastAsia" w:hAnsi="Cambria Math"/>
          </w:rPr>
          <m:t>jω+800</m:t>
        </m:r>
      </m:oMath>
      <w:r>
        <w:rPr>
          <w:rFonts w:eastAsiaTheme="minorEastAsia"/>
        </w:rPr>
        <w:t xml:space="preserve"> in the denominator.</w:t>
      </w:r>
      <w:r w:rsidR="002152A4">
        <w:rPr>
          <w:rFonts w:eastAsiaTheme="minorEastAsia"/>
        </w:rPr>
        <w:t xml:space="preserve">  To obtain the magnitude, divide the magnitude of the numerator but the product of the magnitudes of each term in the denominator.</w:t>
      </w:r>
      <w:r w:rsidR="002152A4">
        <w:rPr>
          <w:rStyle w:val="FootnoteReference"/>
          <w:rFonts w:eastAsiaTheme="minorEastAsia"/>
        </w:rPr>
        <w:footnoteReference w:id="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6677"/>
        <w:gridCol w:w="1433"/>
      </w:tblGrid>
      <w:tr w:rsidR="008B2BD3" w:rsidRPr="008553B8" w:rsidTr="00755788">
        <w:tc>
          <w:tcPr>
            <w:tcW w:w="1250" w:type="dxa"/>
            <w:vAlign w:val="center"/>
          </w:tcPr>
          <w:p w:rsidR="008B2BD3" w:rsidRPr="008553B8" w:rsidRDefault="008B2BD3" w:rsidP="00755788"/>
        </w:tc>
        <w:tc>
          <w:tcPr>
            <w:tcW w:w="6677" w:type="dxa"/>
            <w:vAlign w:val="center"/>
          </w:tcPr>
          <w:p w:rsidR="008B2BD3" w:rsidRPr="008553B8" w:rsidRDefault="008B2BD3" w:rsidP="00755788">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r>
                  <w:rPr>
                    <w:rFonts w:ascii="Cambria Math" w:hAnsi="Cambria Math"/>
                  </w:rPr>
                  <m:t>=42</m:t>
                </m:r>
                <m:f>
                  <m:fPr>
                    <m:ctrlPr>
                      <w:rPr>
                        <w:rFonts w:ascii="Cambria Math" w:hAnsi="Cambria Math"/>
                        <w:i/>
                      </w:rPr>
                    </m:ctrlPr>
                  </m:fPr>
                  <m:num>
                    <m:d>
                      <m:dPr>
                        <m:begChr m:val="|"/>
                        <m:endChr m:val="|"/>
                        <m:ctrlPr>
                          <w:rPr>
                            <w:rFonts w:ascii="Cambria Math" w:hAnsi="Cambria Math"/>
                            <w:i/>
                          </w:rPr>
                        </m:ctrlPr>
                      </m:dPr>
                      <m:e>
                        <m:r>
                          <w:rPr>
                            <w:rFonts w:ascii="Cambria Math" w:hAnsi="Cambria Math"/>
                          </w:rPr>
                          <m:t>jω+100</m:t>
                        </m:r>
                      </m:e>
                    </m:d>
                  </m:num>
                  <m:den>
                    <m:d>
                      <m:dPr>
                        <m:begChr m:val="|"/>
                        <m:endChr m:val="|"/>
                        <m:ctrlPr>
                          <w:rPr>
                            <w:rFonts w:ascii="Cambria Math" w:hAnsi="Cambria Math"/>
                            <w:i/>
                          </w:rPr>
                        </m:ctrlPr>
                      </m:dPr>
                      <m:e>
                        <m:r>
                          <w:rPr>
                            <w:rFonts w:ascii="Cambria Math" w:hAnsi="Cambria Math"/>
                          </w:rPr>
                          <m:t>jω+20</m:t>
                        </m:r>
                      </m:e>
                    </m:d>
                    <m:d>
                      <m:dPr>
                        <m:begChr m:val="|"/>
                        <m:endChr m:val="|"/>
                        <m:ctrlPr>
                          <w:rPr>
                            <w:rFonts w:ascii="Cambria Math" w:hAnsi="Cambria Math"/>
                            <w:i/>
                          </w:rPr>
                        </m:ctrlPr>
                      </m:dPr>
                      <m:e>
                        <m:r>
                          <w:rPr>
                            <w:rFonts w:ascii="Cambria Math" w:hAnsi="Cambria Math"/>
                          </w:rPr>
                          <m:t>jω+800</m:t>
                        </m:r>
                      </m:e>
                    </m: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e>
                    </m:ra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m:t>
                            </m:r>
                          </m:e>
                          <m:sup>
                            <m:r>
                              <w:rPr>
                                <w:rFonts w:ascii="Cambria Math" w:hAnsi="Cambria Math"/>
                              </w:rPr>
                              <m:t>2</m:t>
                            </m:r>
                          </m:sup>
                        </m:sSup>
                      </m:e>
                    </m:rad>
                  </m:den>
                </m:f>
              </m:oMath>
            </m:oMathPara>
          </w:p>
        </w:tc>
        <w:tc>
          <w:tcPr>
            <w:tcW w:w="1433" w:type="dxa"/>
            <w:vAlign w:val="center"/>
          </w:tcPr>
          <w:p w:rsidR="008B2BD3" w:rsidRPr="008553B8" w:rsidRDefault="008B2BD3" w:rsidP="00755788">
            <w:pPr>
              <w:pStyle w:val="Caption"/>
            </w:pPr>
            <w:r>
              <w:t xml:space="preserve">Equation </w:t>
            </w:r>
            <w:r>
              <w:fldChar w:fldCharType="begin"/>
            </w:r>
            <w:r>
              <w:instrText xml:space="preserve"> SEQ Equation \* ARABIC </w:instrText>
            </w:r>
            <w:r>
              <w:fldChar w:fldCharType="separate"/>
            </w:r>
            <w:r w:rsidR="003C34A3">
              <w:rPr>
                <w:noProof/>
              </w:rPr>
              <w:t>2</w:t>
            </w:r>
            <w:r>
              <w:fldChar w:fldCharType="end"/>
            </w:r>
          </w:p>
        </w:tc>
      </w:tr>
    </w:tbl>
    <w:p w:rsidR="002152A4" w:rsidRPr="002152A4" w:rsidRDefault="002152A4" w:rsidP="006F4BA2">
      <w:pPr>
        <w:rPr>
          <w:rFonts w:eastAsiaTheme="minorEastAsia"/>
        </w:rPr>
      </w:pPr>
      <w:r>
        <w:rPr>
          <w:rFonts w:eastAsiaTheme="minorEastAsia"/>
        </w:rPr>
        <w:t xml:space="preserve">Similarly, break </w:t>
      </w:r>
      <w:r>
        <w:fldChar w:fldCharType="begin"/>
      </w:r>
      <w:r>
        <w:instrText xml:space="preserve"> REF _Ref126409613 \h </w:instrText>
      </w:r>
      <w:r>
        <w:fldChar w:fldCharType="separate"/>
      </w:r>
      <w:r w:rsidR="003C34A3">
        <w:t xml:space="preserve">Equation </w:t>
      </w:r>
      <w:r w:rsidR="003C34A3">
        <w:rPr>
          <w:noProof/>
        </w:rPr>
        <w:t>1</w:t>
      </w:r>
      <w:r>
        <w:fldChar w:fldCharType="end"/>
      </w:r>
      <w:r>
        <w:t xml:space="preserve"> into the same terms to calculate the phase.</w:t>
      </w:r>
      <w:r>
        <w:rPr>
          <w:rStyle w:val="FootnoteReference"/>
        </w:rPr>
        <w:footnoteReference w:id="2"/>
      </w:r>
    </w:p>
    <w:p w:rsidR="002152A4" w:rsidRPr="00B92EF2" w:rsidRDefault="00B92EF2" w:rsidP="006F4BA2">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42</m:t>
              </m:r>
              <m:f>
                <m:fPr>
                  <m:ctrlPr>
                    <w:rPr>
                      <w:rFonts w:ascii="Cambria Math" w:hAnsi="Cambria Math"/>
                      <w:i/>
                    </w:rPr>
                  </m:ctrlPr>
                </m:fPr>
                <m:num>
                  <m:d>
                    <m:dPr>
                      <m:begChr m:val="|"/>
                      <m:endChr m:val="|"/>
                      <m:ctrlPr>
                        <w:rPr>
                          <w:rFonts w:ascii="Cambria Math" w:hAnsi="Cambria Math"/>
                          <w:i/>
                        </w:rPr>
                      </m:ctrlPr>
                    </m:dPr>
                    <m:e>
                      <m:r>
                        <w:rPr>
                          <w:rFonts w:ascii="Cambria Math" w:hAnsi="Cambria Math"/>
                        </w:rPr>
                        <m:t>jω+100</m:t>
                      </m:r>
                    </m:e>
                  </m:d>
                </m:num>
                <m:den>
                  <m:d>
                    <m:dPr>
                      <m:begChr m:val="|"/>
                      <m:endChr m:val="|"/>
                      <m:ctrlPr>
                        <w:rPr>
                          <w:rFonts w:ascii="Cambria Math" w:hAnsi="Cambria Math"/>
                          <w:i/>
                        </w:rPr>
                      </m:ctrlPr>
                    </m:dPr>
                    <m:e>
                      <m:r>
                        <w:rPr>
                          <w:rFonts w:ascii="Cambria Math" w:hAnsi="Cambria Math"/>
                        </w:rPr>
                        <m:t>jω+20</m:t>
                      </m:r>
                    </m:e>
                  </m:d>
                  <m:d>
                    <m:dPr>
                      <m:begChr m:val="|"/>
                      <m:endChr m:val="|"/>
                      <m:ctrlPr>
                        <w:rPr>
                          <w:rFonts w:ascii="Cambria Math" w:hAnsi="Cambria Math"/>
                          <w:i/>
                        </w:rPr>
                      </m:ctrlPr>
                    </m:dPr>
                    <m:e>
                      <m:r>
                        <w:rPr>
                          <w:rFonts w:ascii="Cambria Math" w:hAnsi="Cambria Math"/>
                        </w:rPr>
                        <m:t>jω+800</m:t>
                      </m:r>
                    </m:e>
                  </m:d>
                </m:den>
              </m:f>
            </m:e>
          </m:d>
          <m:r>
            <w:rPr>
              <w:rFonts w:ascii="Cambria Math" w:hAnsi="Cambria Math"/>
            </w:rPr>
            <m:t>=</m:t>
          </m:r>
          <m:r>
            <w:rPr>
              <w:rFonts w:ascii="Cambria Math" w:hAnsi="Cambria Math"/>
            </w:rPr>
            <m:t>∠42+∠</m:t>
          </m:r>
          <m:d>
            <m:dPr>
              <m:ctrlPr>
                <w:rPr>
                  <w:rFonts w:ascii="Cambria Math" w:hAnsi="Cambria Math"/>
                  <w:i/>
                </w:rPr>
              </m:ctrlPr>
            </m:dPr>
            <m:e>
              <m:r>
                <w:rPr>
                  <w:rFonts w:ascii="Cambria Math" w:hAnsi="Cambria Math"/>
                </w:rPr>
                <m:t>jω+100</m:t>
              </m:r>
            </m:e>
          </m:d>
          <m:r>
            <w:rPr>
              <w:rFonts w:ascii="Cambria Math" w:hAnsi="Cambria Math"/>
            </w:rPr>
            <m:t>-∠</m:t>
          </m:r>
          <m:d>
            <m:dPr>
              <m:ctrlPr>
                <w:rPr>
                  <w:rFonts w:ascii="Cambria Math" w:hAnsi="Cambria Math"/>
                  <w:i/>
                </w:rPr>
              </m:ctrlPr>
            </m:dPr>
            <m:e>
              <m:r>
                <w:rPr>
                  <w:rFonts w:ascii="Cambria Math" w:hAnsi="Cambria Math"/>
                </w:rPr>
                <m:t>jω+20</m:t>
              </m:r>
            </m:e>
          </m:d>
          <m:r>
            <w:rPr>
              <w:rFonts w:ascii="Cambria Math" w:hAnsi="Cambria Math"/>
            </w:rPr>
            <m:t>-∠</m:t>
          </m:r>
          <m:d>
            <m:dPr>
              <m:ctrlPr>
                <w:rPr>
                  <w:rFonts w:ascii="Cambria Math" w:hAnsi="Cambria Math"/>
                  <w:i/>
                </w:rPr>
              </m:ctrlPr>
            </m:dPr>
            <m:e>
              <m:r>
                <w:rPr>
                  <w:rFonts w:ascii="Cambria Math" w:hAnsi="Cambria Math"/>
                </w:rPr>
                <m:t>jω+800</m:t>
              </m:r>
            </m:e>
          </m:d>
        </m:oMath>
      </m:oMathPara>
    </w:p>
    <w:p w:rsidR="00B92EF2" w:rsidRDefault="00B92EF2" w:rsidP="006F4BA2">
      <w:pPr>
        <w:rPr>
          <w:rFonts w:eastAsiaTheme="minorEastAsia"/>
        </w:rPr>
      </w:pPr>
      <w:r>
        <w:rPr>
          <w:rFonts w:eastAsiaTheme="minorEastAsia"/>
        </w:rPr>
        <w:t>The angle of each term is the arctangent of the imaginary part divided by the real part.  Since the imaginary part of 42 is zero</w:t>
      </w:r>
      <w:proofErr w:type="gramStart"/>
      <w:r>
        <w:rPr>
          <w:rFonts w:eastAsiaTheme="minorEastAsia"/>
        </w:rPr>
        <w:t xml:space="preserve">, </w:t>
      </w:r>
      <w:proofErr w:type="gramEnd"/>
      <m:oMath>
        <m:r>
          <w:rPr>
            <w:rFonts w:ascii="Cambria Math" w:eastAsiaTheme="minorEastAsia" w:hAnsi="Cambria Math"/>
          </w:rPr>
          <m:t>∠42=0</m:t>
        </m:r>
      </m:oMath>
      <w:r>
        <w:rPr>
          <w:rFonts w:eastAsiaTheme="minorEastAsia"/>
        </w:rPr>
        <w:t>, so any real coefficients are irrelevant to the phase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0"/>
        <w:gridCol w:w="6677"/>
        <w:gridCol w:w="1433"/>
      </w:tblGrid>
      <w:tr w:rsidR="008B2BD3" w:rsidRPr="008553B8" w:rsidTr="00755788">
        <w:tc>
          <w:tcPr>
            <w:tcW w:w="1250" w:type="dxa"/>
            <w:vAlign w:val="center"/>
          </w:tcPr>
          <w:p w:rsidR="008B2BD3" w:rsidRPr="008553B8" w:rsidRDefault="008B2BD3" w:rsidP="00755788"/>
        </w:tc>
        <w:tc>
          <w:tcPr>
            <w:tcW w:w="6677" w:type="dxa"/>
            <w:vAlign w:val="center"/>
          </w:tcPr>
          <w:p w:rsidR="008B2BD3" w:rsidRPr="008553B8" w:rsidRDefault="008B2BD3" w:rsidP="00755788">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100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20</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800</m:t>
                            </m:r>
                          </m:den>
                        </m:f>
                      </m:e>
                    </m:d>
                  </m:e>
                </m:func>
              </m:oMath>
            </m:oMathPara>
          </w:p>
        </w:tc>
        <w:tc>
          <w:tcPr>
            <w:tcW w:w="1433" w:type="dxa"/>
            <w:vAlign w:val="center"/>
          </w:tcPr>
          <w:p w:rsidR="008B2BD3" w:rsidRPr="008553B8" w:rsidRDefault="008B2BD3" w:rsidP="00755788">
            <w:pPr>
              <w:pStyle w:val="Caption"/>
            </w:pPr>
            <w:r>
              <w:t xml:space="preserve">Equation </w:t>
            </w:r>
            <w:r>
              <w:fldChar w:fldCharType="begin"/>
            </w:r>
            <w:r>
              <w:instrText xml:space="preserve"> SEQ Equation \* ARABIC </w:instrText>
            </w:r>
            <w:r>
              <w:fldChar w:fldCharType="separate"/>
            </w:r>
            <w:r w:rsidR="003C34A3">
              <w:rPr>
                <w:noProof/>
              </w:rPr>
              <w:t>3</w:t>
            </w:r>
            <w:r>
              <w:fldChar w:fldCharType="end"/>
            </w:r>
          </w:p>
        </w:tc>
      </w:tr>
    </w:tbl>
    <w:p w:rsidR="009D6F4F" w:rsidRDefault="00B92EF2" w:rsidP="006F4BA2">
      <w:pPr>
        <w:rPr>
          <w:rFonts w:eastAsiaTheme="minorEastAsia"/>
        </w:rPr>
      </w:pPr>
      <w:r>
        <w:rPr>
          <w:rFonts w:eastAsiaTheme="minorEastAsia"/>
        </w:rPr>
        <w:t xml:space="preserve">You now want to create a frequency axis.  Assume that </w:t>
      </w:r>
      <w:proofErr w:type="gramStart"/>
      <w:r>
        <w:rPr>
          <w:rFonts w:eastAsiaTheme="minorEastAsia"/>
        </w:rPr>
        <w:t>the bode</w:t>
      </w:r>
      <w:proofErr w:type="gramEnd"/>
      <w:r>
        <w:rPr>
          <w:rFonts w:eastAsiaTheme="minorEastAsia"/>
        </w:rPr>
        <w:t xml:space="preserve"> plot needs to span</w:t>
      </w:r>
      <w:r w:rsidR="009D6F4F">
        <w:rPr>
          <w:rFonts w:eastAsiaTheme="minorEastAsia"/>
        </w:rPr>
        <w:t xml:space="preserve"> from 0.1 Hz to 100 kHz.  You would like the frequency values to be logarithmically spaced from one another. Spacing them linearly would cause you to have only a few frequencies in the lower decades and a ridiculously large number of frequencies in the higher decades.  I.e. if you decide to </w:t>
      </w:r>
      <w:proofErr w:type="gramStart"/>
      <w:r w:rsidR="009D6F4F">
        <w:rPr>
          <w:rFonts w:eastAsiaTheme="minorEastAsia"/>
        </w:rPr>
        <w:t>space</w:t>
      </w:r>
      <w:proofErr w:type="gramEnd"/>
      <w:r w:rsidR="009D6F4F">
        <w:rPr>
          <w:rFonts w:eastAsiaTheme="minorEastAsia"/>
        </w:rPr>
        <w:t xml:space="preserve"> the frequencies 0.01 Hz from one another, then you would end up with about 1 million points between 10 kHz and 100 kHz.  Therefore, generate each frequency so that it is some factor larger than the previous value.  If you choose 1.2 as that factor, then the first few frequencies will be approximately 0.1, 0.12, 0.144, 0.173, 0.207, 0.248, 0.299 Hz.  In Excel, the axis is set up as shown in </w:t>
      </w:r>
      <w:r w:rsidR="008B2BD3">
        <w:rPr>
          <w:rFonts w:eastAsiaTheme="minorEastAsia"/>
        </w:rPr>
        <w:fldChar w:fldCharType="begin"/>
      </w:r>
      <w:r w:rsidR="008B2BD3">
        <w:rPr>
          <w:rFonts w:eastAsiaTheme="minorEastAsia"/>
        </w:rPr>
        <w:instrText xml:space="preserve"> REF _Ref126412594 \h </w:instrText>
      </w:r>
      <w:r w:rsidR="008B2BD3">
        <w:rPr>
          <w:rFonts w:eastAsiaTheme="minorEastAsia"/>
        </w:rPr>
      </w:r>
      <w:r w:rsidR="008B2BD3">
        <w:rPr>
          <w:rFonts w:eastAsiaTheme="minorEastAsia"/>
        </w:rPr>
        <w:fldChar w:fldCharType="separate"/>
      </w:r>
      <w:r w:rsidR="003C34A3" w:rsidRPr="006F4BA2">
        <w:t xml:space="preserve">Figure </w:t>
      </w:r>
      <w:r w:rsidR="003C34A3">
        <w:rPr>
          <w:noProof/>
        </w:rPr>
        <w:t>1</w:t>
      </w:r>
      <w:r w:rsidR="008B2BD3">
        <w:rPr>
          <w:rFonts w:eastAsiaTheme="minorEastAsia"/>
        </w:rPr>
        <w:fldChar w:fldCharType="end"/>
      </w:r>
      <w:r w:rsidR="009D6F4F">
        <w:rPr>
          <w:rFonts w:eastAsiaTheme="minorEastAsia"/>
        </w:rPr>
        <w:t xml:space="preserve">. </w:t>
      </w:r>
    </w:p>
    <w:p w:rsidR="00B92EF2" w:rsidRDefault="00B92EF2" w:rsidP="006F4BA2">
      <w:pPr>
        <w:rPr>
          <w:rFonts w:eastAsiaTheme="minorEastAsia"/>
        </w:rPr>
      </w:pPr>
    </w:p>
    <w:p w:rsidR="00B92EF2" w:rsidRPr="002152A4" w:rsidRDefault="003C34A3" w:rsidP="008B2BD3">
      <w:pPr>
        <w:jc w:val="center"/>
        <w:rPr>
          <w:rFonts w:eastAsiaTheme="minorEastAsia"/>
        </w:rPr>
      </w:pPr>
      <w:bookmarkStart w:id="1" w:name="_GoBack"/>
      <w:r>
        <w:rPr>
          <w:noProof/>
        </w:rPr>
        <w:lastRenderedPageBreak/>
        <w:drawing>
          <wp:inline distT="0" distB="0" distL="0" distR="0" wp14:anchorId="2B1628E0" wp14:editId="2CE5A008">
            <wp:extent cx="5943600" cy="2390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0775"/>
                    </a:xfrm>
                    <a:prstGeom prst="rect">
                      <a:avLst/>
                    </a:prstGeom>
                  </pic:spPr>
                </pic:pic>
              </a:graphicData>
            </a:graphic>
          </wp:inline>
        </w:drawing>
      </w:r>
      <w:bookmarkEnd w:id="1"/>
    </w:p>
    <w:p w:rsidR="006F1AF7" w:rsidRPr="006F4BA2" w:rsidRDefault="006F1AF7" w:rsidP="006F4BA2">
      <w:pPr>
        <w:pStyle w:val="Caption"/>
      </w:pPr>
      <w:bookmarkStart w:id="2" w:name="_Ref126412594"/>
      <w:r w:rsidRPr="006F4BA2">
        <w:t xml:space="preserve">Figure </w:t>
      </w:r>
      <w:r w:rsidR="00C61358" w:rsidRPr="006F4BA2">
        <w:fldChar w:fldCharType="begin"/>
      </w:r>
      <w:r w:rsidRPr="006F4BA2">
        <w:instrText xml:space="preserve"> SEQ Figure \* ARABIC </w:instrText>
      </w:r>
      <w:r w:rsidR="00C61358" w:rsidRPr="006F4BA2">
        <w:fldChar w:fldCharType="separate"/>
      </w:r>
      <w:r w:rsidR="003C34A3">
        <w:rPr>
          <w:noProof/>
        </w:rPr>
        <w:t>1</w:t>
      </w:r>
      <w:r w:rsidR="00C61358" w:rsidRPr="006F4BA2">
        <w:fldChar w:fldCharType="end"/>
      </w:r>
      <w:bookmarkEnd w:id="2"/>
      <w:r w:rsidRPr="006F4BA2">
        <w:t xml:space="preserve">: </w:t>
      </w:r>
      <w:r w:rsidR="009D6F4F">
        <w:t>Frequency axis for the transfer function calculation.</w:t>
      </w:r>
    </w:p>
    <w:p w:rsidR="007E2987" w:rsidRDefault="008B2BD3" w:rsidP="006F4BA2">
      <w:pPr>
        <w:rPr>
          <w:rFonts w:eastAsiaTheme="minorEastAsia"/>
          <w:color w:val="000000" w:themeColor="text1"/>
        </w:rPr>
      </w:pPr>
      <w:r>
        <w:rPr>
          <w:color w:val="000000" w:themeColor="text1"/>
        </w:rPr>
        <w:t xml:space="preserve">Figure 1 shows three additional </w:t>
      </w:r>
      <w:r w:rsidR="00360C50">
        <w:rPr>
          <w:color w:val="000000" w:themeColor="text1"/>
        </w:rPr>
        <w:t xml:space="preserve">labeled </w:t>
      </w:r>
      <w:r>
        <w:rPr>
          <w:color w:val="000000" w:themeColor="text1"/>
        </w:rPr>
        <w:t xml:space="preserve">columns besides the frequency in Hz. Column A is the frequency </w:t>
      </w:r>
      <m:oMath>
        <m:r>
          <w:rPr>
            <w:rFonts w:ascii="Cambria Math" w:hAnsi="Cambria Math"/>
            <w:color w:val="000000" w:themeColor="text1"/>
          </w:rPr>
          <m:t>ω</m:t>
        </m:r>
      </m:oMath>
      <w:r>
        <w:rPr>
          <w:rFonts w:eastAsiaTheme="minorEastAsia"/>
          <w:color w:val="000000" w:themeColor="text1"/>
        </w:rPr>
        <w:t xml:space="preserve"> </w:t>
      </w:r>
      <w:r>
        <w:rPr>
          <w:color w:val="000000" w:themeColor="text1"/>
        </w:rPr>
        <w:t xml:space="preserve">in radians/s, which is convenient because the transfer function equation is written in terms </w:t>
      </w:r>
      <w:proofErr w:type="gramStart"/>
      <w:r>
        <w:rPr>
          <w:color w:val="000000" w:themeColor="text1"/>
        </w:rPr>
        <w:t xml:space="preserve">of </w:t>
      </w:r>
      <w:proofErr w:type="gramEnd"/>
      <m:oMath>
        <m:r>
          <w:rPr>
            <w:rFonts w:ascii="Cambria Math" w:hAnsi="Cambria Math"/>
            <w:color w:val="000000" w:themeColor="text1"/>
          </w:rPr>
          <m:t>ω</m:t>
        </m:r>
      </m:oMath>
      <w:r>
        <w:rPr>
          <w:rFonts w:eastAsiaTheme="minorEastAsia"/>
          <w:color w:val="000000" w:themeColor="text1"/>
        </w:rPr>
        <w:t xml:space="preserve">.  Column C is where the magnitude will be calculated, and Column D is where the phase will be calculated.  We </w:t>
      </w:r>
      <w:r w:rsidRPr="008B2BD3">
        <w:rPr>
          <w:rFonts w:eastAsiaTheme="minorEastAsia"/>
          <w:i/>
          <w:color w:val="000000" w:themeColor="text1"/>
        </w:rPr>
        <w:t>could</w:t>
      </w:r>
      <w:r>
        <w:rPr>
          <w:rFonts w:eastAsiaTheme="minorEastAsia"/>
          <w:color w:val="000000" w:themeColor="text1"/>
        </w:rPr>
        <w:t xml:space="preserve"> now use Equations 2 and 3 directly to calculate the magnitude and phase.  However, for additional flexibility, the cutoff frequencies 100, 20, and 800 can be defined as variables so that, if one or more of these values changes, we will need to change </w:t>
      </w:r>
      <w:r w:rsidR="00360C50">
        <w:rPr>
          <w:rFonts w:eastAsiaTheme="minorEastAsia"/>
          <w:color w:val="000000" w:themeColor="text1"/>
        </w:rPr>
        <w:t>only their defined</w:t>
      </w:r>
      <w:r>
        <w:rPr>
          <w:rFonts w:eastAsiaTheme="minorEastAsia"/>
          <w:color w:val="000000" w:themeColor="text1"/>
        </w:rPr>
        <w:t xml:space="preserve"> value</w:t>
      </w:r>
      <w:r w:rsidR="00360C50">
        <w:rPr>
          <w:rFonts w:eastAsiaTheme="minorEastAsia"/>
          <w:color w:val="000000" w:themeColor="text1"/>
        </w:rPr>
        <w:t>s, as opposed to making changes to the equation.  The practice also improves the readability of the worksheet.</w:t>
      </w:r>
    </w:p>
    <w:p w:rsidR="00360C50" w:rsidRDefault="00360C50" w:rsidP="006F4BA2">
      <w:pPr>
        <w:rPr>
          <w:rFonts w:eastAsiaTheme="minorEastAsia"/>
          <w:color w:val="000000" w:themeColor="text1"/>
        </w:rPr>
      </w:pPr>
      <w:r>
        <w:rPr>
          <w:rFonts w:eastAsiaTheme="minorEastAsia"/>
          <w:color w:val="000000" w:themeColor="text1"/>
        </w:rPr>
        <w:t xml:space="preserve">Find a location on the worksheet that is not being used (and that you otherwise do not anticipate using in the future) and </w:t>
      </w:r>
      <w:r w:rsidR="00CA642F">
        <w:rPr>
          <w:rFonts w:eastAsiaTheme="minorEastAsia"/>
          <w:color w:val="000000" w:themeColor="text1"/>
        </w:rPr>
        <w:t>type in the information shown in the range $F2:$G4.  Column G has the values that are to be defined.  To define the value in cell $G$2 as “</w:t>
      </w:r>
      <w:proofErr w:type="spellStart"/>
      <w:r w:rsidR="00CA642F">
        <w:rPr>
          <w:rFonts w:eastAsiaTheme="minorEastAsia"/>
          <w:color w:val="000000" w:themeColor="text1"/>
        </w:rPr>
        <w:t>wn</w:t>
      </w:r>
      <w:proofErr w:type="spellEnd"/>
      <w:r w:rsidR="00CA642F">
        <w:rPr>
          <w:rFonts w:eastAsiaTheme="minorEastAsia"/>
          <w:color w:val="000000" w:themeColor="text1"/>
        </w:rPr>
        <w:t xml:space="preserve">,” first click on the cell, then click on the window above Row A and type </w:t>
      </w:r>
      <w:proofErr w:type="spellStart"/>
      <w:r w:rsidR="00CA642F">
        <w:rPr>
          <w:rFonts w:eastAsiaTheme="minorEastAsia"/>
          <w:color w:val="000000" w:themeColor="text1"/>
        </w:rPr>
        <w:t>wn</w:t>
      </w:r>
      <w:proofErr w:type="spellEnd"/>
      <w:r w:rsidR="00CA642F">
        <w:rPr>
          <w:rFonts w:eastAsiaTheme="minorEastAsia"/>
          <w:color w:val="000000" w:themeColor="text1"/>
        </w:rPr>
        <w:t xml:space="preserve">.  Next click on cell $G$3 and type </w:t>
      </w:r>
      <w:proofErr w:type="spellStart"/>
      <w:r w:rsidR="00F52F25">
        <w:rPr>
          <w:rFonts w:eastAsiaTheme="minorEastAsia"/>
          <w:color w:val="000000" w:themeColor="text1"/>
        </w:rPr>
        <w:t>wda</w:t>
      </w:r>
      <w:proofErr w:type="spellEnd"/>
      <w:r w:rsidR="00F52F25">
        <w:rPr>
          <w:rFonts w:eastAsiaTheme="minorEastAsia"/>
          <w:color w:val="000000" w:themeColor="text1"/>
        </w:rPr>
        <w:t xml:space="preserve"> in the window above Column A.  Do the same for Cell $G$4, naming it </w:t>
      </w:r>
      <w:proofErr w:type="spellStart"/>
      <w:r w:rsidR="00F52F25">
        <w:rPr>
          <w:rFonts w:eastAsiaTheme="minorEastAsia"/>
          <w:color w:val="000000" w:themeColor="text1"/>
        </w:rPr>
        <w:t>wdb</w:t>
      </w:r>
      <w:proofErr w:type="spellEnd"/>
      <w:r w:rsidR="00F52F25">
        <w:rPr>
          <w:rFonts w:eastAsiaTheme="minorEastAsia"/>
          <w:color w:val="000000" w:themeColor="text1"/>
        </w:rPr>
        <w:t>.</w:t>
      </w:r>
      <w:r w:rsidR="00F52F25">
        <w:rPr>
          <w:rStyle w:val="FootnoteReference"/>
          <w:rFonts w:eastAsiaTheme="minorEastAsia"/>
          <w:color w:val="000000" w:themeColor="text1"/>
        </w:rPr>
        <w:footnoteReference w:id="3"/>
      </w:r>
    </w:p>
    <w:p w:rsidR="009F160F" w:rsidRDefault="009F160F" w:rsidP="006F4BA2">
      <w:pPr>
        <w:rPr>
          <w:rFonts w:eastAsiaTheme="minorEastAsia"/>
          <w:color w:val="000000" w:themeColor="text1"/>
        </w:rPr>
      </w:pPr>
      <w:r>
        <w:rPr>
          <w:rFonts w:eastAsiaTheme="minorEastAsia"/>
          <w:color w:val="000000" w:themeColor="text1"/>
        </w:rPr>
        <w:t xml:space="preserve">Now the equations can be easily calculated, as shown </w:t>
      </w:r>
      <w:proofErr w:type="gramStart"/>
      <w:r>
        <w:rPr>
          <w:rFonts w:eastAsiaTheme="minorEastAsia"/>
          <w:color w:val="000000" w:themeColor="text1"/>
        </w:rPr>
        <w:t>in .</w:t>
      </w:r>
      <w:proofErr w:type="gramEnd"/>
    </w:p>
    <w:p w:rsidR="009F160F" w:rsidRDefault="003C34A3" w:rsidP="00DA1691">
      <w:pPr>
        <w:spacing w:after="120"/>
        <w:rPr>
          <w:rFonts w:eastAsiaTheme="minorEastAsia"/>
          <w:color w:val="000000" w:themeColor="text1"/>
        </w:rPr>
      </w:pPr>
      <w:r>
        <w:rPr>
          <w:noProof/>
        </w:rPr>
        <w:drawing>
          <wp:inline distT="0" distB="0" distL="0" distR="0" wp14:anchorId="1FD9471A" wp14:editId="39032386">
            <wp:extent cx="5943600" cy="1205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05865"/>
                    </a:xfrm>
                    <a:prstGeom prst="rect">
                      <a:avLst/>
                    </a:prstGeom>
                  </pic:spPr>
                </pic:pic>
              </a:graphicData>
            </a:graphic>
          </wp:inline>
        </w:drawing>
      </w:r>
    </w:p>
    <w:p w:rsidR="009F160F" w:rsidRDefault="003C34A3" w:rsidP="00DA1691">
      <w:pPr>
        <w:pStyle w:val="Caption"/>
      </w:pPr>
      <w:r w:rsidRPr="006F4BA2">
        <w:t xml:space="preserve">Figure </w:t>
      </w:r>
      <w:r w:rsidRPr="006F4BA2">
        <w:fldChar w:fldCharType="begin"/>
      </w:r>
      <w:r w:rsidRPr="006F4BA2">
        <w:instrText xml:space="preserve"> SEQ Figure \* ARABIC </w:instrText>
      </w:r>
      <w:r w:rsidRPr="006F4BA2">
        <w:fldChar w:fldCharType="separate"/>
      </w:r>
      <w:r>
        <w:rPr>
          <w:noProof/>
        </w:rPr>
        <w:t>2</w:t>
      </w:r>
      <w:r w:rsidRPr="006F4BA2">
        <w:fldChar w:fldCharType="end"/>
      </w:r>
      <w:r w:rsidRPr="006F4BA2">
        <w:t>:</w:t>
      </w:r>
      <w:r>
        <w:t xml:space="preserve"> </w:t>
      </w:r>
      <w:r w:rsidR="009F160F">
        <w:t>Formulas for the magnitude and phase calculations.</w:t>
      </w:r>
    </w:p>
    <w:p w:rsidR="003C34A3" w:rsidRDefault="003C34A3" w:rsidP="003C34A3">
      <w:r>
        <w:lastRenderedPageBreak/>
        <w:t xml:space="preserve">The resulting Bode plot is shown in </w:t>
      </w:r>
      <w:r>
        <w:fldChar w:fldCharType="begin"/>
      </w:r>
      <w:r>
        <w:instrText xml:space="preserve"> REF _Ref126417460 \h </w:instrText>
      </w:r>
      <w:r>
        <w:fldChar w:fldCharType="separate"/>
      </w:r>
      <w:r w:rsidRPr="006F4BA2">
        <w:t xml:space="preserve">Figure </w:t>
      </w:r>
      <w:r>
        <w:rPr>
          <w:noProof/>
        </w:rPr>
        <w:t>3</w:t>
      </w:r>
      <w:r>
        <w:fldChar w:fldCharType="end"/>
      </w:r>
      <w:r>
        <w:t>.</w:t>
      </w:r>
    </w:p>
    <w:p w:rsidR="003C34A3" w:rsidRDefault="003C34A3" w:rsidP="003C34A3">
      <w:pPr>
        <w:jc w:val="center"/>
      </w:pPr>
      <w:r>
        <w:rPr>
          <w:noProof/>
        </w:rPr>
        <w:drawing>
          <wp:inline distT="0" distB="0" distL="0" distR="0" wp14:anchorId="6470FFAA" wp14:editId="50C57F69">
            <wp:extent cx="3911173" cy="413317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9786" cy="4142278"/>
                    </a:xfrm>
                    <a:prstGeom prst="rect">
                      <a:avLst/>
                    </a:prstGeom>
                  </pic:spPr>
                </pic:pic>
              </a:graphicData>
            </a:graphic>
          </wp:inline>
        </w:drawing>
      </w:r>
    </w:p>
    <w:p w:rsidR="003C34A3" w:rsidRDefault="003C34A3" w:rsidP="003C34A3">
      <w:pPr>
        <w:pStyle w:val="Caption"/>
      </w:pPr>
      <w:bookmarkStart w:id="3" w:name="_Ref126417460"/>
      <w:r w:rsidRPr="006F4BA2">
        <w:t xml:space="preserve">Figure </w:t>
      </w:r>
      <w:r w:rsidRPr="006F4BA2">
        <w:fldChar w:fldCharType="begin"/>
      </w:r>
      <w:r w:rsidRPr="006F4BA2">
        <w:instrText xml:space="preserve"> SEQ Figure \* ARABIC </w:instrText>
      </w:r>
      <w:r w:rsidRPr="006F4BA2">
        <w:fldChar w:fldCharType="separate"/>
      </w:r>
      <w:r>
        <w:rPr>
          <w:noProof/>
        </w:rPr>
        <w:t>3</w:t>
      </w:r>
      <w:r w:rsidRPr="006F4BA2">
        <w:fldChar w:fldCharType="end"/>
      </w:r>
      <w:bookmarkEnd w:id="3"/>
      <w:r w:rsidRPr="006F4BA2">
        <w:t>:</w:t>
      </w:r>
      <w:r>
        <w:t xml:space="preserve"> Excel-generated Bode plot</w:t>
      </w:r>
    </w:p>
    <w:p w:rsidR="003C34A3" w:rsidRPr="003C34A3" w:rsidRDefault="003C34A3" w:rsidP="003C34A3"/>
    <w:sectPr w:rsidR="003C34A3" w:rsidRPr="003C34A3" w:rsidSect="00524B6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8D2" w:rsidRDefault="003928D2" w:rsidP="006F4BA2">
      <w:r>
        <w:separator/>
      </w:r>
    </w:p>
  </w:endnote>
  <w:endnote w:type="continuationSeparator" w:id="0">
    <w:p w:rsidR="003928D2" w:rsidRDefault="003928D2" w:rsidP="006F4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083"/>
      <w:docPartObj>
        <w:docPartGallery w:val="Page Numbers (Bottom of Page)"/>
        <w:docPartUnique/>
      </w:docPartObj>
    </w:sdtPr>
    <w:sdtEndPr/>
    <w:sdtContent>
      <w:p w:rsidR="008553B8" w:rsidRDefault="008553B8" w:rsidP="006F4BA2">
        <w:pPr>
          <w:pStyle w:val="Footer"/>
        </w:pPr>
        <w:r>
          <w:rPr>
            <w:noProof/>
          </w:rPr>
          <w:fldChar w:fldCharType="begin"/>
        </w:r>
        <w:r>
          <w:rPr>
            <w:noProof/>
          </w:rPr>
          <w:instrText xml:space="preserve"> PAGE   \* MERGEFORMAT </w:instrText>
        </w:r>
        <w:r>
          <w:rPr>
            <w:noProof/>
          </w:rPr>
          <w:fldChar w:fldCharType="separate"/>
        </w:r>
        <w:r w:rsidR="003C34A3">
          <w:rPr>
            <w:noProof/>
          </w:rPr>
          <w:t>2</w:t>
        </w:r>
        <w:r>
          <w:rPr>
            <w:noProof/>
          </w:rPr>
          <w:fldChar w:fldCharType="end"/>
        </w:r>
      </w:p>
    </w:sdtContent>
  </w:sdt>
  <w:p w:rsidR="008553B8" w:rsidRDefault="008553B8" w:rsidP="006F4B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8D2" w:rsidRDefault="003928D2" w:rsidP="006F4BA2">
      <w:r>
        <w:separator/>
      </w:r>
    </w:p>
  </w:footnote>
  <w:footnote w:type="continuationSeparator" w:id="0">
    <w:p w:rsidR="003928D2" w:rsidRDefault="003928D2" w:rsidP="006F4BA2">
      <w:r>
        <w:continuationSeparator/>
      </w:r>
    </w:p>
  </w:footnote>
  <w:footnote w:id="1">
    <w:p w:rsidR="002152A4" w:rsidRDefault="002152A4">
      <w:pPr>
        <w:pStyle w:val="FootnoteText"/>
      </w:pPr>
      <w:r>
        <w:rPr>
          <w:rStyle w:val="FootnoteReference"/>
        </w:rPr>
        <w:footnoteRef/>
      </w:r>
      <w:r>
        <w:t xml:space="preserve"> More generally, it can easily be shown that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N</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e>
            </m:d>
          </m:den>
        </m:f>
        <m:r>
          <w:rPr>
            <w:rFonts w:ascii="Cambria Math" w:hAnsi="Cambria Math"/>
          </w:rPr>
          <m:t xml:space="preserve"> </m:t>
        </m:r>
      </m:oMath>
    </w:p>
  </w:footnote>
  <w:footnote w:id="2">
    <w:p w:rsidR="002152A4" w:rsidRDefault="002152A4">
      <w:pPr>
        <w:pStyle w:val="FootnoteText"/>
      </w:pPr>
      <w:r>
        <w:rPr>
          <w:rStyle w:val="FootnoteReference"/>
        </w:rPr>
        <w:footnoteRef/>
      </w:r>
      <w:r>
        <w:t xml:space="preserve"> More generally for phases</w:t>
      </w:r>
      <w:proofErr w:type="gramStart"/>
      <w:r>
        <w:t xml:space="preserve">, </w:t>
      </w:r>
      <w:proofErr w:type="gramEnd"/>
      <m:oMath>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m:t>
                    </m:r>
                  </m:sub>
                </m:sSub>
              </m:num>
              <m:den>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oMath>
      <w:r w:rsidR="00B92EF2">
        <w:rPr>
          <w:rFonts w:eastAsiaTheme="minorEastAsia"/>
        </w:rPr>
        <w:t xml:space="preserve">, where </w:t>
      </w:r>
      <m:oMath>
        <m:r>
          <w:rPr>
            <w:rFonts w:ascii="Cambria Math" w:eastAsiaTheme="minorEastAsia" w:hAnsi="Cambria Math"/>
          </w:rPr>
          <m:t>∠</m:t>
        </m:r>
      </m:oMath>
      <w:r w:rsidR="00B92EF2">
        <w:rPr>
          <w:rFonts w:eastAsiaTheme="minorEastAsia"/>
        </w:rPr>
        <w:t xml:space="preserve"> is read as “the phase of.”</w:t>
      </w:r>
    </w:p>
  </w:footnote>
  <w:footnote w:id="3">
    <w:p w:rsidR="00F52F25" w:rsidRDefault="00F52F25">
      <w:pPr>
        <w:pStyle w:val="FootnoteText"/>
      </w:pPr>
      <w:r>
        <w:rPr>
          <w:rStyle w:val="FootnoteReference"/>
        </w:rPr>
        <w:footnoteRef/>
      </w:r>
      <w:r>
        <w:t xml:space="preserve"> These variable names are chosen to be mnemonic.  The variable name </w:t>
      </w:r>
      <w:proofErr w:type="spellStart"/>
      <w:r>
        <w:t>wn</w:t>
      </w:r>
      <w:proofErr w:type="spellEnd"/>
      <w:r>
        <w:t xml:space="preserve"> stands for “the omega in the numerator.”  Likewise, </w:t>
      </w:r>
      <w:proofErr w:type="spellStart"/>
      <w:r>
        <w:t>wda</w:t>
      </w:r>
      <w:proofErr w:type="spellEnd"/>
      <w:r>
        <w:t xml:space="preserve"> and </w:t>
      </w:r>
      <w:proofErr w:type="spellStart"/>
      <w:r>
        <w:t>wdb</w:t>
      </w:r>
      <w:proofErr w:type="spellEnd"/>
      <w:r>
        <w:t xml:space="preserve"> are “numerator omega a” and “numerator omega b.”</w:t>
      </w:r>
      <w:r w:rsidR="009F160F">
        <w:t xml:space="preserve">  Note that you cannot use names like w1 and w2 because Excel interprets them as cell addresses (e.g., Column W, Row 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F7"/>
    <w:rsid w:val="00022532"/>
    <w:rsid w:val="00034E0F"/>
    <w:rsid w:val="00043120"/>
    <w:rsid w:val="0009393D"/>
    <w:rsid w:val="000A3A7E"/>
    <w:rsid w:val="000C7082"/>
    <w:rsid w:val="000D445D"/>
    <w:rsid w:val="000E65EC"/>
    <w:rsid w:val="000E7755"/>
    <w:rsid w:val="00123B9D"/>
    <w:rsid w:val="0012547B"/>
    <w:rsid w:val="0015549A"/>
    <w:rsid w:val="00167672"/>
    <w:rsid w:val="0017109E"/>
    <w:rsid w:val="00180655"/>
    <w:rsid w:val="001A74EC"/>
    <w:rsid w:val="001B55FA"/>
    <w:rsid w:val="001F0E64"/>
    <w:rsid w:val="002027A7"/>
    <w:rsid w:val="00207B25"/>
    <w:rsid w:val="002152A4"/>
    <w:rsid w:val="00267FAD"/>
    <w:rsid w:val="00290462"/>
    <w:rsid w:val="00292FEF"/>
    <w:rsid w:val="002D13D5"/>
    <w:rsid w:val="002F2326"/>
    <w:rsid w:val="002F4E66"/>
    <w:rsid w:val="00330987"/>
    <w:rsid w:val="00343A1D"/>
    <w:rsid w:val="00360C50"/>
    <w:rsid w:val="00386AEA"/>
    <w:rsid w:val="003928D2"/>
    <w:rsid w:val="0039689D"/>
    <w:rsid w:val="003A5E31"/>
    <w:rsid w:val="003B2DF1"/>
    <w:rsid w:val="003C34A3"/>
    <w:rsid w:val="003E2EDC"/>
    <w:rsid w:val="003F7657"/>
    <w:rsid w:val="00413840"/>
    <w:rsid w:val="0042758B"/>
    <w:rsid w:val="00434F62"/>
    <w:rsid w:val="004428F3"/>
    <w:rsid w:val="004521DB"/>
    <w:rsid w:val="004708E6"/>
    <w:rsid w:val="00494BF3"/>
    <w:rsid w:val="004C0442"/>
    <w:rsid w:val="004F3BCF"/>
    <w:rsid w:val="00501D9B"/>
    <w:rsid w:val="005024DB"/>
    <w:rsid w:val="0052392B"/>
    <w:rsid w:val="005240FF"/>
    <w:rsid w:val="00524B65"/>
    <w:rsid w:val="00543247"/>
    <w:rsid w:val="00573361"/>
    <w:rsid w:val="005746BC"/>
    <w:rsid w:val="005B6FA2"/>
    <w:rsid w:val="005C6EFF"/>
    <w:rsid w:val="005D47BE"/>
    <w:rsid w:val="005F10E9"/>
    <w:rsid w:val="006172F0"/>
    <w:rsid w:val="00655E6B"/>
    <w:rsid w:val="0068343F"/>
    <w:rsid w:val="00692A44"/>
    <w:rsid w:val="006A1396"/>
    <w:rsid w:val="006A66F8"/>
    <w:rsid w:val="006D0C99"/>
    <w:rsid w:val="006D291D"/>
    <w:rsid w:val="006E15E5"/>
    <w:rsid w:val="006F1AF7"/>
    <w:rsid w:val="006F4BA2"/>
    <w:rsid w:val="00711BBF"/>
    <w:rsid w:val="00712930"/>
    <w:rsid w:val="0072535A"/>
    <w:rsid w:val="00743B0B"/>
    <w:rsid w:val="00747515"/>
    <w:rsid w:val="00783EAF"/>
    <w:rsid w:val="00794814"/>
    <w:rsid w:val="007B1866"/>
    <w:rsid w:val="007C0314"/>
    <w:rsid w:val="007D6C29"/>
    <w:rsid w:val="007E2987"/>
    <w:rsid w:val="007F2809"/>
    <w:rsid w:val="007F4569"/>
    <w:rsid w:val="008054FC"/>
    <w:rsid w:val="00806631"/>
    <w:rsid w:val="008462A8"/>
    <w:rsid w:val="008553B8"/>
    <w:rsid w:val="00855810"/>
    <w:rsid w:val="00865F1D"/>
    <w:rsid w:val="008A0865"/>
    <w:rsid w:val="008B2BD3"/>
    <w:rsid w:val="008C0F91"/>
    <w:rsid w:val="008F080D"/>
    <w:rsid w:val="00945C04"/>
    <w:rsid w:val="009924BF"/>
    <w:rsid w:val="009A371E"/>
    <w:rsid w:val="009B7A7B"/>
    <w:rsid w:val="009D6F4F"/>
    <w:rsid w:val="009F160F"/>
    <w:rsid w:val="009F4C20"/>
    <w:rsid w:val="00A03443"/>
    <w:rsid w:val="00A07423"/>
    <w:rsid w:val="00A13639"/>
    <w:rsid w:val="00A137CB"/>
    <w:rsid w:val="00A72106"/>
    <w:rsid w:val="00A905DF"/>
    <w:rsid w:val="00AB0C43"/>
    <w:rsid w:val="00AB7619"/>
    <w:rsid w:val="00AC4A23"/>
    <w:rsid w:val="00AD353F"/>
    <w:rsid w:val="00B15C75"/>
    <w:rsid w:val="00B639AB"/>
    <w:rsid w:val="00B92EF2"/>
    <w:rsid w:val="00B94F97"/>
    <w:rsid w:val="00BA004F"/>
    <w:rsid w:val="00BA6200"/>
    <w:rsid w:val="00BB01BE"/>
    <w:rsid w:val="00BB1DDF"/>
    <w:rsid w:val="00BB720D"/>
    <w:rsid w:val="00BF01FA"/>
    <w:rsid w:val="00BF2843"/>
    <w:rsid w:val="00C07F1C"/>
    <w:rsid w:val="00C16875"/>
    <w:rsid w:val="00C32BCB"/>
    <w:rsid w:val="00C33067"/>
    <w:rsid w:val="00C4777F"/>
    <w:rsid w:val="00C53C14"/>
    <w:rsid w:val="00C550B2"/>
    <w:rsid w:val="00C61358"/>
    <w:rsid w:val="00C655E5"/>
    <w:rsid w:val="00CA642F"/>
    <w:rsid w:val="00CF0819"/>
    <w:rsid w:val="00CF7A22"/>
    <w:rsid w:val="00D305D0"/>
    <w:rsid w:val="00D30F2E"/>
    <w:rsid w:val="00D36DB0"/>
    <w:rsid w:val="00D53BA8"/>
    <w:rsid w:val="00D54CC3"/>
    <w:rsid w:val="00D62793"/>
    <w:rsid w:val="00D6685E"/>
    <w:rsid w:val="00D7733D"/>
    <w:rsid w:val="00D901D4"/>
    <w:rsid w:val="00DA1691"/>
    <w:rsid w:val="00DB19C3"/>
    <w:rsid w:val="00DC09F6"/>
    <w:rsid w:val="00DD21D0"/>
    <w:rsid w:val="00DD694B"/>
    <w:rsid w:val="00E70C4E"/>
    <w:rsid w:val="00EA093A"/>
    <w:rsid w:val="00F415A8"/>
    <w:rsid w:val="00F4555D"/>
    <w:rsid w:val="00F52464"/>
    <w:rsid w:val="00F52F25"/>
    <w:rsid w:val="00F60CC2"/>
    <w:rsid w:val="00F73BF8"/>
    <w:rsid w:val="00FA29BA"/>
    <w:rsid w:val="00FC114F"/>
    <w:rsid w:val="00FD1C72"/>
    <w:rsid w:val="00FD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0DFA"/>
  <w15:docId w15:val="{B65AB6EC-06AA-4F4B-BA08-26392EFE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A2"/>
    <w:pPr>
      <w:spacing w:after="24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428F3"/>
    <w:pPr>
      <w:keepNext/>
      <w:keepLines/>
      <w:jc w:val="center"/>
      <w:outlineLvl w:val="0"/>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ssertationTitle">
    <w:name w:val="DissertationTitle"/>
    <w:basedOn w:val="DefaultParagraphFont"/>
    <w:uiPriority w:val="1"/>
    <w:rsid w:val="00207B25"/>
    <w:rPr>
      <w:rFonts w:ascii="Times New Roman" w:hAnsi="Times New Roman"/>
      <w:b/>
      <w:sz w:val="28"/>
    </w:rPr>
  </w:style>
  <w:style w:type="character" w:customStyle="1" w:styleId="Heading1Char">
    <w:name w:val="Heading 1 Char"/>
    <w:basedOn w:val="DefaultParagraphFont"/>
    <w:link w:val="Heading1"/>
    <w:uiPriority w:val="9"/>
    <w:rsid w:val="004428F3"/>
    <w:rPr>
      <w:rFonts w:asciiTheme="majorHAnsi" w:eastAsiaTheme="majorEastAsia" w:hAnsiTheme="majorHAnsi" w:cstheme="majorBidi"/>
      <w:b/>
      <w:bCs/>
      <w:sz w:val="24"/>
      <w:szCs w:val="24"/>
    </w:rPr>
  </w:style>
  <w:style w:type="paragraph" w:customStyle="1" w:styleId="StyleTOCHeadingAuto">
    <w:name w:val="Style TOC Heading + Auto"/>
    <w:basedOn w:val="TOCHeading"/>
    <w:qFormat/>
    <w:rsid w:val="00AC4A23"/>
    <w:pPr>
      <w:spacing w:line="276" w:lineRule="auto"/>
    </w:pPr>
    <w:rPr>
      <w:color w:val="auto"/>
    </w:rPr>
  </w:style>
  <w:style w:type="paragraph" w:styleId="TOCHeading">
    <w:name w:val="TOC Heading"/>
    <w:basedOn w:val="Heading1"/>
    <w:next w:val="Normal"/>
    <w:uiPriority w:val="39"/>
    <w:semiHidden/>
    <w:unhideWhenUsed/>
    <w:qFormat/>
    <w:rsid w:val="00AC4A23"/>
    <w:pPr>
      <w:spacing w:before="480" w:after="0"/>
      <w:jc w:val="left"/>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F1A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AF7"/>
    <w:rPr>
      <w:rFonts w:ascii="Tahoma" w:hAnsi="Tahoma" w:cs="Tahoma"/>
      <w:sz w:val="16"/>
      <w:szCs w:val="16"/>
    </w:rPr>
  </w:style>
  <w:style w:type="table" w:styleId="TableGrid">
    <w:name w:val="Table Grid"/>
    <w:basedOn w:val="TableNormal"/>
    <w:uiPriority w:val="59"/>
    <w:rsid w:val="006F1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1AF7"/>
    <w:rPr>
      <w:color w:val="808080"/>
    </w:rPr>
  </w:style>
  <w:style w:type="paragraph" w:styleId="Caption">
    <w:name w:val="caption"/>
    <w:basedOn w:val="Normal"/>
    <w:next w:val="Normal"/>
    <w:uiPriority w:val="35"/>
    <w:unhideWhenUsed/>
    <w:qFormat/>
    <w:rsid w:val="006F4BA2"/>
    <w:pPr>
      <w:spacing w:after="200"/>
      <w:jc w:val="center"/>
    </w:pPr>
    <w:rPr>
      <w:rFonts w:asciiTheme="majorHAnsi" w:hAnsiTheme="majorHAnsi"/>
      <w:b/>
      <w:bCs/>
      <w:color w:val="000000" w:themeColor="text1"/>
      <w:sz w:val="22"/>
      <w:szCs w:val="22"/>
    </w:rPr>
  </w:style>
  <w:style w:type="character" w:styleId="Hyperlink">
    <w:name w:val="Hyperlink"/>
    <w:basedOn w:val="DefaultParagraphFont"/>
    <w:uiPriority w:val="99"/>
    <w:semiHidden/>
    <w:unhideWhenUsed/>
    <w:rsid w:val="006F1AF7"/>
    <w:rPr>
      <w:color w:val="0000FF"/>
      <w:u w:val="single"/>
    </w:rPr>
  </w:style>
  <w:style w:type="character" w:customStyle="1" w:styleId="nowrap">
    <w:name w:val="nowrap"/>
    <w:basedOn w:val="DefaultParagraphFont"/>
    <w:rsid w:val="006F1AF7"/>
  </w:style>
  <w:style w:type="paragraph" w:styleId="Header">
    <w:name w:val="header"/>
    <w:basedOn w:val="Normal"/>
    <w:link w:val="HeaderChar"/>
    <w:uiPriority w:val="99"/>
    <w:semiHidden/>
    <w:unhideWhenUsed/>
    <w:rsid w:val="006A1396"/>
    <w:pPr>
      <w:tabs>
        <w:tab w:val="center" w:pos="4680"/>
        <w:tab w:val="right" w:pos="9360"/>
      </w:tabs>
      <w:spacing w:after="0"/>
    </w:pPr>
  </w:style>
  <w:style w:type="character" w:customStyle="1" w:styleId="HeaderChar">
    <w:name w:val="Header Char"/>
    <w:basedOn w:val="DefaultParagraphFont"/>
    <w:link w:val="Header"/>
    <w:uiPriority w:val="99"/>
    <w:semiHidden/>
    <w:rsid w:val="006A1396"/>
    <w:rPr>
      <w:rFonts w:ascii="Times New Roman" w:hAnsi="Times New Roman" w:cs="Times New Roman"/>
    </w:rPr>
  </w:style>
  <w:style w:type="paragraph" w:styleId="Footer">
    <w:name w:val="footer"/>
    <w:basedOn w:val="Normal"/>
    <w:link w:val="FooterChar"/>
    <w:uiPriority w:val="99"/>
    <w:unhideWhenUsed/>
    <w:rsid w:val="006A1396"/>
    <w:pPr>
      <w:tabs>
        <w:tab w:val="center" w:pos="4680"/>
        <w:tab w:val="right" w:pos="9360"/>
      </w:tabs>
      <w:spacing w:after="0"/>
    </w:pPr>
  </w:style>
  <w:style w:type="character" w:customStyle="1" w:styleId="FooterChar">
    <w:name w:val="Footer Char"/>
    <w:basedOn w:val="DefaultParagraphFont"/>
    <w:link w:val="Footer"/>
    <w:uiPriority w:val="99"/>
    <w:rsid w:val="006A1396"/>
    <w:rPr>
      <w:rFonts w:ascii="Times New Roman" w:hAnsi="Times New Roman" w:cs="Times New Roman"/>
    </w:rPr>
  </w:style>
  <w:style w:type="paragraph" w:styleId="Title">
    <w:name w:val="Title"/>
    <w:basedOn w:val="Normal"/>
    <w:next w:val="Normal"/>
    <w:link w:val="TitleChar"/>
    <w:uiPriority w:val="10"/>
    <w:qFormat/>
    <w:rsid w:val="006F4BA2"/>
    <w:pPr>
      <w:jc w:val="center"/>
    </w:pPr>
    <w:rPr>
      <w:b/>
    </w:rPr>
  </w:style>
  <w:style w:type="character" w:customStyle="1" w:styleId="TitleChar">
    <w:name w:val="Title Char"/>
    <w:basedOn w:val="DefaultParagraphFont"/>
    <w:link w:val="Title"/>
    <w:uiPriority w:val="10"/>
    <w:rsid w:val="006F4BA2"/>
    <w:rPr>
      <w:rFonts w:ascii="Times New Roman" w:hAnsi="Times New Roman" w:cs="Times New Roman"/>
      <w:b/>
      <w:sz w:val="24"/>
      <w:szCs w:val="24"/>
    </w:rPr>
  </w:style>
  <w:style w:type="paragraph" w:styleId="FootnoteText">
    <w:name w:val="footnote text"/>
    <w:basedOn w:val="Normal"/>
    <w:link w:val="FootnoteTextChar"/>
    <w:uiPriority w:val="99"/>
    <w:semiHidden/>
    <w:unhideWhenUsed/>
    <w:rsid w:val="002152A4"/>
    <w:pPr>
      <w:spacing w:after="0"/>
    </w:pPr>
    <w:rPr>
      <w:sz w:val="20"/>
      <w:szCs w:val="20"/>
    </w:rPr>
  </w:style>
  <w:style w:type="character" w:customStyle="1" w:styleId="FootnoteTextChar">
    <w:name w:val="Footnote Text Char"/>
    <w:basedOn w:val="DefaultParagraphFont"/>
    <w:link w:val="FootnoteText"/>
    <w:uiPriority w:val="99"/>
    <w:semiHidden/>
    <w:rsid w:val="002152A4"/>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2152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74562">
      <w:bodyDiv w:val="1"/>
      <w:marLeft w:val="0"/>
      <w:marRight w:val="0"/>
      <w:marTop w:val="0"/>
      <w:marBottom w:val="0"/>
      <w:divBdr>
        <w:top w:val="none" w:sz="0" w:space="0" w:color="auto"/>
        <w:left w:val="none" w:sz="0" w:space="0" w:color="auto"/>
        <w:bottom w:val="none" w:sz="0" w:space="0" w:color="auto"/>
        <w:right w:val="none" w:sz="0" w:space="0" w:color="auto"/>
      </w:divBdr>
    </w:div>
    <w:div w:id="60623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864"/>
    <w:rsid w:val="00242B17"/>
    <w:rsid w:val="004D5ED0"/>
    <w:rsid w:val="00F9059C"/>
    <w:rsid w:val="00FB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5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0B7ACAF5-4230-4C68-A817-2222DA440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sajones</dc:creator>
  <cp:lastModifiedBy>Steven Jones</cp:lastModifiedBy>
  <cp:revision>6</cp:revision>
  <dcterms:created xsi:type="dcterms:W3CDTF">2023-02-04T19:19:00Z</dcterms:created>
  <dcterms:modified xsi:type="dcterms:W3CDTF">2023-02-04T21:44:00Z</dcterms:modified>
</cp:coreProperties>
</file>