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56"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F7F0C8E"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491B490" w14:textId="77777777" w:rsidR="00000000" w:rsidRDefault="00000000">
            <w:pPr>
              <w:spacing w:before="120"/>
              <w:jc w:val="center"/>
            </w:pPr>
            <w:r>
              <w:rPr>
                <w:b/>
                <w:bCs/>
                <w:sz w:val="20"/>
              </w:rPr>
              <w:t>BỘ GIÁO DỤC VÀ ĐÀO TẠO</w:t>
            </w:r>
            <w:r>
              <w:rPr>
                <w:b/>
                <w:bCs/>
                <w:sz w:val="20"/>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4C89EC0" w14:textId="77777777" w:rsidR="00000000" w:rsidRDefault="00000000">
            <w:pPr>
              <w:spacing w:before="120"/>
              <w:jc w:val="center"/>
            </w:pPr>
            <w:r>
              <w:rPr>
                <w:b/>
                <w:bCs/>
                <w:sz w:val="20"/>
              </w:rPr>
              <w:t>CỘNG HÒA XÃ HỘI CHỦ NGHĨA VIỆT NAM</w:t>
            </w:r>
            <w:r>
              <w:rPr>
                <w:b/>
                <w:bCs/>
                <w:sz w:val="20"/>
              </w:rPr>
              <w:br/>
              <w:t xml:space="preserve">Độc lập - Tự do - Hạnh phúc </w:t>
            </w:r>
            <w:r>
              <w:rPr>
                <w:b/>
                <w:bCs/>
                <w:sz w:val="20"/>
              </w:rPr>
              <w:br/>
              <w:t>---------------</w:t>
            </w:r>
          </w:p>
        </w:tc>
      </w:tr>
      <w:tr w:rsidR="00000000" w14:paraId="7237524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8119780" w14:textId="77777777" w:rsidR="00000000" w:rsidRDefault="00000000">
            <w:pPr>
              <w:spacing w:before="120"/>
              <w:jc w:val="center"/>
            </w:pPr>
            <w:r>
              <w:rPr>
                <w:sz w:val="20"/>
              </w:rPr>
              <w:t>Số: 04/2022/TT-BGDĐT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5EDE356" w14:textId="77777777" w:rsidR="00000000" w:rsidRDefault="00000000">
            <w:pPr>
              <w:spacing w:before="120"/>
              <w:jc w:val="right"/>
            </w:pPr>
            <w:r>
              <w:rPr>
                <w:i/>
                <w:iCs/>
                <w:sz w:val="20"/>
              </w:rPr>
              <w:t>Hà Nội, ngày 04 tháng 03 năm 2022</w:t>
            </w:r>
          </w:p>
        </w:tc>
      </w:tr>
    </w:tbl>
    <w:p w14:paraId="4F5C472F" w14:textId="77777777" w:rsidR="00000000" w:rsidRDefault="00000000">
      <w:pPr>
        <w:spacing w:before="120" w:after="280" w:afterAutospacing="1"/>
      </w:pPr>
      <w:r>
        <w:rPr>
          <w:sz w:val="20"/>
        </w:rPr>
        <w:t> </w:t>
      </w:r>
    </w:p>
    <w:p w14:paraId="2223A460" w14:textId="77777777" w:rsidR="00000000" w:rsidRDefault="00000000">
      <w:pPr>
        <w:spacing w:before="120" w:after="280" w:afterAutospacing="1"/>
        <w:jc w:val="center"/>
      </w:pPr>
      <w:bookmarkStart w:id="0" w:name="loai_1"/>
      <w:r>
        <w:rPr>
          <w:b/>
          <w:bCs/>
        </w:rPr>
        <w:t>THÔNG TƯ</w:t>
      </w:r>
      <w:bookmarkEnd w:id="0"/>
    </w:p>
    <w:p w14:paraId="4C65C998" w14:textId="77777777" w:rsidR="00000000" w:rsidRDefault="00000000">
      <w:pPr>
        <w:spacing w:before="120" w:after="280" w:afterAutospacing="1"/>
        <w:jc w:val="center"/>
      </w:pPr>
      <w:bookmarkStart w:id="1" w:name="loai_1_name"/>
      <w:r>
        <w:rPr>
          <w:sz w:val="20"/>
        </w:rPr>
        <w:t>SỬA ĐỔI, BỔ SUNG MỘT SỐ ĐIỀU CỦA THÔNG TƯ SỐ 35/2020/TT-BGDĐT NGÀY 01 THÁNG 10 NĂM 2020 CỦA BỘ TRƯỞNG BỘ GIÁO DỤC VÀ ĐÀO TẠO QUY ĐỊNH MÃ SỐ, TIÊU CHUẨN CHỨC DANH NGHỀ NGHIỆP, BỔ NHIỆM VÀ XẾP LƯƠNG ĐỐI VỚI VIÊN CHỨC GIẢNG DẠY TRONG CÁC TRƯỜNG CAO ĐẲNG SƯ PHẠM CÔNG LẬP; THÔNG TƯ SỐ 40/2020/TT-BGDĐT NGÀY 26 THÁNG 10 NĂM 2020 CỦA BỘ TRƯỞNG BỘ GIÁO DỤC VÀ ĐÀO TẠO QUY ĐỊNH MÃ SỐ, TIÊU CHUẨN CHỨC DANH NGHỀ NGHIỆP, BỔ NHIỆM VÀ XẾP LƯƠNG ĐỐI VỚI VIÊN CHỨC GIẢNG DẠY TRONG CÁC CƠ SỞ GIÁO DỤC ĐẠI HỌC CÔNG LẬP</w:t>
      </w:r>
      <w:bookmarkEnd w:id="1"/>
    </w:p>
    <w:p w14:paraId="77F3BA6F" w14:textId="77777777" w:rsidR="00000000" w:rsidRDefault="00000000">
      <w:pPr>
        <w:spacing w:before="120" w:after="280" w:afterAutospacing="1"/>
      </w:pPr>
      <w:r>
        <w:rPr>
          <w:i/>
          <w:iCs/>
          <w:sz w:val="20"/>
        </w:rPr>
        <w:t xml:space="preserve">Căn cứ </w:t>
      </w:r>
      <w:bookmarkStart w:id="2" w:name="tvpllink_pbbhayoinb"/>
      <w:r>
        <w:rPr>
          <w:i/>
          <w:iCs/>
          <w:sz w:val="20"/>
        </w:rPr>
        <w:t>Luật Viên chức</w:t>
      </w:r>
      <w:bookmarkEnd w:id="2"/>
      <w:r>
        <w:rPr>
          <w:i/>
          <w:iCs/>
          <w:sz w:val="20"/>
        </w:rPr>
        <w:t xml:space="preserve"> ngày 15 tháng 11 năm 2010; </w:t>
      </w:r>
      <w:bookmarkStart w:id="3" w:name="tvpllink_txueccitjt"/>
      <w:r>
        <w:rPr>
          <w:i/>
          <w:iCs/>
          <w:sz w:val="20"/>
        </w:rPr>
        <w:t>Luật sửa đổi, bổ sung một số điều của Luật Cán bộ, công chức và Luật Viên chức</w:t>
      </w:r>
      <w:bookmarkEnd w:id="3"/>
      <w:r>
        <w:rPr>
          <w:i/>
          <w:iCs/>
          <w:sz w:val="20"/>
        </w:rPr>
        <w:t xml:space="preserve"> ngày 25 tháng 11 năm 2019;</w:t>
      </w:r>
    </w:p>
    <w:p w14:paraId="5C443BF1" w14:textId="77777777" w:rsidR="00000000" w:rsidRDefault="00000000">
      <w:pPr>
        <w:spacing w:before="120" w:after="280" w:afterAutospacing="1"/>
      </w:pPr>
      <w:r>
        <w:rPr>
          <w:i/>
          <w:iCs/>
          <w:sz w:val="20"/>
        </w:rPr>
        <w:t xml:space="preserve">Căn cứ </w:t>
      </w:r>
      <w:bookmarkStart w:id="4" w:name="tvpllink_fdanjboppw"/>
      <w:r>
        <w:rPr>
          <w:i/>
          <w:iCs/>
          <w:sz w:val="20"/>
        </w:rPr>
        <w:t>Luật Giáo dục</w:t>
      </w:r>
      <w:bookmarkEnd w:id="4"/>
      <w:r>
        <w:rPr>
          <w:i/>
          <w:iCs/>
          <w:sz w:val="20"/>
        </w:rPr>
        <w:t xml:space="preserve"> ngày 14 tháng 6 năm 2019;</w:t>
      </w:r>
    </w:p>
    <w:p w14:paraId="40BC8410" w14:textId="77777777" w:rsidR="00000000" w:rsidRDefault="00000000">
      <w:pPr>
        <w:spacing w:before="120" w:after="280" w:afterAutospacing="1"/>
      </w:pPr>
      <w:r>
        <w:rPr>
          <w:i/>
          <w:iCs/>
          <w:sz w:val="20"/>
        </w:rPr>
        <w:t>Căn cứ Nghị định số 69/2017/NĐ-CP ngày 25 tháng 5 năm 2017 của Chính phủ quy định chức năng, nhiệm vụ, quyền hạn và cơ cấu tổ chức của Bộ Giáo dục và Đào tạo;</w:t>
      </w:r>
    </w:p>
    <w:p w14:paraId="1B2328CA" w14:textId="77777777" w:rsidR="00000000" w:rsidRDefault="00000000">
      <w:pPr>
        <w:spacing w:before="120" w:after="280" w:afterAutospacing="1"/>
      </w:pPr>
      <w:r>
        <w:rPr>
          <w:i/>
          <w:iCs/>
          <w:sz w:val="20"/>
        </w:rPr>
        <w:t>Căn cứ Nghị định số 101/2017/NĐ-CP ngày 01 tháng 9 năm 2017 của Chính phủ về đào tạo, bồi dưỡng cán bộ, công chức, viên chức; Nghị định số 89/2021/NĐ-CP ngày 18 tháng 10 năm 2021 của Chính phủ sửa đổi, bổ sung một số điều của Nghị định số 101/2017/NĐ-CP ngày 01 tháng 9 năm 2017 của Chính phủ về đào tạo, bồi dưỡng cán bộ, công chức, viên chức;</w:t>
      </w:r>
    </w:p>
    <w:p w14:paraId="2EE09218" w14:textId="77777777" w:rsidR="00000000" w:rsidRDefault="00000000">
      <w:pPr>
        <w:spacing w:before="120" w:after="280" w:afterAutospacing="1"/>
      </w:pPr>
      <w:r>
        <w:rPr>
          <w:i/>
          <w:iCs/>
          <w:sz w:val="20"/>
        </w:rPr>
        <w:t>Căn cứ Nghị định số 115/2020/NĐ-CP ngày 25 tháng 9 năm 2020 của Chính phủ quy định về tuyển dụng, sử dụng và quản lý viên chức;</w:t>
      </w:r>
    </w:p>
    <w:p w14:paraId="78516BD8" w14:textId="77777777" w:rsidR="00000000" w:rsidRDefault="00000000">
      <w:pPr>
        <w:spacing w:before="120" w:after="280" w:afterAutospacing="1"/>
      </w:pPr>
      <w:r>
        <w:rPr>
          <w:i/>
          <w:iCs/>
          <w:sz w:val="20"/>
        </w:rPr>
        <w:t>Sau khi có ý kiến thống nhất của Bộ Nội vụ tại Công văn số 146/BNV-CCVC ngày 12 tháng 01 năm 2022;</w:t>
      </w:r>
    </w:p>
    <w:p w14:paraId="66A34875" w14:textId="77777777" w:rsidR="00000000" w:rsidRDefault="00000000">
      <w:pPr>
        <w:spacing w:before="120" w:after="280" w:afterAutospacing="1"/>
      </w:pPr>
      <w:r>
        <w:rPr>
          <w:i/>
          <w:iCs/>
          <w:sz w:val="20"/>
        </w:rPr>
        <w:t>Theo đề nghị của Cục trưởng Cục Nhà giáo và Cán bộ quản lý giáo dục;</w:t>
      </w:r>
    </w:p>
    <w:p w14:paraId="211FAE9C" w14:textId="77777777" w:rsidR="00000000" w:rsidRDefault="00000000">
      <w:pPr>
        <w:spacing w:before="120" w:after="280" w:afterAutospacing="1"/>
      </w:pPr>
      <w:r>
        <w:rPr>
          <w:i/>
          <w:iCs/>
          <w:sz w:val="20"/>
        </w:rPr>
        <w:t>Bộ trưởng Bộ Giáo dục và Đào tạo ban hành Thông tư sửa đổi, bổ sung một số điều của Thông tư số 35/2020/TT-BGDĐT ngày 01 tháng 10 năm 2020 của Bộ trưởng Bộ Giáo dục và Đào tạo quy định mã số, tiêu chuẩn chức danh nghề nghiệp, bổ nhiệm và xếp lương đối với viên chức giảng dạy trong các trường cao đẳng sư phạm công lập; Thông tư số 40/2020/TT-BGDĐT ngày 26 tháng 10 năm 2020 của Bộ trưởng Bộ Giáo dục và Đào tạo quy định mã số, tiêu chuẩn chức danh nghề nghiệp, bổ nhiệm và xếp lương đối với viên chức giảng dạy trong các cơ sở giáo dục đại học công lập.</w:t>
      </w:r>
    </w:p>
    <w:p w14:paraId="577A650C" w14:textId="77777777" w:rsidR="00000000" w:rsidRDefault="00000000">
      <w:pPr>
        <w:spacing w:before="120" w:after="280" w:afterAutospacing="1"/>
      </w:pPr>
      <w:bookmarkStart w:id="5" w:name="dieu_1"/>
      <w:r>
        <w:rPr>
          <w:b/>
          <w:bCs/>
          <w:sz w:val="20"/>
        </w:rPr>
        <w:t>Điều 1. Sửa đổi, bổ sung một số điều của Thông tư số 35/2020/TT-BGDĐT ngày 01 tháng 10 năm 2020 của Bộ trưởng Bộ Giáo dục và Đào tạo quy định mã số, tiêu chuẩn chức danh nghề nghiệp, bổ nhiệm và xếp lương đối với viên chức giảng dạy trong các trường cao đẳng sư phạm công lập</w:t>
      </w:r>
      <w:bookmarkEnd w:id="5"/>
    </w:p>
    <w:p w14:paraId="0D83570D" w14:textId="77777777" w:rsidR="00000000" w:rsidRDefault="00000000">
      <w:pPr>
        <w:spacing w:before="120" w:after="280" w:afterAutospacing="1"/>
      </w:pPr>
      <w:bookmarkStart w:id="6" w:name="khoan_1_1"/>
      <w:r>
        <w:rPr>
          <w:sz w:val="20"/>
        </w:rPr>
        <w:t>1. Sửa đổi, bổ sung</w:t>
      </w:r>
      <w:bookmarkEnd w:id="6"/>
      <w:r>
        <w:rPr>
          <w:sz w:val="20"/>
        </w:rPr>
        <w:t xml:space="preserve"> </w:t>
      </w:r>
      <w:bookmarkStart w:id="7" w:name="dc_1"/>
      <w:r>
        <w:rPr>
          <w:sz w:val="20"/>
        </w:rPr>
        <w:t>điểm c khoản 2 Điều 4, điểm c khoản 2 Điều 5, điểm c khoản 2 Điều 6</w:t>
      </w:r>
      <w:bookmarkEnd w:id="7"/>
      <w:r>
        <w:rPr>
          <w:sz w:val="20"/>
        </w:rPr>
        <w:t xml:space="preserve"> </w:t>
      </w:r>
      <w:bookmarkStart w:id="8" w:name="khoan_1_1_name"/>
      <w:r>
        <w:rPr>
          <w:sz w:val="20"/>
        </w:rPr>
        <w:t>như sau:</w:t>
      </w:r>
      <w:bookmarkEnd w:id="8"/>
    </w:p>
    <w:p w14:paraId="02AF5176" w14:textId="77777777" w:rsidR="00000000" w:rsidRDefault="00000000">
      <w:pPr>
        <w:spacing w:before="120" w:after="280" w:afterAutospacing="1"/>
      </w:pPr>
      <w:r>
        <w:rPr>
          <w:sz w:val="20"/>
        </w:rPr>
        <w:t>“c) Có chứng chỉ bồi dưỡng theo tiêu chuẩn chức danh nghề nghiệp giảng viên cao đẳng sư phạm.”</w:t>
      </w:r>
    </w:p>
    <w:p w14:paraId="1AD4D723" w14:textId="77777777" w:rsidR="00000000" w:rsidRDefault="00000000">
      <w:pPr>
        <w:spacing w:before="120" w:after="280" w:afterAutospacing="1"/>
      </w:pPr>
      <w:bookmarkStart w:id="9" w:name="khoan_2_1"/>
      <w:r>
        <w:rPr>
          <w:sz w:val="20"/>
        </w:rPr>
        <w:lastRenderedPageBreak/>
        <w:t>2. Bổ sung Điều 10a sau</w:t>
      </w:r>
      <w:bookmarkEnd w:id="9"/>
      <w:r>
        <w:rPr>
          <w:sz w:val="20"/>
        </w:rPr>
        <w:t xml:space="preserve"> </w:t>
      </w:r>
      <w:bookmarkStart w:id="10" w:name="dc_2"/>
      <w:r>
        <w:rPr>
          <w:sz w:val="20"/>
        </w:rPr>
        <w:t>Điều 10</w:t>
      </w:r>
      <w:bookmarkEnd w:id="10"/>
      <w:r>
        <w:rPr>
          <w:sz w:val="20"/>
        </w:rPr>
        <w:t xml:space="preserve"> </w:t>
      </w:r>
      <w:bookmarkStart w:id="11" w:name="khoan_2_1_name"/>
      <w:r>
        <w:rPr>
          <w:sz w:val="20"/>
        </w:rPr>
        <w:t>như sau:</w:t>
      </w:r>
      <w:bookmarkEnd w:id="11"/>
    </w:p>
    <w:p w14:paraId="724E2731" w14:textId="77777777" w:rsidR="00000000" w:rsidRDefault="00000000">
      <w:pPr>
        <w:spacing w:before="120" w:after="280" w:afterAutospacing="1"/>
      </w:pPr>
      <w:r>
        <w:rPr>
          <w:b/>
          <w:bCs/>
          <w:sz w:val="20"/>
        </w:rPr>
        <w:t>“Điều 10a. Quy định chuyển tiếp</w:t>
      </w:r>
    </w:p>
    <w:p w14:paraId="3B426C9A" w14:textId="77777777" w:rsidR="00000000" w:rsidRDefault="00000000">
      <w:pPr>
        <w:spacing w:before="120" w:after="280" w:afterAutospacing="1"/>
      </w:pPr>
      <w:r>
        <w:rPr>
          <w:sz w:val="20"/>
        </w:rPr>
        <w:t>1. Viên chức đã được bổ nhiệm vào chức danh nghề nghiệp viên chức giảng dạy trong các trường cao đẳng sư phạm công lập theo quy định của pháp luật từ trước ngày Thông tư này có hiệu lực thi hành được xác định là đáp ứng quy định về tiêu chuẩn chức danh nghề nghiệp viên chức giảng dạy trong các trường cao đẳng sư phạm công lập quy định tại Thông tư này tương ứng với chức danh nghề nghiệp đã được bổ nhiệm.</w:t>
      </w:r>
    </w:p>
    <w:p w14:paraId="7E4D15B3" w14:textId="77777777" w:rsidR="00000000" w:rsidRDefault="00000000">
      <w:pPr>
        <w:spacing w:before="120" w:after="280" w:afterAutospacing="1"/>
      </w:pPr>
      <w:r>
        <w:rPr>
          <w:sz w:val="20"/>
        </w:rPr>
        <w:t>2. Viên chức đã có chứng chỉ bồi dưỡng theo tiêu chuẩn chức danh nghề nghiệp của hạng viên chức giảng dạy trong các trường cao đẳng sư phạm công lập hoặc trong các cơ sở giáo dục đại học công lập theo quy định của pháp luật trước ngày 30 tháng 6 năm 2022 được xác định là đáp ứng yêu cầu về chứng chỉ bồi dưỡng theo tiêu chuẩn chức danh nghề nghiệp giảng viên cao đẳng sư phạm; đồng thời được sử dụng khi tham dự kỳ thi hoặc xét thăng hạng chức danh nghề nghiệp và không phải học chương trình bồi dưỡng theo tiêu chuẩn chức danh nghề nghiệp giảng viên cao đẳng sư phạm quy định tại Thông tư này.”</w:t>
      </w:r>
    </w:p>
    <w:p w14:paraId="6E467859" w14:textId="77777777" w:rsidR="00000000" w:rsidRDefault="00000000">
      <w:pPr>
        <w:spacing w:before="120" w:after="280" w:afterAutospacing="1"/>
      </w:pPr>
      <w:bookmarkStart w:id="12" w:name="dieu_2"/>
      <w:r>
        <w:rPr>
          <w:b/>
          <w:bCs/>
          <w:sz w:val="20"/>
        </w:rPr>
        <w:t>Điều 2. Sửa đổi, bổ sung một số điều của Thông tư số 40/2020/TT-BGDĐT ngày 26 tháng 10 năm 2020 của Bộ trưởng Bộ Giáo dục và Đào tạo quy định mã số, tiêu chuẩn chức danh nghề nghiệp, bổ nhiệm và xếp lương đối với viên chức giảng dạy trong các cơ sở giáo dục đại học công lập</w:t>
      </w:r>
      <w:bookmarkEnd w:id="12"/>
    </w:p>
    <w:p w14:paraId="2083E625" w14:textId="77777777" w:rsidR="00000000" w:rsidRDefault="00000000">
      <w:pPr>
        <w:spacing w:before="120" w:after="280" w:afterAutospacing="1"/>
      </w:pPr>
      <w:bookmarkStart w:id="13" w:name="khoan_1_2"/>
      <w:r>
        <w:rPr>
          <w:sz w:val="20"/>
        </w:rPr>
        <w:t>1. Sửa đổi, bổ sung</w:t>
      </w:r>
      <w:bookmarkEnd w:id="13"/>
      <w:r>
        <w:rPr>
          <w:sz w:val="20"/>
        </w:rPr>
        <w:t xml:space="preserve"> </w:t>
      </w:r>
      <w:bookmarkStart w:id="14" w:name="dc_3"/>
      <w:r>
        <w:rPr>
          <w:sz w:val="20"/>
        </w:rPr>
        <w:t>điểm b khoản 2 Điều 5, điểm b khoản 2 Điều 6, điểm b khoản 2 Điều 7</w:t>
      </w:r>
      <w:bookmarkEnd w:id="14"/>
      <w:r>
        <w:rPr>
          <w:sz w:val="20"/>
        </w:rPr>
        <w:t xml:space="preserve"> </w:t>
      </w:r>
      <w:bookmarkStart w:id="15" w:name="khoan_1_2_name"/>
      <w:r>
        <w:rPr>
          <w:sz w:val="20"/>
        </w:rPr>
        <w:t>như sau:</w:t>
      </w:r>
      <w:bookmarkEnd w:id="15"/>
    </w:p>
    <w:p w14:paraId="7F20DDFF" w14:textId="77777777" w:rsidR="00000000" w:rsidRDefault="00000000">
      <w:pPr>
        <w:spacing w:before="120" w:after="280" w:afterAutospacing="1"/>
      </w:pPr>
      <w:r>
        <w:rPr>
          <w:sz w:val="20"/>
        </w:rPr>
        <w:t>“b) Có chứng chỉ bồi dưỡng theo tiêu chuẩn chức danh nghề nghiệp giảng viên đại học.”</w:t>
      </w:r>
    </w:p>
    <w:p w14:paraId="2AF1878F" w14:textId="77777777" w:rsidR="00000000" w:rsidRDefault="00000000">
      <w:pPr>
        <w:spacing w:before="120" w:after="280" w:afterAutospacing="1"/>
      </w:pPr>
      <w:bookmarkStart w:id="16" w:name="khoan_2_2"/>
      <w:r>
        <w:rPr>
          <w:sz w:val="20"/>
        </w:rPr>
        <w:t>2. Bổ sung Điều 11a sau</w:t>
      </w:r>
      <w:bookmarkEnd w:id="16"/>
      <w:r>
        <w:rPr>
          <w:sz w:val="20"/>
        </w:rPr>
        <w:t xml:space="preserve"> </w:t>
      </w:r>
      <w:bookmarkStart w:id="17" w:name="dc_4"/>
      <w:r>
        <w:rPr>
          <w:sz w:val="20"/>
        </w:rPr>
        <w:t>Điều 11</w:t>
      </w:r>
      <w:bookmarkEnd w:id="17"/>
      <w:r>
        <w:rPr>
          <w:sz w:val="20"/>
        </w:rPr>
        <w:t xml:space="preserve"> </w:t>
      </w:r>
      <w:bookmarkStart w:id="18" w:name="khoan_2_2_name"/>
      <w:r>
        <w:rPr>
          <w:sz w:val="20"/>
        </w:rPr>
        <w:t>như sau:</w:t>
      </w:r>
      <w:bookmarkEnd w:id="18"/>
    </w:p>
    <w:p w14:paraId="0EEA3F9C" w14:textId="77777777" w:rsidR="00000000" w:rsidRDefault="00000000">
      <w:pPr>
        <w:spacing w:before="120" w:after="280" w:afterAutospacing="1"/>
      </w:pPr>
      <w:r>
        <w:rPr>
          <w:b/>
          <w:bCs/>
          <w:sz w:val="20"/>
        </w:rPr>
        <w:t>“Điều 11a. Quy định chuyển tiếp</w:t>
      </w:r>
    </w:p>
    <w:p w14:paraId="4B970229" w14:textId="77777777" w:rsidR="00000000" w:rsidRDefault="00000000">
      <w:pPr>
        <w:spacing w:before="120" w:after="280" w:afterAutospacing="1"/>
      </w:pPr>
      <w:r>
        <w:rPr>
          <w:sz w:val="20"/>
        </w:rPr>
        <w:t>1. Viên chức đã được bổ nhiệm vào chức danh nghề nghiệp viên chức giảng dạy trong các cơ sở giáo dục đại học công lập theo quy định của pháp luật từ trước ngày Thông tư này có hiệu lực thi hành được xác định là đáp ứng quy định về tiêu chuẩn chức danh nghề nghiệp viên chức giảng dạy trong các cơ sở giáo dục đại học công lập quy định tại Thông tư này tương ứng với chức danh nghề nghiệp đã được bổ nhiệm.</w:t>
      </w:r>
    </w:p>
    <w:p w14:paraId="7B3ACB76" w14:textId="77777777" w:rsidR="00000000" w:rsidRDefault="00000000">
      <w:pPr>
        <w:spacing w:before="120" w:after="280" w:afterAutospacing="1"/>
      </w:pPr>
      <w:r>
        <w:rPr>
          <w:sz w:val="20"/>
        </w:rPr>
        <w:t>2. Viên chức đã có chứng chỉ bồi dưỡng theo tiêu chuẩn chức danh nghề nghiệp của hạng viên chức giảng dạy trong các cơ sở giáo dục đại học công lập theo quy định của pháp luật trước ngày 30 tháng 6 năm 2022 được xác định là đáp ứng yêu cầu về chứng chỉ bồi dưỡng theo tiêu chuẩn chức danh nghề nghiệp giảng viên đại học; đồng thời được sử dụng khi tham dự kỳ thi hoặc xét thăng hạng chức danh nghề nghiệp và không phải học chương trình bồi dưỡng theo tiêu chuẩn chức danh nghề nghiệp giảng viên đại học quy định tại Thông tư này.”</w:t>
      </w:r>
    </w:p>
    <w:p w14:paraId="199C75A4" w14:textId="77777777" w:rsidR="00000000" w:rsidRDefault="00000000">
      <w:pPr>
        <w:spacing w:before="120" w:after="280" w:afterAutospacing="1"/>
      </w:pPr>
      <w:bookmarkStart w:id="19" w:name="dieu_3"/>
      <w:r>
        <w:rPr>
          <w:b/>
          <w:bCs/>
          <w:sz w:val="20"/>
        </w:rPr>
        <w:t>Điều 3. Trách nhiệm tổ chức thực hiện</w:t>
      </w:r>
      <w:bookmarkEnd w:id="19"/>
    </w:p>
    <w:p w14:paraId="2259CD27" w14:textId="77777777" w:rsidR="00000000" w:rsidRDefault="00000000">
      <w:pPr>
        <w:spacing w:before="120" w:after="280" w:afterAutospacing="1"/>
      </w:pPr>
      <w:r>
        <w:rPr>
          <w:sz w:val="20"/>
        </w:rPr>
        <w:t>1. Bộ trưởng, Thủ trưởng cơ quan ngang Bộ, Thủ trưởng cơ quan thuộc Chính phủ, Chủ tịch Ủy ban nhân dân tỉnh, thành phố trực thuộc Trung ương; Hiệu trưởng trường cao đẳng sư phạm, Thủ trưởng cơ sở giáo dục đại học công lập và các cơ quan, tổ chức, cá nhân có liên quan chịu trách nhiệm thi hành Thông tư này.</w:t>
      </w:r>
    </w:p>
    <w:p w14:paraId="6A2009F6" w14:textId="77777777" w:rsidR="00000000" w:rsidRDefault="00000000">
      <w:pPr>
        <w:spacing w:before="120" w:after="280" w:afterAutospacing="1"/>
      </w:pPr>
      <w:r>
        <w:rPr>
          <w:sz w:val="20"/>
        </w:rPr>
        <w:t>2. Trường hợp các văn bản dẫn chiếu tại Thông tư này được sửa đổi, bổ sung hoặc thay thế thì thực hiện theo các văn bản mới đó.</w:t>
      </w:r>
    </w:p>
    <w:p w14:paraId="6A2B166E" w14:textId="77777777" w:rsidR="00000000" w:rsidRDefault="00000000">
      <w:pPr>
        <w:spacing w:before="120" w:after="280" w:afterAutospacing="1"/>
      </w:pPr>
      <w:bookmarkStart w:id="20" w:name="dieu_4"/>
      <w:r>
        <w:rPr>
          <w:b/>
          <w:bCs/>
          <w:sz w:val="20"/>
        </w:rPr>
        <w:t>Điều 4. Hiệu lực thi hành</w:t>
      </w:r>
      <w:bookmarkEnd w:id="20"/>
    </w:p>
    <w:p w14:paraId="120861AA" w14:textId="77777777" w:rsidR="00000000" w:rsidRDefault="00000000">
      <w:pPr>
        <w:spacing w:before="120" w:after="280" w:afterAutospacing="1"/>
      </w:pPr>
      <w:r>
        <w:rPr>
          <w:sz w:val="20"/>
        </w:rPr>
        <w:t>1. Thông tư này có hiệu lực thi hành kể từ ngày 19 tháng 4 năm 2022.</w:t>
      </w:r>
    </w:p>
    <w:p w14:paraId="66977938" w14:textId="77777777" w:rsidR="00000000" w:rsidRDefault="00000000">
      <w:pPr>
        <w:spacing w:before="120" w:after="280" w:afterAutospacing="1"/>
      </w:pPr>
      <w:r>
        <w:rPr>
          <w:sz w:val="20"/>
        </w:rPr>
        <w:lastRenderedPageBreak/>
        <w:t>2. Trong quá trình thực hiện nếu có vướng mắc, đề nghị phản ánh về Bộ Giáo dục và Đào tạo để được hướng dẫn hoặc xem xét, giải quyết./.</w:t>
      </w:r>
    </w:p>
    <w:p w14:paraId="5C12379A" w14:textId="77777777" w:rsidR="00000000" w:rsidRDefault="00000000">
      <w:pPr>
        <w:spacing w:before="120" w:after="280" w:afterAutospacing="1"/>
      </w:pPr>
      <w:r>
        <w:rPr>
          <w:sz w:val="20"/>
        </w:rPr>
        <w:t> </w:t>
      </w:r>
    </w:p>
    <w:tbl>
      <w:tblPr>
        <w:tblW w:w="8856" w:type="dxa"/>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0D86F7C"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1EBFC1E" w14:textId="77777777" w:rsidR="00000000" w:rsidRDefault="00000000">
            <w:pPr>
              <w:spacing w:before="120"/>
            </w:pPr>
            <w:r>
              <w:rPr>
                <w:b/>
                <w:bCs/>
                <w:i/>
                <w:iCs/>
                <w:sz w:val="20"/>
              </w:rPr>
              <w:br/>
              <w:t>Nơi nhận:</w:t>
            </w:r>
            <w:r>
              <w:rPr>
                <w:b/>
                <w:bCs/>
                <w:i/>
                <w:iCs/>
                <w:sz w:val="20"/>
              </w:rPr>
              <w:br/>
            </w:r>
            <w:r>
              <w:rPr>
                <w:sz w:val="16"/>
              </w:rPr>
              <w:t>- Văn phòng Quốc hội;</w:t>
            </w:r>
            <w:r>
              <w:rPr>
                <w:sz w:val="16"/>
              </w:rPr>
              <w:br/>
              <w:t>- Văn phòng Chính phủ;</w:t>
            </w:r>
            <w:r>
              <w:rPr>
                <w:sz w:val="16"/>
              </w:rPr>
              <w:br/>
              <w:t>- Ủy ban VHGD của Quốc hội;</w:t>
            </w:r>
            <w:r>
              <w:rPr>
                <w:sz w:val="16"/>
              </w:rPr>
              <w:br/>
              <w:t>- Ban Tuyên giáo Trung ương;</w:t>
            </w:r>
            <w:r>
              <w:rPr>
                <w:sz w:val="16"/>
              </w:rPr>
              <w:br/>
              <w:t>- Cục Kiểm tra văn bản QPPL (Bộ Tư pháp);</w:t>
            </w:r>
            <w:r>
              <w:rPr>
                <w:sz w:val="16"/>
              </w:rPr>
              <w:br/>
              <w:t>- Ủy ban Quốc gia đổi mới giáo dục và đào tạo;</w:t>
            </w:r>
            <w:r>
              <w:rPr>
                <w:sz w:val="16"/>
              </w:rPr>
              <w:br/>
              <w:t>- Hội đồng Quốc gia Giáo dục và Phát triển nhân lực;</w:t>
            </w:r>
            <w:r>
              <w:rPr>
                <w:sz w:val="16"/>
              </w:rPr>
              <w:br/>
              <w:t>- Hội đồng Giáo sư nhà nước;</w:t>
            </w:r>
            <w:r>
              <w:rPr>
                <w:sz w:val="16"/>
              </w:rPr>
              <w:br/>
              <w:t>- Các bộ, cơ quan ngang bộ, cơ quan thuộc Chính phủ;</w:t>
            </w:r>
            <w:r>
              <w:rPr>
                <w:sz w:val="16"/>
              </w:rPr>
              <w:br/>
              <w:t>- HĐND, UBND các tỉnh, thành phố trực thuộc Trung ương;</w:t>
            </w:r>
            <w:r>
              <w:rPr>
                <w:sz w:val="16"/>
              </w:rPr>
              <w:br/>
              <w:t>- Bộ trưởng (để báo cáo);</w:t>
            </w:r>
            <w:r>
              <w:rPr>
                <w:sz w:val="16"/>
              </w:rPr>
              <w:br/>
              <w:t>- Công đoàn Giáo dục Việt Nam;</w:t>
            </w:r>
            <w:r>
              <w:rPr>
                <w:sz w:val="16"/>
              </w:rPr>
              <w:br/>
              <w:t>- Như Điều 3;</w:t>
            </w:r>
            <w:r>
              <w:rPr>
                <w:sz w:val="16"/>
              </w:rPr>
              <w:br/>
              <w:t>- Công báo; Cổng TTĐT Chính phủ; Cổng TTĐT Bộ GDĐT;</w:t>
            </w:r>
            <w:r>
              <w:rPr>
                <w:sz w:val="16"/>
              </w:rPr>
              <w:br/>
              <w:t>- Lưu: VT, PC, NGCBQLGD (10).</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533D754" w14:textId="77777777" w:rsidR="00000000" w:rsidRDefault="00000000">
            <w:pPr>
              <w:spacing w:before="120"/>
              <w:jc w:val="center"/>
            </w:pPr>
            <w:r>
              <w:rPr>
                <w:b/>
                <w:bCs/>
                <w:sz w:val="20"/>
              </w:rPr>
              <w:t>KT. BỘ TRƯỞNG</w:t>
            </w:r>
            <w:r>
              <w:rPr>
                <w:b/>
                <w:bCs/>
                <w:sz w:val="20"/>
              </w:rPr>
              <w:br/>
              <w:t>THỨ TRƯỞNG</w:t>
            </w:r>
            <w:r>
              <w:rPr>
                <w:b/>
                <w:bCs/>
                <w:sz w:val="20"/>
              </w:rPr>
              <w:br/>
            </w:r>
            <w:r>
              <w:rPr>
                <w:b/>
                <w:bCs/>
                <w:sz w:val="20"/>
              </w:rPr>
              <w:br/>
            </w:r>
            <w:r>
              <w:rPr>
                <w:b/>
                <w:bCs/>
                <w:sz w:val="20"/>
              </w:rPr>
              <w:br/>
            </w:r>
            <w:r>
              <w:rPr>
                <w:b/>
                <w:bCs/>
                <w:sz w:val="20"/>
              </w:rPr>
              <w:br/>
            </w:r>
            <w:r>
              <w:rPr>
                <w:b/>
                <w:bCs/>
                <w:sz w:val="20"/>
              </w:rPr>
              <w:br/>
              <w:t>Phạm Ngọc Thưởng</w:t>
            </w:r>
          </w:p>
        </w:tc>
      </w:tr>
    </w:tbl>
    <w:p w14:paraId="0A39A3D8" w14:textId="77777777" w:rsidR="00CB6BB8" w:rsidRDefault="00000000">
      <w:pPr>
        <w:spacing w:before="120" w:after="280" w:afterAutospacing="1"/>
      </w:pPr>
      <w:r>
        <w:rPr>
          <w:sz w:val="20"/>
        </w:rPr>
        <w:t> </w:t>
      </w:r>
    </w:p>
    <w:sectPr w:rsidR="00CB6BB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23C"/>
    <w:rsid w:val="00225C49"/>
    <w:rsid w:val="0074223C"/>
    <w:rsid w:val="00CB6B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0FF7D5"/>
  <w15:chartTrackingRefBased/>
  <w15:docId w15:val="{5086D035-C069-43D6-ADF1-31CCA943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2024-04-16T03:19:00Z</dcterms:created>
  <dcterms:modified xsi:type="dcterms:W3CDTF">2024-04-16T03:19:00Z</dcterms:modified>
</cp:coreProperties>
</file>