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4D979E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76C256C" w14:textId="77777777" w:rsidR="00000000" w:rsidRDefault="00000000">
            <w:pPr>
              <w:spacing w:before="120"/>
              <w:jc w:val="center"/>
            </w:pPr>
            <w:r>
              <w:rPr>
                <w:b/>
                <w:bCs/>
              </w:rPr>
              <w:t>BỘ LAO ĐỘNG - THƯƠNG BINH</w:t>
            </w:r>
            <w:r>
              <w:rPr>
                <w:b/>
                <w:bCs/>
              </w:rPr>
              <w:br/>
              <w:t>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AE4568E"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00AD84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6255C9F" w14:textId="77777777" w:rsidR="00000000" w:rsidRDefault="00000000">
            <w:pPr>
              <w:spacing w:before="120"/>
              <w:jc w:val="center"/>
            </w:pPr>
            <w:r>
              <w:t>Số: 36/2021/TT-BLĐTBXH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25EF5DD" w14:textId="77777777" w:rsidR="00000000" w:rsidRDefault="00000000">
            <w:pPr>
              <w:spacing w:before="120"/>
              <w:jc w:val="right"/>
            </w:pPr>
            <w:r>
              <w:rPr>
                <w:i/>
                <w:iCs/>
              </w:rPr>
              <w:t>Hà Nội, ngày 31 tháng 12 năm 2021</w:t>
            </w:r>
          </w:p>
        </w:tc>
      </w:tr>
    </w:tbl>
    <w:p w14:paraId="0B190AF3" w14:textId="77777777" w:rsidR="00000000" w:rsidRDefault="00000000">
      <w:pPr>
        <w:spacing w:before="120" w:after="280" w:afterAutospacing="1"/>
      </w:pPr>
      <w:r>
        <w:t> </w:t>
      </w:r>
    </w:p>
    <w:p w14:paraId="5AC5B1E4" w14:textId="77777777" w:rsidR="00000000" w:rsidRDefault="00000000">
      <w:pPr>
        <w:spacing w:before="120" w:after="280" w:afterAutospacing="1"/>
        <w:jc w:val="center"/>
      </w:pPr>
      <w:bookmarkStart w:id="0" w:name="loai_1"/>
      <w:r>
        <w:rPr>
          <w:b/>
          <w:bCs/>
        </w:rPr>
        <w:t>THÔNG TƯ</w:t>
      </w:r>
      <w:bookmarkEnd w:id="0"/>
    </w:p>
    <w:p w14:paraId="6D4658B5" w14:textId="77777777" w:rsidR="00000000" w:rsidRDefault="00000000">
      <w:pPr>
        <w:spacing w:before="120" w:after="280" w:afterAutospacing="1"/>
        <w:jc w:val="center"/>
      </w:pPr>
      <w:bookmarkStart w:id="1" w:name="loai_1_name"/>
      <w:r>
        <w:t>QUY ĐỊNH MỨC ĐIỀU CHỈNH TIỀN LƯƠNG VÀ THU NHẬP THÁNG ĐÃ ĐÓNG BẢO HIỂM XÃ HỘI</w:t>
      </w:r>
      <w:bookmarkEnd w:id="1"/>
    </w:p>
    <w:p w14:paraId="3EC612A3" w14:textId="77777777" w:rsidR="00000000" w:rsidRDefault="00000000">
      <w:pPr>
        <w:spacing w:before="120" w:after="280" w:afterAutospacing="1"/>
      </w:pPr>
      <w:r>
        <w:rPr>
          <w:i/>
          <w:iCs/>
        </w:rPr>
        <w:t>Căn cứ Nghị định số 14/2017/NĐ-CP ngày 17 tháng 02 năm 2017 của Chính phủ quy định chức năng, nhiệm vụ, quyền hạn và cơ cấu tổ chức của Bộ Lao động - Thương binh và Xã hội;</w:t>
      </w:r>
    </w:p>
    <w:p w14:paraId="4FC5CCDB" w14:textId="77777777" w:rsidR="00000000" w:rsidRDefault="00000000">
      <w:pPr>
        <w:spacing w:before="120" w:after="280" w:afterAutospacing="1"/>
      </w:pPr>
      <w:r>
        <w:rPr>
          <w:i/>
          <w:iCs/>
        </w:rPr>
        <w:t xml:space="preserve">Căn cứ Nghị định số 115/2015/NĐ-CP ngày 11 tháng 11 năm 2015 của Chính phủ quy định chi tiết một số điều của Luật Bảo hiểm xã hội về bảo hiểm xã hội bắt buộc (sau đây gọi tắt là Nghị định số </w:t>
      </w:r>
      <w:bookmarkStart w:id="2" w:name="tvpllink_hoszppkiti"/>
      <w:r>
        <w:rPr>
          <w:i/>
          <w:iCs/>
        </w:rPr>
        <w:t>115/2015/NĐ-CP</w:t>
      </w:r>
      <w:bookmarkEnd w:id="2"/>
      <w:r>
        <w:rPr>
          <w:i/>
          <w:iCs/>
        </w:rPr>
        <w:t>);</w:t>
      </w:r>
    </w:p>
    <w:p w14:paraId="7250DEFF" w14:textId="77777777" w:rsidR="00000000" w:rsidRDefault="00000000">
      <w:pPr>
        <w:spacing w:before="120" w:after="280" w:afterAutospacing="1"/>
      </w:pPr>
      <w:r>
        <w:rPr>
          <w:i/>
          <w:iCs/>
        </w:rPr>
        <w:t xml:space="preserve">Căn cứ Nghị định số 134/2015/NĐ-CP ngày 29 tháng 12 năm 2015 của Chính phủ quy định chi tiết một số điều của Luật Bảo hiểm xã hội về bảo hiểm xã hội tự nguyện (sau đây gọi tắt là Nghị định số </w:t>
      </w:r>
      <w:bookmarkStart w:id="3" w:name="tvpllink_cblwwzcqsr"/>
      <w:r>
        <w:rPr>
          <w:i/>
          <w:iCs/>
        </w:rPr>
        <w:t>134/2015/NĐ-CP</w:t>
      </w:r>
      <w:bookmarkEnd w:id="3"/>
      <w:r>
        <w:rPr>
          <w:i/>
          <w:iCs/>
        </w:rPr>
        <w:t>);</w:t>
      </w:r>
    </w:p>
    <w:p w14:paraId="2387DCFE" w14:textId="77777777" w:rsidR="00000000" w:rsidRDefault="00000000">
      <w:pPr>
        <w:spacing w:before="120" w:after="280" w:afterAutospacing="1"/>
      </w:pPr>
      <w:r>
        <w:rPr>
          <w:i/>
          <w:iCs/>
        </w:rPr>
        <w:t>Theo đề nghị của Vụ trưởng Vụ Bảo hiểm xã hội,</w:t>
      </w:r>
    </w:p>
    <w:p w14:paraId="2E35B598" w14:textId="77777777" w:rsidR="00000000" w:rsidRDefault="00000000">
      <w:pPr>
        <w:spacing w:before="120" w:after="280" w:afterAutospacing="1"/>
      </w:pPr>
      <w:r>
        <w:rPr>
          <w:i/>
          <w:iCs/>
        </w:rPr>
        <w:t>Bộ trưởng Bộ Lao động - Thương binh và Xã hội ban hành Thông tư quy định mức điều chỉnh tiền lương và thu nhập tháng đã đóng bảo hiểm xã hội.</w:t>
      </w:r>
    </w:p>
    <w:p w14:paraId="5D846055" w14:textId="77777777" w:rsidR="00000000" w:rsidRDefault="00000000">
      <w:pPr>
        <w:spacing w:before="120" w:after="280" w:afterAutospacing="1"/>
      </w:pPr>
      <w:bookmarkStart w:id="4" w:name="dieu_1"/>
      <w:r>
        <w:rPr>
          <w:b/>
          <w:bCs/>
        </w:rPr>
        <w:t>Điều 1. Đối tượng áp dụng</w:t>
      </w:r>
      <w:bookmarkEnd w:id="4"/>
    </w:p>
    <w:p w14:paraId="3A708E19" w14:textId="77777777" w:rsidR="00000000" w:rsidRDefault="00000000">
      <w:pPr>
        <w:spacing w:before="120" w:after="280" w:afterAutospacing="1"/>
      </w:pPr>
      <w:r>
        <w:t xml:space="preserve">1. Đối tượng điều chỉnh tiền lương đã đóng bảo hiểm xã hội theo quy định tại </w:t>
      </w:r>
      <w:bookmarkStart w:id="5" w:name="dc_1"/>
      <w:r>
        <w:t>Khoản 1 và Khoản 2 Điều 10 Nghị định số 115/2015/NĐ-CP</w:t>
      </w:r>
      <w:bookmarkEnd w:id="5"/>
      <w:r>
        <w:t xml:space="preserve"> bao gồm:</w:t>
      </w:r>
    </w:p>
    <w:p w14:paraId="0B081A2B" w14:textId="77777777" w:rsidR="00000000" w:rsidRDefault="00000000">
      <w:pPr>
        <w:spacing w:before="120" w:after="280" w:afterAutospacing="1"/>
      </w:pPr>
      <w:r>
        <w:t>a) Người lao động thuộc đối tượng thực hiện chế độ tiền lương do Nhà nước quy định bắt đầu tham gia bảo hiểm xã hội từ ngày 01 tháng 01 năm 2016 trở đi, hưởng bảo hiểm xã hội một lần hoặc bị chết mà thân nhân được hưởng trợ cấp tuất một lần trong thời gian từ ngày 01 tháng 01 năm 2022 đến ngày 31 tháng 12 năm 2022.</w:t>
      </w:r>
    </w:p>
    <w:p w14:paraId="50E0A93B" w14:textId="77777777" w:rsidR="00000000" w:rsidRDefault="00000000">
      <w:pPr>
        <w:spacing w:before="120" w:after="280" w:afterAutospacing="1"/>
      </w:pPr>
      <w:r>
        <w:t>b) Người lao động đóng bảo hiểm xã hội theo chế độ tiền lương do người sử dụng lao động quyết định, hưởng lương hưu, trợ cấp một lần khi nghỉ hưu, bảo hiểm xã hội một lần hoặc bị chết mà thân nhân được hưởng trợ cấp tuất một lần trong thời gian từ ngày 01 tháng 01 năm 2022 đến ngày 31 tháng 12 năm 2022.</w:t>
      </w:r>
    </w:p>
    <w:p w14:paraId="55C90C75" w14:textId="77777777" w:rsidR="00000000" w:rsidRDefault="00000000">
      <w:pPr>
        <w:spacing w:before="120" w:after="280" w:afterAutospacing="1"/>
      </w:pPr>
      <w:r>
        <w:t xml:space="preserve">2. Đối tượng điều chỉnh thu nhập tháng đã đóng bảo hiểm xã hội theo quy định tại </w:t>
      </w:r>
      <w:bookmarkStart w:id="6" w:name="dc_2"/>
      <w:r>
        <w:t>Khoản 2 Điều 4 Nghị định số 134/2015/NĐ-CP</w:t>
      </w:r>
      <w:bookmarkEnd w:id="6"/>
      <w:r>
        <w:t xml:space="preserve"> là người tham gia bảo hiểm xã hội tự nguyện hưởng lương hưu, </w:t>
      </w:r>
      <w:r>
        <w:lastRenderedPageBreak/>
        <w:t>trợ cấp một lần khi nghỉ hưu, bảo hiểm xã hội một lần hoặc bị chết mà thân nhân được hưởng trợ cấp tuất một lần trong thời gian từ ngày 01 tháng 01 năm 2022 đến ngày 31 tháng 12 năm 2022.</w:t>
      </w:r>
    </w:p>
    <w:p w14:paraId="1CEFBE0C" w14:textId="77777777" w:rsidR="00000000" w:rsidRDefault="00000000">
      <w:pPr>
        <w:spacing w:before="120" w:after="280" w:afterAutospacing="1"/>
      </w:pPr>
      <w:bookmarkStart w:id="7" w:name="dieu_2"/>
      <w:r>
        <w:rPr>
          <w:b/>
          <w:bCs/>
        </w:rPr>
        <w:t>Điều 2. Điều chỉnh tiền lương tháng đã đóng bảo hiểm xã hội</w:t>
      </w:r>
      <w:bookmarkEnd w:id="7"/>
    </w:p>
    <w:p w14:paraId="345A8829" w14:textId="77777777" w:rsidR="00000000" w:rsidRDefault="00000000">
      <w:pPr>
        <w:spacing w:before="120" w:after="280" w:afterAutospacing="1"/>
      </w:pPr>
      <w:r>
        <w:t>1. Tiền lương tháng đã đóng bảo hiểm xã hội đối với đối tượng quy định tại Khoản 1 Điều 1 Thông tư này được điều chỉnh theo công thức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599"/>
        <w:gridCol w:w="782"/>
        <w:gridCol w:w="2234"/>
        <w:gridCol w:w="1016"/>
        <w:gridCol w:w="2729"/>
      </w:tblGrid>
      <w:tr w:rsidR="00000000" w14:paraId="4D193EEF" w14:textId="77777777">
        <w:tc>
          <w:tcPr>
            <w:tcW w:w="138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0265068" w14:textId="77777777" w:rsidR="00000000" w:rsidRDefault="00000000">
            <w:pPr>
              <w:spacing w:before="120"/>
              <w:jc w:val="center"/>
            </w:pPr>
            <w:r>
              <w:t>Tiền lương tháng đóng bảo hiểm xã hội sau điều chỉnh của từng năm</w:t>
            </w:r>
          </w:p>
        </w:tc>
        <w:tc>
          <w:tcPr>
            <w:tcW w:w="41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8E77282" w14:textId="77777777" w:rsidR="00000000" w:rsidRDefault="00000000">
            <w:pPr>
              <w:spacing w:before="120"/>
              <w:jc w:val="center"/>
            </w:pPr>
            <w:r>
              <w:t>=</w:t>
            </w:r>
          </w:p>
        </w:tc>
        <w:tc>
          <w:tcPr>
            <w:tcW w:w="119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220BF11" w14:textId="77777777" w:rsidR="00000000" w:rsidRDefault="00000000">
            <w:pPr>
              <w:spacing w:before="120"/>
              <w:jc w:val="center"/>
            </w:pPr>
            <w:r>
              <w:t>Tổng tiền lương tháng đóng bảo hiểm xã hội của từng năm</w:t>
            </w:r>
          </w:p>
        </w:tc>
        <w:tc>
          <w:tcPr>
            <w:tcW w:w="5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D4EC0D9" w14:textId="77777777" w:rsidR="00000000" w:rsidRDefault="00000000">
            <w:pPr>
              <w:spacing w:before="120"/>
              <w:jc w:val="center"/>
            </w:pPr>
            <w:r>
              <w:t>x</w:t>
            </w:r>
          </w:p>
        </w:tc>
        <w:tc>
          <w:tcPr>
            <w:tcW w:w="145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1491E38" w14:textId="77777777" w:rsidR="00000000" w:rsidRDefault="00000000">
            <w:pPr>
              <w:spacing w:before="120"/>
              <w:jc w:val="center"/>
            </w:pPr>
            <w:r>
              <w:t>Mức điều chỉnh tiền lương đã đóng bảo hiểm xã hội của năm tương ứng</w:t>
            </w:r>
          </w:p>
        </w:tc>
      </w:tr>
    </w:tbl>
    <w:p w14:paraId="5C902293" w14:textId="77777777" w:rsidR="00000000" w:rsidRDefault="00000000">
      <w:pPr>
        <w:spacing w:before="120" w:after="280" w:afterAutospacing="1"/>
      </w:pPr>
      <w:r>
        <w:t>Trong đó, mức điều chỉnh tiền lương đã đóng bảo hiểm xã hội của năm tương ứng được thực hiện theo Bảng 1 dưới đây:</w:t>
      </w:r>
    </w:p>
    <w:p w14:paraId="208B53BF" w14:textId="77777777" w:rsidR="00000000" w:rsidRDefault="00000000">
      <w:pPr>
        <w:spacing w:before="120" w:after="280" w:afterAutospacing="1"/>
      </w:pPr>
      <w:r>
        <w:rPr>
          <w:b/>
          <w:bCs/>
        </w:rPr>
        <w:t>Bảng 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9"/>
        <w:gridCol w:w="671"/>
        <w:gridCol w:w="607"/>
        <w:gridCol w:w="572"/>
        <w:gridCol w:w="576"/>
        <w:gridCol w:w="578"/>
        <w:gridCol w:w="580"/>
        <w:gridCol w:w="576"/>
        <w:gridCol w:w="581"/>
        <w:gridCol w:w="580"/>
        <w:gridCol w:w="568"/>
        <w:gridCol w:w="570"/>
        <w:gridCol w:w="596"/>
        <w:gridCol w:w="598"/>
        <w:gridCol w:w="625"/>
        <w:gridCol w:w="533"/>
      </w:tblGrid>
      <w:tr w:rsidR="00000000" w14:paraId="68B45DE9" w14:textId="77777777">
        <w:tc>
          <w:tcPr>
            <w:tcW w:w="30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880E9" w14:textId="77777777" w:rsidR="00000000" w:rsidRDefault="00000000">
            <w:pPr>
              <w:spacing w:before="120"/>
              <w:jc w:val="center"/>
            </w:pPr>
            <w:r>
              <w:rPr>
                <w:b/>
                <w:bCs/>
              </w:rPr>
              <w:t>Năm</w:t>
            </w:r>
          </w:p>
        </w:tc>
        <w:tc>
          <w:tcPr>
            <w:tcW w:w="34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1618CC" w14:textId="77777777" w:rsidR="00000000" w:rsidRDefault="00000000">
            <w:pPr>
              <w:spacing w:before="120"/>
              <w:jc w:val="center"/>
            </w:pPr>
            <w:r>
              <w:rPr>
                <w:b/>
                <w:bCs/>
              </w:rPr>
              <w:t>Trước 1995</w:t>
            </w:r>
          </w:p>
        </w:tc>
        <w:tc>
          <w:tcPr>
            <w:tcW w:w="3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C2461E" w14:textId="77777777" w:rsidR="00000000" w:rsidRDefault="00000000">
            <w:pPr>
              <w:spacing w:before="120"/>
              <w:jc w:val="center"/>
            </w:pPr>
            <w:r>
              <w:rPr>
                <w:b/>
                <w:bCs/>
              </w:rPr>
              <w:t>1995</w:t>
            </w:r>
          </w:p>
        </w:tc>
        <w:tc>
          <w:tcPr>
            <w:tcW w:w="3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8B80E" w14:textId="77777777" w:rsidR="00000000" w:rsidRDefault="00000000">
            <w:pPr>
              <w:spacing w:before="120"/>
              <w:jc w:val="center"/>
            </w:pPr>
            <w:r>
              <w:rPr>
                <w:b/>
                <w:bCs/>
              </w:rPr>
              <w:t>1996</w:t>
            </w:r>
          </w:p>
        </w:tc>
        <w:tc>
          <w:tcPr>
            <w:tcW w:w="3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89ABAE" w14:textId="77777777" w:rsidR="00000000" w:rsidRDefault="00000000">
            <w:pPr>
              <w:spacing w:before="120"/>
              <w:jc w:val="center"/>
            </w:pPr>
            <w:r>
              <w:rPr>
                <w:b/>
                <w:bCs/>
              </w:rPr>
              <w:t>1997</w:t>
            </w:r>
          </w:p>
        </w:tc>
        <w:tc>
          <w:tcPr>
            <w:tcW w:w="3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8C0DB3" w14:textId="77777777" w:rsidR="00000000" w:rsidRDefault="00000000">
            <w:pPr>
              <w:spacing w:before="120"/>
              <w:jc w:val="center"/>
            </w:pPr>
            <w:r>
              <w:rPr>
                <w:b/>
                <w:bCs/>
              </w:rPr>
              <w:t>1998</w:t>
            </w:r>
          </w:p>
        </w:tc>
        <w:tc>
          <w:tcPr>
            <w:tcW w:w="3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65D8C" w14:textId="77777777" w:rsidR="00000000" w:rsidRDefault="00000000">
            <w:pPr>
              <w:spacing w:before="120"/>
              <w:jc w:val="center"/>
            </w:pPr>
            <w:r>
              <w:rPr>
                <w:b/>
                <w:bCs/>
              </w:rPr>
              <w:t>1999</w:t>
            </w:r>
          </w:p>
        </w:tc>
        <w:tc>
          <w:tcPr>
            <w:tcW w:w="3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6FB5AE" w14:textId="77777777" w:rsidR="00000000" w:rsidRDefault="00000000">
            <w:pPr>
              <w:spacing w:before="120"/>
              <w:jc w:val="center"/>
            </w:pPr>
            <w:r>
              <w:rPr>
                <w:b/>
                <w:bCs/>
              </w:rPr>
              <w:t>2000</w:t>
            </w:r>
          </w:p>
        </w:tc>
        <w:tc>
          <w:tcPr>
            <w:tcW w:w="31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998464" w14:textId="77777777" w:rsidR="00000000" w:rsidRDefault="00000000">
            <w:pPr>
              <w:spacing w:before="120"/>
              <w:jc w:val="center"/>
            </w:pPr>
            <w:r>
              <w:rPr>
                <w:b/>
                <w:bCs/>
              </w:rPr>
              <w:t>2001</w:t>
            </w:r>
          </w:p>
        </w:tc>
        <w:tc>
          <w:tcPr>
            <w:tcW w:w="3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78C24C" w14:textId="77777777" w:rsidR="00000000" w:rsidRDefault="00000000">
            <w:pPr>
              <w:spacing w:before="120"/>
              <w:jc w:val="center"/>
            </w:pPr>
            <w:r>
              <w:rPr>
                <w:b/>
                <w:bCs/>
              </w:rPr>
              <w:t>2002</w:t>
            </w:r>
          </w:p>
        </w:tc>
        <w:tc>
          <w:tcPr>
            <w:tcW w:w="30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C2D2E0" w14:textId="77777777" w:rsidR="00000000" w:rsidRDefault="00000000">
            <w:pPr>
              <w:spacing w:before="120"/>
              <w:jc w:val="center"/>
            </w:pPr>
            <w:r>
              <w:rPr>
                <w:b/>
                <w:bCs/>
              </w:rPr>
              <w:t>2003</w:t>
            </w:r>
          </w:p>
        </w:tc>
        <w:tc>
          <w:tcPr>
            <w:tcW w:w="3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209931" w14:textId="77777777" w:rsidR="00000000" w:rsidRDefault="00000000">
            <w:pPr>
              <w:spacing w:before="120"/>
              <w:jc w:val="center"/>
            </w:pPr>
            <w:r>
              <w:rPr>
                <w:b/>
                <w:bCs/>
              </w:rPr>
              <w:t>2004</w:t>
            </w:r>
          </w:p>
        </w:tc>
        <w:tc>
          <w:tcPr>
            <w:tcW w:w="3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A1C106" w14:textId="77777777" w:rsidR="00000000" w:rsidRDefault="00000000">
            <w:pPr>
              <w:spacing w:before="120"/>
              <w:jc w:val="center"/>
            </w:pPr>
            <w:r>
              <w:rPr>
                <w:b/>
                <w:bCs/>
              </w:rPr>
              <w:t>2005</w:t>
            </w:r>
          </w:p>
        </w:tc>
        <w:tc>
          <w:tcPr>
            <w:tcW w:w="3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6BCF4" w14:textId="77777777" w:rsidR="00000000" w:rsidRDefault="00000000">
            <w:pPr>
              <w:spacing w:before="120"/>
              <w:jc w:val="center"/>
            </w:pPr>
            <w:r>
              <w:rPr>
                <w:b/>
                <w:bCs/>
              </w:rPr>
              <w:t>2006</w:t>
            </w:r>
          </w:p>
        </w:tc>
        <w:tc>
          <w:tcPr>
            <w:tcW w:w="3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3B91D7" w14:textId="77777777" w:rsidR="00000000" w:rsidRDefault="00000000">
            <w:pPr>
              <w:spacing w:before="120"/>
              <w:jc w:val="center"/>
            </w:pPr>
            <w:r>
              <w:rPr>
                <w:b/>
                <w:bCs/>
              </w:rPr>
              <w:t>2007</w:t>
            </w:r>
          </w:p>
        </w:tc>
        <w:tc>
          <w:tcPr>
            <w:tcW w:w="2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56BD99" w14:textId="77777777" w:rsidR="00000000" w:rsidRDefault="00000000">
            <w:pPr>
              <w:spacing w:before="120"/>
              <w:jc w:val="center"/>
            </w:pPr>
            <w:r>
              <w:rPr>
                <w:b/>
                <w:bCs/>
              </w:rPr>
              <w:t>2008</w:t>
            </w:r>
          </w:p>
        </w:tc>
      </w:tr>
      <w:tr w:rsidR="00000000" w14:paraId="3BDA6E0A"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3B0D9" w14:textId="77777777" w:rsidR="00000000" w:rsidRDefault="00000000">
            <w:pPr>
              <w:spacing w:before="120"/>
              <w:jc w:val="center"/>
            </w:pPr>
            <w:r>
              <w:t>Mức điều chỉnh</w:t>
            </w:r>
          </w:p>
        </w:tc>
        <w:tc>
          <w:tcPr>
            <w:tcW w:w="3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2462AD" w14:textId="77777777" w:rsidR="00000000" w:rsidRDefault="00000000">
            <w:pPr>
              <w:spacing w:before="120"/>
              <w:jc w:val="center"/>
            </w:pPr>
            <w:r>
              <w:t>5,10</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EA6BA0" w14:textId="77777777" w:rsidR="00000000" w:rsidRDefault="00000000">
            <w:pPr>
              <w:spacing w:before="120"/>
              <w:jc w:val="center"/>
            </w:pPr>
            <w:r>
              <w:t>4,33</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2FBEBB" w14:textId="77777777" w:rsidR="00000000" w:rsidRDefault="00000000">
            <w:pPr>
              <w:spacing w:before="120"/>
              <w:jc w:val="center"/>
            </w:pPr>
            <w:r>
              <w:t>4,09</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B4CB19" w14:textId="77777777" w:rsidR="00000000" w:rsidRDefault="00000000">
            <w:pPr>
              <w:spacing w:before="120"/>
              <w:jc w:val="center"/>
            </w:pPr>
            <w:r>
              <w:t>3,96</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E05CA4" w14:textId="77777777" w:rsidR="00000000" w:rsidRDefault="00000000">
            <w:pPr>
              <w:spacing w:before="120"/>
              <w:jc w:val="center"/>
            </w:pPr>
            <w:r>
              <w:t>3,68</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4EE242" w14:textId="77777777" w:rsidR="00000000" w:rsidRDefault="00000000">
            <w:pPr>
              <w:spacing w:before="120"/>
              <w:jc w:val="center"/>
            </w:pPr>
            <w:r>
              <w:t>3,53</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4AE049" w14:textId="77777777" w:rsidR="00000000" w:rsidRDefault="00000000">
            <w:pPr>
              <w:spacing w:before="120"/>
              <w:jc w:val="center"/>
            </w:pPr>
            <w:r>
              <w:t>3,58</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8B0FFD" w14:textId="77777777" w:rsidR="00000000" w:rsidRDefault="00000000">
            <w:pPr>
              <w:spacing w:before="120"/>
              <w:jc w:val="center"/>
            </w:pPr>
            <w:r>
              <w:t>3,59</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10A9E" w14:textId="77777777" w:rsidR="00000000" w:rsidRDefault="00000000">
            <w:pPr>
              <w:spacing w:before="120"/>
              <w:jc w:val="center"/>
            </w:pPr>
            <w:r>
              <w:t>3,46</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12198" w14:textId="77777777" w:rsidR="00000000" w:rsidRDefault="00000000">
            <w:pPr>
              <w:spacing w:before="120"/>
              <w:jc w:val="center"/>
            </w:pPr>
            <w:r>
              <w:t>3,35</w:t>
            </w:r>
          </w:p>
        </w:tc>
        <w:tc>
          <w:tcPr>
            <w:tcW w:w="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E2A805" w14:textId="77777777" w:rsidR="00000000" w:rsidRDefault="00000000">
            <w:pPr>
              <w:spacing w:before="120"/>
              <w:jc w:val="center"/>
            </w:pPr>
            <w:r>
              <w:t>3,11</w:t>
            </w:r>
          </w:p>
        </w:tc>
        <w:tc>
          <w:tcPr>
            <w:tcW w:w="3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54C5EB" w14:textId="77777777" w:rsidR="00000000" w:rsidRDefault="00000000">
            <w:pPr>
              <w:spacing w:before="120"/>
              <w:jc w:val="center"/>
            </w:pPr>
            <w:r>
              <w:t>2,87</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9BD30" w14:textId="77777777" w:rsidR="00000000" w:rsidRDefault="00000000">
            <w:pPr>
              <w:spacing w:before="120"/>
              <w:jc w:val="center"/>
            </w:pPr>
            <w:r>
              <w:t>2,67</w:t>
            </w:r>
          </w:p>
        </w:tc>
        <w:tc>
          <w:tcPr>
            <w:tcW w:w="3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1B94BB" w14:textId="77777777" w:rsidR="00000000" w:rsidRDefault="00000000">
            <w:pPr>
              <w:spacing w:before="120"/>
              <w:jc w:val="center"/>
            </w:pPr>
            <w:r>
              <w:t>2,47</w:t>
            </w:r>
          </w:p>
        </w:tc>
        <w:tc>
          <w:tcPr>
            <w:tcW w:w="2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25AFEA" w14:textId="77777777" w:rsidR="00000000" w:rsidRDefault="00000000">
            <w:pPr>
              <w:spacing w:before="120"/>
              <w:jc w:val="center"/>
            </w:pPr>
            <w:r>
              <w:t>2,01</w:t>
            </w:r>
          </w:p>
        </w:tc>
      </w:tr>
      <w:tr w:rsidR="00000000" w14:paraId="50EBF872"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BC3ACB" w14:textId="77777777" w:rsidR="00000000" w:rsidRDefault="00000000">
            <w:pPr>
              <w:spacing w:before="120"/>
              <w:jc w:val="center"/>
            </w:pPr>
            <w:r>
              <w:rPr>
                <w:b/>
                <w:bCs/>
              </w:rPr>
              <w:t>Năm</w:t>
            </w:r>
          </w:p>
        </w:tc>
        <w:tc>
          <w:tcPr>
            <w:tcW w:w="3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284A52" w14:textId="77777777" w:rsidR="00000000" w:rsidRDefault="00000000">
            <w:pPr>
              <w:spacing w:before="120"/>
              <w:jc w:val="center"/>
            </w:pPr>
            <w:r>
              <w:rPr>
                <w:b/>
                <w:bCs/>
              </w:rPr>
              <w:t>2009</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B81E0E" w14:textId="77777777" w:rsidR="00000000" w:rsidRDefault="00000000">
            <w:pPr>
              <w:spacing w:before="120"/>
              <w:jc w:val="center"/>
            </w:pPr>
            <w:r>
              <w:rPr>
                <w:b/>
                <w:bCs/>
              </w:rPr>
              <w:t>2010</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65D8FF" w14:textId="77777777" w:rsidR="00000000" w:rsidRDefault="00000000">
            <w:pPr>
              <w:spacing w:before="120"/>
              <w:jc w:val="center"/>
            </w:pPr>
            <w:r>
              <w:rPr>
                <w:b/>
                <w:bCs/>
              </w:rPr>
              <w:t>2011</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2ADA4" w14:textId="77777777" w:rsidR="00000000" w:rsidRDefault="00000000">
            <w:pPr>
              <w:spacing w:before="120"/>
              <w:jc w:val="center"/>
            </w:pPr>
            <w:r>
              <w:rPr>
                <w:b/>
                <w:bCs/>
              </w:rPr>
              <w:t>2012</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C41EB" w14:textId="77777777" w:rsidR="00000000" w:rsidRDefault="00000000">
            <w:pPr>
              <w:spacing w:before="120"/>
              <w:jc w:val="center"/>
            </w:pPr>
            <w:r>
              <w:rPr>
                <w:b/>
                <w:bCs/>
              </w:rPr>
              <w:t>2013</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9D04D" w14:textId="77777777" w:rsidR="00000000" w:rsidRDefault="00000000">
            <w:pPr>
              <w:spacing w:before="120"/>
              <w:jc w:val="center"/>
            </w:pPr>
            <w:r>
              <w:rPr>
                <w:b/>
                <w:bCs/>
              </w:rPr>
              <w:t>2014</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90472" w14:textId="77777777" w:rsidR="00000000" w:rsidRDefault="00000000">
            <w:pPr>
              <w:spacing w:before="120"/>
              <w:jc w:val="center"/>
            </w:pPr>
            <w:r>
              <w:rPr>
                <w:b/>
                <w:bCs/>
              </w:rPr>
              <w:t>2015</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BC679A" w14:textId="77777777" w:rsidR="00000000" w:rsidRDefault="00000000">
            <w:pPr>
              <w:spacing w:before="120"/>
              <w:jc w:val="center"/>
            </w:pPr>
            <w:r>
              <w:rPr>
                <w:b/>
                <w:bCs/>
              </w:rPr>
              <w:t>2016</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DF3EC8" w14:textId="77777777" w:rsidR="00000000" w:rsidRDefault="00000000">
            <w:pPr>
              <w:spacing w:before="120"/>
              <w:jc w:val="center"/>
            </w:pPr>
            <w:r>
              <w:rPr>
                <w:b/>
                <w:bCs/>
              </w:rPr>
              <w:t>2017</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787591" w14:textId="77777777" w:rsidR="00000000" w:rsidRDefault="00000000">
            <w:pPr>
              <w:spacing w:before="120"/>
              <w:jc w:val="center"/>
            </w:pPr>
            <w:r>
              <w:rPr>
                <w:b/>
                <w:bCs/>
              </w:rPr>
              <w:t>2018</w:t>
            </w:r>
          </w:p>
        </w:tc>
        <w:tc>
          <w:tcPr>
            <w:tcW w:w="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431FA2" w14:textId="77777777" w:rsidR="00000000" w:rsidRDefault="00000000">
            <w:pPr>
              <w:spacing w:before="120"/>
              <w:jc w:val="center"/>
            </w:pPr>
            <w:r>
              <w:rPr>
                <w:b/>
                <w:bCs/>
              </w:rPr>
              <w:t>2019</w:t>
            </w:r>
          </w:p>
        </w:tc>
        <w:tc>
          <w:tcPr>
            <w:tcW w:w="3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21492A" w14:textId="77777777" w:rsidR="00000000" w:rsidRDefault="00000000">
            <w:pPr>
              <w:spacing w:before="120"/>
              <w:jc w:val="center"/>
            </w:pPr>
            <w:r>
              <w:rPr>
                <w:b/>
                <w:bCs/>
              </w:rPr>
              <w:t>2020</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00BCC0" w14:textId="77777777" w:rsidR="00000000" w:rsidRDefault="00000000">
            <w:pPr>
              <w:spacing w:before="120"/>
              <w:jc w:val="center"/>
            </w:pPr>
            <w:r>
              <w:rPr>
                <w:b/>
                <w:bCs/>
              </w:rPr>
              <w:t>2021</w:t>
            </w:r>
          </w:p>
        </w:tc>
        <w:tc>
          <w:tcPr>
            <w:tcW w:w="3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56128E" w14:textId="77777777" w:rsidR="00000000" w:rsidRDefault="00000000">
            <w:pPr>
              <w:spacing w:before="120"/>
              <w:jc w:val="center"/>
            </w:pPr>
            <w:r>
              <w:rPr>
                <w:b/>
                <w:bCs/>
              </w:rPr>
              <w:t>2022</w:t>
            </w:r>
          </w:p>
        </w:tc>
        <w:tc>
          <w:tcPr>
            <w:tcW w:w="2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128E5A" w14:textId="77777777" w:rsidR="00000000" w:rsidRDefault="00000000">
            <w:pPr>
              <w:spacing w:before="120"/>
              <w:jc w:val="center"/>
            </w:pPr>
            <w:r>
              <w:rPr>
                <w:b/>
                <w:bCs/>
              </w:rPr>
              <w:t> </w:t>
            </w:r>
          </w:p>
        </w:tc>
      </w:tr>
      <w:tr w:rsidR="00000000" w14:paraId="7FAC89C3" w14:textId="77777777">
        <w:tblPrEx>
          <w:tblBorders>
            <w:top w:val="none" w:sz="0" w:space="0" w:color="auto"/>
            <w:bottom w:val="none" w:sz="0" w:space="0" w:color="auto"/>
            <w:insideH w:val="none" w:sz="0" w:space="0" w:color="auto"/>
            <w:insideV w:val="none" w:sz="0" w:space="0" w:color="auto"/>
          </w:tblBorders>
        </w:tblPrEx>
        <w:tc>
          <w:tcPr>
            <w:tcW w:w="30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A720E2" w14:textId="77777777" w:rsidR="00000000" w:rsidRDefault="00000000">
            <w:pPr>
              <w:spacing w:before="120"/>
              <w:jc w:val="center"/>
            </w:pPr>
            <w:r>
              <w:t>Mức điều chỉnh</w:t>
            </w:r>
          </w:p>
        </w:tc>
        <w:tc>
          <w:tcPr>
            <w:tcW w:w="3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A52E0F" w14:textId="77777777" w:rsidR="00000000" w:rsidRDefault="00000000">
            <w:pPr>
              <w:spacing w:before="120"/>
              <w:jc w:val="center"/>
            </w:pPr>
            <w:r>
              <w:t>1,88</w:t>
            </w:r>
          </w:p>
        </w:tc>
        <w:tc>
          <w:tcPr>
            <w:tcW w:w="3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4B284" w14:textId="77777777" w:rsidR="00000000" w:rsidRDefault="00000000">
            <w:pPr>
              <w:spacing w:before="120"/>
              <w:jc w:val="center"/>
            </w:pPr>
            <w:r>
              <w:t>1,72</w:t>
            </w:r>
          </w:p>
        </w:tc>
        <w:tc>
          <w:tcPr>
            <w:tcW w:w="3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A14D37" w14:textId="77777777" w:rsidR="00000000" w:rsidRDefault="00000000">
            <w:pPr>
              <w:spacing w:before="120"/>
              <w:jc w:val="center"/>
            </w:pPr>
            <w:r>
              <w:t>1,45</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C19F7" w14:textId="77777777" w:rsidR="00000000" w:rsidRDefault="00000000">
            <w:pPr>
              <w:spacing w:before="120"/>
              <w:jc w:val="center"/>
            </w:pPr>
            <w:r>
              <w:t>1,33</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1CCA2F" w14:textId="77777777" w:rsidR="00000000" w:rsidRDefault="00000000">
            <w:pPr>
              <w:spacing w:before="120"/>
              <w:jc w:val="center"/>
            </w:pPr>
            <w:r>
              <w:t>1,25</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85426B" w14:textId="77777777" w:rsidR="00000000" w:rsidRDefault="00000000">
            <w:pPr>
              <w:spacing w:before="120"/>
              <w:jc w:val="center"/>
            </w:pPr>
            <w:r>
              <w:t>1,20</w:t>
            </w:r>
          </w:p>
        </w:tc>
        <w:tc>
          <w:tcPr>
            <w:tcW w:w="3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51D870" w14:textId="77777777" w:rsidR="00000000" w:rsidRDefault="00000000">
            <w:pPr>
              <w:spacing w:before="120"/>
              <w:jc w:val="center"/>
            </w:pPr>
            <w:r>
              <w:t>1,19</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E92B2A" w14:textId="77777777" w:rsidR="00000000" w:rsidRDefault="00000000">
            <w:pPr>
              <w:spacing w:before="120"/>
              <w:jc w:val="center"/>
            </w:pPr>
            <w:r>
              <w:t>1,16</w:t>
            </w:r>
          </w:p>
        </w:tc>
        <w:tc>
          <w:tcPr>
            <w:tcW w:w="3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9A201" w14:textId="77777777" w:rsidR="00000000" w:rsidRDefault="00000000">
            <w:pPr>
              <w:spacing w:before="120"/>
              <w:jc w:val="center"/>
            </w:pPr>
            <w:r>
              <w:t>1,12</w:t>
            </w:r>
          </w:p>
        </w:tc>
        <w:tc>
          <w:tcPr>
            <w:tcW w:w="3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38DF99" w14:textId="77777777" w:rsidR="00000000" w:rsidRDefault="00000000">
            <w:pPr>
              <w:spacing w:before="120"/>
              <w:jc w:val="center"/>
            </w:pPr>
            <w:r>
              <w:t>1,08</w:t>
            </w:r>
          </w:p>
        </w:tc>
        <w:tc>
          <w:tcPr>
            <w:tcW w:w="3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E6C541" w14:textId="77777777" w:rsidR="00000000" w:rsidRDefault="00000000">
            <w:pPr>
              <w:spacing w:before="120"/>
              <w:jc w:val="center"/>
            </w:pPr>
            <w:r>
              <w:t>1,05</w:t>
            </w:r>
          </w:p>
        </w:tc>
        <w:tc>
          <w:tcPr>
            <w:tcW w:w="3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2A0BD5" w14:textId="77777777" w:rsidR="00000000" w:rsidRDefault="00000000">
            <w:pPr>
              <w:spacing w:before="120"/>
              <w:jc w:val="center"/>
            </w:pPr>
            <w:r>
              <w:t>1,02</w:t>
            </w:r>
          </w:p>
        </w:tc>
        <w:tc>
          <w:tcPr>
            <w:tcW w:w="3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14AD36" w14:textId="77777777" w:rsidR="00000000" w:rsidRDefault="00000000">
            <w:pPr>
              <w:spacing w:before="120"/>
              <w:jc w:val="center"/>
            </w:pPr>
            <w:r>
              <w:t>1,00</w:t>
            </w:r>
          </w:p>
        </w:tc>
        <w:tc>
          <w:tcPr>
            <w:tcW w:w="3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5F1B7" w14:textId="77777777" w:rsidR="00000000" w:rsidRDefault="00000000">
            <w:pPr>
              <w:spacing w:before="120"/>
              <w:jc w:val="center"/>
            </w:pPr>
            <w:r>
              <w:t>1,00</w:t>
            </w:r>
          </w:p>
        </w:tc>
        <w:tc>
          <w:tcPr>
            <w:tcW w:w="2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5706CC" w14:textId="77777777" w:rsidR="00000000" w:rsidRDefault="00000000">
            <w:pPr>
              <w:spacing w:before="120"/>
              <w:jc w:val="center"/>
            </w:pPr>
            <w:r>
              <w:t> </w:t>
            </w:r>
          </w:p>
        </w:tc>
      </w:tr>
    </w:tbl>
    <w:p w14:paraId="192DECE3" w14:textId="77777777" w:rsidR="00000000" w:rsidRDefault="00000000">
      <w:pPr>
        <w:spacing w:before="120" w:after="280" w:afterAutospacing="1"/>
      </w:pPr>
      <w:r>
        <w:t>2. Đối với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tiền lương tháng đóng bảo hiểm xã hội đối với người lao động bắt đầu tham gia bảo hiểm xã hội theo chế độ tiền lương do Nhà nước quy định từ ngày 01 tháng 01 năm 2016 trở đi và tiền lương tháng đã đóng bảo hiểm xã hội theo chế độ tiền lương do người sử dụng lao động quyết định được điều chỉnh theo quy định tại Khoản 1 Điều này.</w:t>
      </w:r>
    </w:p>
    <w:p w14:paraId="11E57B70" w14:textId="77777777" w:rsidR="00000000" w:rsidRDefault="00000000">
      <w:pPr>
        <w:spacing w:before="120" w:after="280" w:afterAutospacing="1"/>
      </w:pPr>
      <w:bookmarkStart w:id="8" w:name="dieu_3"/>
      <w:r>
        <w:rPr>
          <w:b/>
          <w:bCs/>
        </w:rPr>
        <w:t>Điều 3. Điều chỉnh thu nhập tháng đã đóng bảo hiểm xã hội</w:t>
      </w:r>
      <w:bookmarkEnd w:id="8"/>
    </w:p>
    <w:p w14:paraId="2BBD294B" w14:textId="77777777" w:rsidR="00000000" w:rsidRDefault="00000000">
      <w:pPr>
        <w:spacing w:before="120" w:after="280" w:afterAutospacing="1"/>
      </w:pPr>
      <w:r>
        <w:t>1. Thu nhập tháng đã đóng bảo hiểm xã hội đối với đối tượng quy định tại Khoản 2 Điều 1 Thông tư này được điều chỉnh theo công thức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991"/>
        <w:gridCol w:w="391"/>
        <w:gridCol w:w="2233"/>
        <w:gridCol w:w="1016"/>
        <w:gridCol w:w="2729"/>
      </w:tblGrid>
      <w:tr w:rsidR="00000000" w14:paraId="04299B7D" w14:textId="77777777">
        <w:tc>
          <w:tcPr>
            <w:tcW w:w="159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2E5DF2A" w14:textId="77777777" w:rsidR="00000000" w:rsidRDefault="00000000">
            <w:pPr>
              <w:spacing w:before="120"/>
              <w:jc w:val="center"/>
            </w:pPr>
            <w:r>
              <w:t xml:space="preserve">Thu nhập tháng đóng bảo hiểm xã hội tự nguyện sau điều chỉnh của từng năm </w:t>
            </w:r>
          </w:p>
        </w:tc>
        <w:tc>
          <w:tcPr>
            <w:tcW w:w="209"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7AF1B96" w14:textId="77777777" w:rsidR="00000000" w:rsidRDefault="00000000">
            <w:pPr>
              <w:spacing w:before="120"/>
              <w:jc w:val="center"/>
            </w:pPr>
            <w:r>
              <w:t>=</w:t>
            </w:r>
          </w:p>
        </w:tc>
        <w:tc>
          <w:tcPr>
            <w:tcW w:w="119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3C20E5A" w14:textId="77777777" w:rsidR="00000000" w:rsidRDefault="00000000">
            <w:pPr>
              <w:spacing w:before="120"/>
              <w:jc w:val="center"/>
            </w:pPr>
            <w:r>
              <w:t>Tổng thu nhập tháng đóng bảo hiểm xã hội của từng năm</w:t>
            </w:r>
          </w:p>
        </w:tc>
        <w:tc>
          <w:tcPr>
            <w:tcW w:w="5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6AD69C3" w14:textId="77777777" w:rsidR="00000000" w:rsidRDefault="00000000">
            <w:pPr>
              <w:spacing w:before="120"/>
              <w:jc w:val="center"/>
            </w:pPr>
            <w:r>
              <w:t>X</w:t>
            </w:r>
          </w:p>
        </w:tc>
        <w:tc>
          <w:tcPr>
            <w:tcW w:w="145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5BF3A3A" w14:textId="77777777" w:rsidR="00000000" w:rsidRDefault="00000000">
            <w:pPr>
              <w:spacing w:before="120"/>
              <w:jc w:val="center"/>
            </w:pPr>
            <w:r>
              <w:t>Mức điều chỉnh thu nhập tháng đã đóng bảo hiểm xã hội của năm tương ứng</w:t>
            </w:r>
          </w:p>
        </w:tc>
      </w:tr>
    </w:tbl>
    <w:p w14:paraId="4B3ECAC6" w14:textId="77777777" w:rsidR="00000000" w:rsidRDefault="00000000">
      <w:pPr>
        <w:spacing w:before="120" w:after="280" w:afterAutospacing="1"/>
      </w:pPr>
      <w:r>
        <w:lastRenderedPageBreak/>
        <w:t>Trong đó, mức điều chỉnh thu nhập tháng đã đóng bảo hiểm xã hội của năm tương ứng được thực hiện theo Bảng 2 dưới đây:</w:t>
      </w:r>
    </w:p>
    <w:p w14:paraId="42F5E8E5" w14:textId="77777777" w:rsidR="00000000" w:rsidRDefault="00000000">
      <w:pPr>
        <w:spacing w:before="120" w:after="280" w:afterAutospacing="1"/>
      </w:pPr>
      <w:r>
        <w:rPr>
          <w:b/>
          <w:bCs/>
        </w:rPr>
        <w:t>Bảng 2:</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26"/>
        <w:gridCol w:w="869"/>
        <w:gridCol w:w="932"/>
        <w:gridCol w:w="961"/>
        <w:gridCol w:w="979"/>
        <w:gridCol w:w="895"/>
        <w:gridCol w:w="840"/>
        <w:gridCol w:w="839"/>
        <w:gridCol w:w="839"/>
      </w:tblGrid>
      <w:tr w:rsidR="00000000" w14:paraId="011A681A" w14:textId="77777777">
        <w:tc>
          <w:tcPr>
            <w:tcW w:w="118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F4604C" w14:textId="77777777" w:rsidR="00000000" w:rsidRDefault="00000000">
            <w:pPr>
              <w:spacing w:before="120"/>
              <w:jc w:val="center"/>
            </w:pPr>
            <w:r>
              <w:rPr>
                <w:b/>
                <w:bCs/>
              </w:rPr>
              <w:t>Năm</w:t>
            </w:r>
          </w:p>
        </w:tc>
        <w:tc>
          <w:tcPr>
            <w:tcW w:w="4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1F2BE9" w14:textId="77777777" w:rsidR="00000000" w:rsidRDefault="00000000">
            <w:pPr>
              <w:spacing w:before="120"/>
              <w:jc w:val="center"/>
            </w:pPr>
            <w:r>
              <w:rPr>
                <w:b/>
                <w:bCs/>
              </w:rPr>
              <w:t>2008</w:t>
            </w:r>
          </w:p>
        </w:tc>
        <w:tc>
          <w:tcPr>
            <w:tcW w:w="49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45D7D" w14:textId="77777777" w:rsidR="00000000" w:rsidRDefault="00000000">
            <w:pPr>
              <w:spacing w:before="120"/>
              <w:jc w:val="center"/>
            </w:pPr>
            <w:r>
              <w:rPr>
                <w:b/>
                <w:bCs/>
              </w:rPr>
              <w:t>2009</w:t>
            </w:r>
          </w:p>
        </w:tc>
        <w:tc>
          <w:tcPr>
            <w:tcW w:w="5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E36810" w14:textId="77777777" w:rsidR="00000000" w:rsidRDefault="00000000">
            <w:pPr>
              <w:spacing w:before="120"/>
              <w:jc w:val="center"/>
            </w:pPr>
            <w:r>
              <w:rPr>
                <w:b/>
                <w:bCs/>
              </w:rPr>
              <w:t>2010</w:t>
            </w:r>
          </w:p>
        </w:tc>
        <w:tc>
          <w:tcPr>
            <w:tcW w:w="5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1C1DFB" w14:textId="77777777" w:rsidR="00000000" w:rsidRDefault="00000000">
            <w:pPr>
              <w:spacing w:before="120"/>
              <w:jc w:val="center"/>
            </w:pPr>
            <w:r>
              <w:rPr>
                <w:b/>
                <w:bCs/>
              </w:rPr>
              <w:t>2011</w:t>
            </w:r>
          </w:p>
        </w:tc>
        <w:tc>
          <w:tcPr>
            <w:tcW w:w="4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B6FCE1" w14:textId="77777777" w:rsidR="00000000" w:rsidRDefault="00000000">
            <w:pPr>
              <w:spacing w:before="120"/>
              <w:jc w:val="center"/>
            </w:pPr>
            <w:r>
              <w:rPr>
                <w:b/>
                <w:bCs/>
              </w:rPr>
              <w:t>2012</w:t>
            </w:r>
          </w:p>
        </w:tc>
        <w:tc>
          <w:tcPr>
            <w:tcW w:w="44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0FFD49" w14:textId="77777777" w:rsidR="00000000" w:rsidRDefault="00000000">
            <w:pPr>
              <w:spacing w:before="120"/>
              <w:jc w:val="center"/>
            </w:pPr>
            <w:r>
              <w:rPr>
                <w:b/>
                <w:bCs/>
              </w:rPr>
              <w:t>2013</w:t>
            </w:r>
          </w:p>
        </w:tc>
        <w:tc>
          <w:tcPr>
            <w:tcW w:w="4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74A02D" w14:textId="77777777" w:rsidR="00000000" w:rsidRDefault="00000000">
            <w:pPr>
              <w:spacing w:before="120"/>
              <w:jc w:val="center"/>
            </w:pPr>
            <w:r>
              <w:rPr>
                <w:b/>
                <w:bCs/>
              </w:rPr>
              <w:t>2014</w:t>
            </w:r>
          </w:p>
        </w:tc>
        <w:tc>
          <w:tcPr>
            <w:tcW w:w="4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31C334" w14:textId="77777777" w:rsidR="00000000" w:rsidRDefault="00000000">
            <w:pPr>
              <w:spacing w:before="120"/>
              <w:jc w:val="center"/>
            </w:pPr>
            <w:r>
              <w:rPr>
                <w:b/>
                <w:bCs/>
              </w:rPr>
              <w:t>2015</w:t>
            </w:r>
          </w:p>
        </w:tc>
      </w:tr>
      <w:tr w:rsidR="00000000" w14:paraId="6BEB2701" w14:textId="77777777">
        <w:tblPrEx>
          <w:tblBorders>
            <w:top w:val="none" w:sz="0" w:space="0" w:color="auto"/>
            <w:bottom w:val="none" w:sz="0" w:space="0" w:color="auto"/>
            <w:insideH w:val="none" w:sz="0" w:space="0" w:color="auto"/>
            <w:insideV w:val="none" w:sz="0" w:space="0" w:color="auto"/>
          </w:tblBorders>
        </w:tblPrEx>
        <w:tc>
          <w:tcPr>
            <w:tcW w:w="1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18687D" w14:textId="77777777" w:rsidR="00000000" w:rsidRDefault="00000000">
            <w:pPr>
              <w:spacing w:before="120"/>
              <w:jc w:val="center"/>
            </w:pPr>
            <w:r>
              <w:t>Mức điều chỉnh</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6D6258" w14:textId="77777777" w:rsidR="00000000" w:rsidRDefault="00000000">
            <w:pPr>
              <w:spacing w:before="120"/>
              <w:jc w:val="center"/>
            </w:pPr>
            <w:r>
              <w:t>2,01</w:t>
            </w:r>
          </w:p>
        </w:tc>
        <w:tc>
          <w:tcPr>
            <w:tcW w:w="4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2B4BD" w14:textId="77777777" w:rsidR="00000000" w:rsidRDefault="00000000">
            <w:pPr>
              <w:spacing w:before="120"/>
              <w:jc w:val="center"/>
            </w:pPr>
            <w:r>
              <w:t>1,88</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BCB0A5" w14:textId="77777777" w:rsidR="00000000" w:rsidRDefault="00000000">
            <w:pPr>
              <w:spacing w:before="120"/>
              <w:jc w:val="center"/>
            </w:pPr>
            <w:r>
              <w:t>1,72</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D178B2" w14:textId="77777777" w:rsidR="00000000" w:rsidRDefault="00000000">
            <w:pPr>
              <w:spacing w:before="120"/>
              <w:jc w:val="center"/>
            </w:pPr>
            <w:r>
              <w:t>1,45</w:t>
            </w:r>
          </w:p>
        </w:tc>
        <w:tc>
          <w:tcPr>
            <w:tcW w:w="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0FF478" w14:textId="77777777" w:rsidR="00000000" w:rsidRDefault="00000000">
            <w:pPr>
              <w:spacing w:before="120"/>
              <w:jc w:val="center"/>
            </w:pPr>
            <w:r>
              <w:t>1,33</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227517" w14:textId="77777777" w:rsidR="00000000" w:rsidRDefault="00000000">
            <w:pPr>
              <w:spacing w:before="120"/>
              <w:jc w:val="center"/>
            </w:pPr>
            <w:r>
              <w:t>1,25</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F2B080" w14:textId="77777777" w:rsidR="00000000" w:rsidRDefault="00000000">
            <w:pPr>
              <w:spacing w:before="120"/>
              <w:jc w:val="center"/>
            </w:pPr>
            <w:r>
              <w:t>1,20</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69DA5F" w14:textId="77777777" w:rsidR="00000000" w:rsidRDefault="00000000">
            <w:pPr>
              <w:spacing w:before="120"/>
              <w:jc w:val="center"/>
            </w:pPr>
            <w:r>
              <w:t>1,19</w:t>
            </w:r>
          </w:p>
        </w:tc>
      </w:tr>
      <w:tr w:rsidR="00000000" w14:paraId="429E428E" w14:textId="77777777">
        <w:tblPrEx>
          <w:tblBorders>
            <w:top w:val="none" w:sz="0" w:space="0" w:color="auto"/>
            <w:bottom w:val="none" w:sz="0" w:space="0" w:color="auto"/>
            <w:insideH w:val="none" w:sz="0" w:space="0" w:color="auto"/>
            <w:insideV w:val="none" w:sz="0" w:space="0" w:color="auto"/>
          </w:tblBorders>
        </w:tblPrEx>
        <w:tc>
          <w:tcPr>
            <w:tcW w:w="1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444FEB" w14:textId="77777777" w:rsidR="00000000" w:rsidRDefault="00000000">
            <w:pPr>
              <w:spacing w:before="120"/>
              <w:jc w:val="center"/>
            </w:pPr>
            <w:r>
              <w:rPr>
                <w:b/>
                <w:bCs/>
              </w:rPr>
              <w:t>Năm</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BABC44" w14:textId="77777777" w:rsidR="00000000" w:rsidRDefault="00000000">
            <w:pPr>
              <w:spacing w:before="120"/>
              <w:jc w:val="center"/>
            </w:pPr>
            <w:r>
              <w:rPr>
                <w:b/>
                <w:bCs/>
              </w:rPr>
              <w:t>2016</w:t>
            </w:r>
          </w:p>
        </w:tc>
        <w:tc>
          <w:tcPr>
            <w:tcW w:w="4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D56AFF" w14:textId="77777777" w:rsidR="00000000" w:rsidRDefault="00000000">
            <w:pPr>
              <w:spacing w:before="120"/>
              <w:jc w:val="center"/>
            </w:pPr>
            <w:r>
              <w:rPr>
                <w:b/>
                <w:bCs/>
              </w:rPr>
              <w:t>2017</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76A0DC" w14:textId="77777777" w:rsidR="00000000" w:rsidRDefault="00000000">
            <w:pPr>
              <w:spacing w:before="120"/>
              <w:jc w:val="center"/>
            </w:pPr>
            <w:r>
              <w:rPr>
                <w:b/>
                <w:bCs/>
              </w:rPr>
              <w:t>2018</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060B29" w14:textId="77777777" w:rsidR="00000000" w:rsidRDefault="00000000">
            <w:pPr>
              <w:spacing w:before="120"/>
              <w:jc w:val="center"/>
            </w:pPr>
            <w:r>
              <w:rPr>
                <w:b/>
                <w:bCs/>
              </w:rPr>
              <w:t>2019</w:t>
            </w:r>
          </w:p>
        </w:tc>
        <w:tc>
          <w:tcPr>
            <w:tcW w:w="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E70BD2" w14:textId="77777777" w:rsidR="00000000" w:rsidRDefault="00000000">
            <w:pPr>
              <w:spacing w:before="120"/>
              <w:jc w:val="center"/>
            </w:pPr>
            <w:r>
              <w:rPr>
                <w:b/>
                <w:bCs/>
              </w:rPr>
              <w:t>2020</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BD4EA8" w14:textId="77777777" w:rsidR="00000000" w:rsidRDefault="00000000">
            <w:pPr>
              <w:spacing w:before="120"/>
              <w:jc w:val="center"/>
            </w:pPr>
            <w:r>
              <w:rPr>
                <w:b/>
                <w:bCs/>
              </w:rPr>
              <w:t>2021</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7F54ED" w14:textId="77777777" w:rsidR="00000000" w:rsidRDefault="00000000">
            <w:pPr>
              <w:spacing w:before="120"/>
              <w:jc w:val="center"/>
            </w:pPr>
            <w:r>
              <w:rPr>
                <w:b/>
                <w:bCs/>
              </w:rPr>
              <w:t>2022</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E9F664" w14:textId="77777777" w:rsidR="00000000" w:rsidRDefault="00000000">
            <w:pPr>
              <w:spacing w:before="120"/>
              <w:jc w:val="center"/>
            </w:pPr>
            <w:r>
              <w:rPr>
                <w:b/>
                <w:bCs/>
              </w:rPr>
              <w:t> </w:t>
            </w:r>
          </w:p>
        </w:tc>
      </w:tr>
      <w:tr w:rsidR="00000000" w14:paraId="228AAF89" w14:textId="77777777">
        <w:tblPrEx>
          <w:tblBorders>
            <w:top w:val="none" w:sz="0" w:space="0" w:color="auto"/>
            <w:bottom w:val="none" w:sz="0" w:space="0" w:color="auto"/>
            <w:insideH w:val="none" w:sz="0" w:space="0" w:color="auto"/>
            <w:insideV w:val="none" w:sz="0" w:space="0" w:color="auto"/>
          </w:tblBorders>
        </w:tblPrEx>
        <w:tc>
          <w:tcPr>
            <w:tcW w:w="1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6C0E89" w14:textId="77777777" w:rsidR="00000000" w:rsidRDefault="00000000">
            <w:pPr>
              <w:spacing w:before="120"/>
              <w:jc w:val="center"/>
            </w:pPr>
            <w:r>
              <w:t>Mức điều chỉnh</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768C83" w14:textId="77777777" w:rsidR="00000000" w:rsidRDefault="00000000">
            <w:pPr>
              <w:spacing w:before="120"/>
              <w:jc w:val="center"/>
            </w:pPr>
            <w:r>
              <w:t>1,16</w:t>
            </w:r>
          </w:p>
        </w:tc>
        <w:tc>
          <w:tcPr>
            <w:tcW w:w="4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F96943" w14:textId="77777777" w:rsidR="00000000" w:rsidRDefault="00000000">
            <w:pPr>
              <w:spacing w:before="120"/>
              <w:jc w:val="center"/>
            </w:pPr>
            <w:r>
              <w:t>1,12</w:t>
            </w:r>
          </w:p>
        </w:tc>
        <w:tc>
          <w:tcPr>
            <w:tcW w:w="5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4809DA" w14:textId="77777777" w:rsidR="00000000" w:rsidRDefault="00000000">
            <w:pPr>
              <w:spacing w:before="120"/>
              <w:jc w:val="center"/>
            </w:pPr>
            <w:r>
              <w:t>1,08</w:t>
            </w:r>
          </w:p>
        </w:tc>
        <w:tc>
          <w:tcPr>
            <w:tcW w:w="5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EDA37" w14:textId="77777777" w:rsidR="00000000" w:rsidRDefault="00000000">
            <w:pPr>
              <w:spacing w:before="120"/>
              <w:jc w:val="center"/>
            </w:pPr>
            <w:r>
              <w:t>1,05</w:t>
            </w:r>
          </w:p>
        </w:tc>
        <w:tc>
          <w:tcPr>
            <w:tcW w:w="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F67102" w14:textId="77777777" w:rsidR="00000000" w:rsidRDefault="00000000">
            <w:pPr>
              <w:spacing w:before="120"/>
              <w:jc w:val="center"/>
            </w:pPr>
            <w:r>
              <w:t>1,02</w:t>
            </w:r>
          </w:p>
        </w:tc>
        <w:tc>
          <w:tcPr>
            <w:tcW w:w="4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A2B79" w14:textId="77777777" w:rsidR="00000000" w:rsidRDefault="00000000">
            <w:pPr>
              <w:spacing w:before="120"/>
              <w:jc w:val="center"/>
            </w:pPr>
            <w:r>
              <w:t>1,00</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42A151" w14:textId="77777777" w:rsidR="00000000" w:rsidRDefault="00000000">
            <w:pPr>
              <w:spacing w:before="120"/>
              <w:jc w:val="center"/>
            </w:pPr>
            <w:r>
              <w:t>1,00</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336A87" w14:textId="77777777" w:rsidR="00000000" w:rsidRDefault="00000000">
            <w:pPr>
              <w:spacing w:before="120"/>
              <w:jc w:val="center"/>
            </w:pPr>
            <w:r>
              <w:t> </w:t>
            </w:r>
          </w:p>
        </w:tc>
      </w:tr>
    </w:tbl>
    <w:p w14:paraId="3D7CE33A" w14:textId="77777777" w:rsidR="00000000" w:rsidRDefault="00000000">
      <w:pPr>
        <w:spacing w:before="120" w:after="280" w:afterAutospacing="1"/>
      </w:pPr>
      <w:r>
        <w:t xml:space="preserve">2. Đối với người lao động vừa có thời gian đóng bảo hiểm xã hội bắt buộc vừa có thời gian đóng bảo hiểm xã hội tự nguyện thì thu nhập tháng đã đóng bảo hiểm xã hội tự nguyện được điều chỉnh theo quy định tại Khoản 1 Điều này; tiền lương tháng đã đóng bảo hiểm xã hội bắt buộc được điều chỉnh theo quy định tại </w:t>
      </w:r>
      <w:bookmarkStart w:id="9" w:name="dc_3"/>
      <w:r>
        <w:t>Điều 10 Nghị định số 115/2015/NĐ-CP</w:t>
      </w:r>
      <w:bookmarkEnd w:id="9"/>
      <w:r>
        <w:t xml:space="preserve"> và Điều 2 Thông tư này. Mức bình quân tiền lương và thu nhập tháng đã đóng bảo hiểm xã hội làm căn cứ tính hưởng lương hưu, trợ cấp một lần khi nghỉ hưu, bảo hiểm xã hội một lần và trợ cấp tuất một lần được tính theo quy định tại </w:t>
      </w:r>
      <w:bookmarkStart w:id="10" w:name="dc_4"/>
      <w:r>
        <w:t>Khoản 4 Điều 11 Nghị định số 115/2015/NĐ-CP</w:t>
      </w:r>
      <w:bookmarkEnd w:id="10"/>
      <w:r>
        <w:t xml:space="preserve"> và </w:t>
      </w:r>
      <w:bookmarkStart w:id="11" w:name="dc_5"/>
      <w:r>
        <w:t>Khoản 4 Điều 5 Nghị định số 134/2015/NĐ-CP</w:t>
      </w:r>
      <w:bookmarkEnd w:id="11"/>
      <w:r>
        <w:t>.</w:t>
      </w:r>
    </w:p>
    <w:p w14:paraId="7B25F458" w14:textId="77777777" w:rsidR="00000000" w:rsidRDefault="00000000">
      <w:pPr>
        <w:spacing w:before="120" w:after="280" w:afterAutospacing="1"/>
      </w:pPr>
      <w:bookmarkStart w:id="12" w:name="dieu_4"/>
      <w:r>
        <w:rPr>
          <w:b/>
          <w:bCs/>
        </w:rPr>
        <w:t>Điều 4. Điều khoản thi hành</w:t>
      </w:r>
      <w:bookmarkEnd w:id="12"/>
    </w:p>
    <w:p w14:paraId="7A1BD0B9" w14:textId="77777777" w:rsidR="00000000" w:rsidRDefault="00000000">
      <w:pPr>
        <w:spacing w:before="120" w:after="280" w:afterAutospacing="1"/>
      </w:pPr>
      <w:r>
        <w:t>1. Thông tư này có hiệu lực thi hành kể từ ngày 20 tháng 02 năm 2022; các quy định tại Thông tư này áp dụng kể từ ngày 01 tháng 01 năm 2022.</w:t>
      </w:r>
    </w:p>
    <w:p w14:paraId="182333AF" w14:textId="77777777" w:rsidR="00000000" w:rsidRDefault="00000000">
      <w:pPr>
        <w:spacing w:before="120" w:after="280" w:afterAutospacing="1"/>
      </w:pPr>
      <w:r>
        <w:t>2. Thông tư số 23/2020/TT-BLĐTBXH ngày 30 tháng 12 năm 2020 của Bộ trưởng Bộ Lao động - Thương binh và Xã hội quy định mức điều chỉnh tiền lương và thu nhập tháng đã đóng bảo hiểm xã hội hết hiệu lực thi hành kể từ ngày Thông tư này có hiệu lực thi hành.</w:t>
      </w:r>
    </w:p>
    <w:p w14:paraId="19827866" w14:textId="77777777" w:rsidR="00000000" w:rsidRDefault="00000000">
      <w:pPr>
        <w:spacing w:before="120" w:after="280" w:afterAutospacing="1"/>
      </w:pPr>
      <w:r>
        <w:t>3. Trong quá trình thực hiện nếu có vướng mắc, đề nghị phản ánh về Bộ Lao động- Thương binh và Xã hội để kịp thời nghiên cứu, giải quyết./.</w:t>
      </w:r>
    </w:p>
    <w:p w14:paraId="3D51A0E5"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11713D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F9641BC" w14:textId="77777777" w:rsidR="00000000" w:rsidRDefault="00000000">
            <w:pPr>
              <w:spacing w:before="120"/>
            </w:pPr>
            <w:r>
              <w:rPr>
                <w:b/>
                <w:bCs/>
                <w:i/>
                <w:iCs/>
              </w:rPr>
              <w:br/>
              <w:t>Nơi nhận:</w:t>
            </w:r>
            <w:r>
              <w:rPr>
                <w:b/>
                <w:bCs/>
                <w:i/>
                <w:iCs/>
              </w:rPr>
              <w:br/>
            </w:r>
            <w:r>
              <w:rPr>
                <w:sz w:val="16"/>
              </w:rPr>
              <w:t>- Thủ tướng, các Phó Thủ tướng CP;</w:t>
            </w:r>
            <w:r>
              <w:rPr>
                <w:sz w:val="16"/>
              </w:rPr>
              <w:br/>
              <w:t>- Văn phòng Quốc hội;</w:t>
            </w:r>
            <w:r>
              <w:rPr>
                <w:sz w:val="16"/>
              </w:rPr>
              <w:br/>
              <w:t>- Văn phòng Chủ tịch nước;</w:t>
            </w:r>
            <w:r>
              <w:rPr>
                <w:sz w:val="16"/>
              </w:rPr>
              <w:br/>
              <w:t>- Văn phòng Chính phủ;</w:t>
            </w:r>
            <w:r>
              <w:rPr>
                <w:sz w:val="16"/>
              </w:rPr>
              <w:br/>
              <w:t>- VP TƯ Đảng và các Ban của Đảng;</w:t>
            </w:r>
            <w:r>
              <w:rPr>
                <w:sz w:val="16"/>
              </w:rPr>
              <w:br/>
              <w:t>- Các Bộ, cơ quan ngang Bộ, cơ quan thuộc CP;</w:t>
            </w:r>
            <w:r>
              <w:rPr>
                <w:sz w:val="16"/>
              </w:rPr>
              <w:br/>
              <w:t>- Toà án nhân dân tối cao;</w:t>
            </w:r>
            <w:r>
              <w:rPr>
                <w:sz w:val="16"/>
              </w:rPr>
              <w:br/>
              <w:t>- Viện Kiểm sát nhân dân tối cao;</w:t>
            </w:r>
            <w:r>
              <w:rPr>
                <w:sz w:val="16"/>
              </w:rPr>
              <w:br/>
              <w:t>- Kiểm toán Nhà nước;</w:t>
            </w:r>
            <w:r>
              <w:rPr>
                <w:sz w:val="16"/>
              </w:rPr>
              <w:br/>
              <w:t>- Bảo hiểm xã hội Việt Nam;</w:t>
            </w:r>
            <w:r>
              <w:rPr>
                <w:sz w:val="16"/>
              </w:rPr>
              <w:br/>
              <w:t>- UBND các tỉnh, thành phố trực thuộc TƯ;</w:t>
            </w:r>
            <w:r>
              <w:rPr>
                <w:sz w:val="16"/>
              </w:rPr>
              <w:br/>
              <w:t>- Sở LĐ-TBXH các tỉnh, thành phố trực thuộc TƯ;</w:t>
            </w:r>
            <w:r>
              <w:rPr>
                <w:sz w:val="16"/>
              </w:rPr>
              <w:br/>
              <w:t>- Công báo; Cổng Thông tin điện tử của Chính phủ;</w:t>
            </w:r>
            <w:r>
              <w:rPr>
                <w:sz w:val="16"/>
              </w:rPr>
              <w:br/>
              <w:t>- Bộ Tư pháp (Cục Kiểm tra văn bản QPPL);</w:t>
            </w:r>
            <w:r>
              <w:rPr>
                <w:sz w:val="16"/>
              </w:rPr>
              <w:br/>
            </w:r>
            <w:r>
              <w:rPr>
                <w:sz w:val="16"/>
              </w:rPr>
              <w:lastRenderedPageBreak/>
              <w:t>- Lưu: VT, PC, BHXH.</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264D39D" w14:textId="77777777" w:rsidR="00000000" w:rsidRDefault="00000000">
            <w:pPr>
              <w:spacing w:before="120"/>
              <w:jc w:val="center"/>
            </w:pPr>
            <w:r>
              <w:rPr>
                <w:b/>
                <w:bCs/>
              </w:rPr>
              <w:lastRenderedPageBreak/>
              <w:t>KT. BỘ TRƯỞNG</w:t>
            </w:r>
            <w:r>
              <w:rPr>
                <w:b/>
                <w:bCs/>
              </w:rPr>
              <w:br/>
              <w:t>THỨ TRƯỞNG</w:t>
            </w:r>
            <w:r>
              <w:rPr>
                <w:b/>
                <w:bCs/>
              </w:rPr>
              <w:br/>
            </w:r>
            <w:r>
              <w:rPr>
                <w:b/>
                <w:bCs/>
              </w:rPr>
              <w:br/>
            </w:r>
            <w:r>
              <w:rPr>
                <w:b/>
                <w:bCs/>
              </w:rPr>
              <w:br/>
            </w:r>
            <w:r>
              <w:rPr>
                <w:b/>
                <w:bCs/>
              </w:rPr>
              <w:br/>
            </w:r>
            <w:r>
              <w:rPr>
                <w:b/>
                <w:bCs/>
              </w:rPr>
              <w:br/>
              <w:t>Nguyễn Bá Hoan</w:t>
            </w:r>
          </w:p>
        </w:tc>
      </w:tr>
    </w:tbl>
    <w:p w14:paraId="5D61D95A" w14:textId="77777777" w:rsidR="001A5B09" w:rsidRDefault="00000000">
      <w:pPr>
        <w:spacing w:before="120" w:after="280" w:afterAutospacing="1"/>
      </w:pPr>
      <w:r>
        <w:t> </w:t>
      </w:r>
    </w:p>
    <w:sectPr w:rsidR="001A5B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64C1"/>
    <w:rsid w:val="001A5B09"/>
    <w:rsid w:val="00CA64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3779E"/>
  <w15:chartTrackingRefBased/>
  <w15:docId w15:val="{30FD4CC4-B581-4008-B775-C2178E22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2024-04-16T03:35:00Z</dcterms:created>
  <dcterms:modified xsi:type="dcterms:W3CDTF">2024-04-16T03:35:00Z</dcterms:modified>
</cp:coreProperties>
</file>