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5</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i w:val="1"/>
          <w:sz w:val="32"/>
          <w:szCs w:val="32"/>
          <w:rtl w:val="0"/>
        </w:rPr>
        <w:t xml:space="preserve">Кросплатформна розробка мобільних застосунків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7">
        <w:r w:rsidDel="00000000" w:rsidR="00000000" w:rsidRPr="00000000">
          <w:rPr>
            <w:color w:val="1155cc"/>
            <w:sz w:val="32"/>
            <w:szCs w:val="32"/>
            <w:u w:val="single"/>
            <w:rtl w:val="0"/>
          </w:rPr>
          <w:t xml:space="preserve">https://github.com/SupCS/PW5TB-11_AsparianDmytroSerhiyovychFlutter</w:t>
        </w:r>
      </w:hyperlink>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5</w:t>
      </w: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20">
      <w:pPr>
        <w:spacing w:after="0" w:lineRule="auto"/>
        <w:rPr>
          <w:b w:val="1"/>
          <w:sz w:val="32"/>
          <w:szCs w:val="32"/>
        </w:rPr>
      </w:pPr>
      <w:r w:rsidDel="00000000" w:rsidR="00000000" w:rsidRPr="00000000">
        <w:rPr>
          <w:b w:val="1"/>
          <w:sz w:val="32"/>
          <w:szCs w:val="32"/>
        </w:rPr>
        <w:drawing>
          <wp:inline distB="114300" distT="114300" distL="114300" distR="114300">
            <wp:extent cx="6152515" cy="4724400"/>
            <wp:effectExtent b="0" l="0" r="0" t="0"/>
            <wp:docPr id="8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5251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Rule="auto"/>
        <w:rPr>
          <w:b w:val="1"/>
          <w:sz w:val="32"/>
          <w:szCs w:val="32"/>
        </w:rPr>
      </w:pPr>
      <w:r w:rsidDel="00000000" w:rsidR="00000000" w:rsidRPr="00000000">
        <w:rPr>
          <w:b w:val="1"/>
          <w:sz w:val="32"/>
          <w:szCs w:val="32"/>
        </w:rPr>
        <w:drawing>
          <wp:inline distB="114300" distT="114300" distL="114300" distR="114300">
            <wp:extent cx="6152515" cy="2921000"/>
            <wp:effectExtent b="0" l="0" r="0" t="0"/>
            <wp:docPr id="8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525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b w:val="1"/>
          <w:sz w:val="32"/>
          <w:szCs w:val="32"/>
        </w:rPr>
      </w:pPr>
      <w:r w:rsidDel="00000000" w:rsidR="00000000" w:rsidRPr="00000000">
        <w:rPr>
          <w:b w:val="1"/>
          <w:sz w:val="32"/>
          <w:szCs w:val="32"/>
        </w:rPr>
        <w:drawing>
          <wp:inline distB="114300" distT="114300" distL="114300" distR="114300">
            <wp:extent cx="6152515" cy="6540500"/>
            <wp:effectExtent b="0" l="0" r="0" t="0"/>
            <wp:docPr id="8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52515"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b w:val="1"/>
          <w:sz w:val="32"/>
          <w:szCs w:val="32"/>
        </w:rPr>
      </w:pPr>
      <w:r w:rsidDel="00000000" w:rsidR="00000000" w:rsidRPr="00000000">
        <w:rPr>
          <w:b w:val="1"/>
          <w:sz w:val="32"/>
          <w:szCs w:val="32"/>
        </w:rPr>
        <w:drawing>
          <wp:inline distB="114300" distT="114300" distL="114300" distR="114300">
            <wp:extent cx="5295900" cy="2590800"/>
            <wp:effectExtent b="0" l="0" r="0" t="0"/>
            <wp:docPr id="9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959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b w:val="1"/>
          <w:sz w:val="32"/>
          <w:szCs w:val="32"/>
        </w:rPr>
      </w:pPr>
      <w:r w:rsidDel="00000000" w:rsidR="00000000" w:rsidRPr="00000000">
        <w:rPr>
          <w:b w:val="1"/>
          <w:sz w:val="32"/>
          <w:szCs w:val="32"/>
        </w:rPr>
        <w:drawing>
          <wp:inline distB="114300" distT="114300" distL="114300" distR="114300">
            <wp:extent cx="6152515" cy="5842000"/>
            <wp:effectExtent b="0" l="0" r="0" t="0"/>
            <wp:docPr id="8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52515"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Rule="auto"/>
        <w:rPr>
          <w:b w:val="1"/>
          <w:sz w:val="32"/>
          <w:szCs w:val="32"/>
        </w:rPr>
      </w:pPr>
      <w:r w:rsidDel="00000000" w:rsidR="00000000" w:rsidRPr="00000000">
        <w:rPr>
          <w:rtl w:val="0"/>
        </w:rPr>
      </w:r>
    </w:p>
    <w:p w:rsidR="00000000" w:rsidDel="00000000" w:rsidP="00000000" w:rsidRDefault="00000000" w:rsidRPr="00000000" w14:paraId="00000026">
      <w:pPr>
        <w:spacing w:after="0" w:lineRule="auto"/>
        <w:rPr>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sz w:val="32"/>
          <w:szCs w:val="32"/>
          <w:rtl w:val="0"/>
        </w:rPr>
        <w:t xml:space="preserve">Створіть кросплатформений мобільний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однотрансформаторної ГТП у складі:</w:t>
      </w:r>
    </w:p>
    <w:p w:rsidR="00000000" w:rsidDel="00000000" w:rsidP="00000000" w:rsidRDefault="00000000" w:rsidRPr="00000000" w14:paraId="00000028">
      <w:pPr>
        <w:rPr>
          <w:sz w:val="32"/>
          <w:szCs w:val="32"/>
        </w:rPr>
      </w:pPr>
      <w:r w:rsidDel="00000000" w:rsidR="00000000" w:rsidRPr="00000000">
        <w:rPr>
          <w:sz w:val="32"/>
          <w:szCs w:val="32"/>
          <w:rtl w:val="0"/>
        </w:rPr>
        <w:t xml:space="preserve">1. Порівняти надійність одноколової та двоколової систем електропередачі (див. Приклад 3.1.);</w:t>
      </w:r>
    </w:p>
    <w:p w:rsidR="00000000" w:rsidDel="00000000" w:rsidP="00000000" w:rsidRDefault="00000000" w:rsidRPr="00000000" w14:paraId="00000029">
      <w:pPr>
        <w:rPr>
          <w:sz w:val="32"/>
          <w:szCs w:val="32"/>
        </w:rPr>
      </w:pPr>
      <w:r w:rsidDel="00000000" w:rsidR="00000000" w:rsidRPr="00000000">
        <w:rPr>
          <w:sz w:val="32"/>
          <w:szCs w:val="32"/>
          <w:rtl w:val="0"/>
        </w:rPr>
        <w:t xml:space="preserve">2. Розрахувати збитки від перерв електропостачання у разі застосування однотрансформаторної ГПП (див. Приклад 3.2.).</w:t>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spacing w:after="0" w:lineRule="auto"/>
        <w:rPr>
          <w:sz w:val="32"/>
          <w:szCs w:val="32"/>
        </w:rPr>
      </w:pPr>
      <w:r w:rsidDel="00000000" w:rsidR="00000000" w:rsidRPr="00000000">
        <w:rPr>
          <w:rtl w:val="0"/>
        </w:rPr>
      </w:r>
    </w:p>
    <w:p w:rsidR="00000000" w:rsidDel="00000000" w:rsidP="00000000" w:rsidRDefault="00000000" w:rsidRPr="00000000" w14:paraId="0000002C">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D">
      <w:pPr>
        <w:spacing w:after="0" w:lineRule="auto"/>
        <w:rPr>
          <w:sz w:val="32"/>
          <w:szCs w:val="32"/>
        </w:rPr>
      </w:pPr>
      <w:r w:rsidDel="00000000" w:rsidR="00000000" w:rsidRPr="00000000">
        <w:rPr>
          <w:sz w:val="32"/>
          <w:szCs w:val="32"/>
          <w:rtl w:val="0"/>
        </w:rPr>
        <w:t xml:space="preserve">Створив головну сторінку з кнопками до двух калькуляторів.</w:t>
      </w:r>
    </w:p>
    <w:p w:rsidR="00000000" w:rsidDel="00000000" w:rsidP="00000000" w:rsidRDefault="00000000" w:rsidRPr="00000000" w14:paraId="0000002E">
      <w:pPr>
        <w:spacing w:after="0" w:lineRule="auto"/>
        <w:rPr>
          <w:sz w:val="32"/>
          <w:szCs w:val="32"/>
        </w:rPr>
      </w:pPr>
      <w:r w:rsidDel="00000000" w:rsidR="00000000" w:rsidRPr="00000000">
        <w:rPr>
          <w:sz w:val="32"/>
          <w:szCs w:val="32"/>
        </w:rPr>
        <w:drawing>
          <wp:inline distB="114300" distT="114300" distL="114300" distR="114300">
            <wp:extent cx="6152515" cy="4648200"/>
            <wp:effectExtent b="0" l="0" r="0" t="0"/>
            <wp:docPr id="9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5251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rPr>
          <w:sz w:val="32"/>
          <w:szCs w:val="32"/>
        </w:rPr>
      </w:pPr>
      <w:r w:rsidDel="00000000" w:rsidR="00000000" w:rsidRPr="00000000">
        <w:rPr>
          <w:sz w:val="32"/>
          <w:szCs w:val="32"/>
        </w:rPr>
        <w:drawing>
          <wp:inline distB="114300" distT="114300" distL="114300" distR="114300">
            <wp:extent cx="3267075" cy="6800850"/>
            <wp:effectExtent b="0" l="0" r="0" t="0"/>
            <wp:docPr id="9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67075"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rPr>
          <w:sz w:val="32"/>
          <w:szCs w:val="32"/>
        </w:rPr>
      </w:pPr>
      <w:r w:rsidDel="00000000" w:rsidR="00000000" w:rsidRPr="00000000">
        <w:rPr>
          <w:rtl w:val="0"/>
        </w:rPr>
      </w:r>
    </w:p>
    <w:p w:rsidR="00000000" w:rsidDel="00000000" w:rsidP="00000000" w:rsidRDefault="00000000" w:rsidRPr="00000000" w14:paraId="00000031">
      <w:pPr>
        <w:spacing w:after="0" w:lineRule="auto"/>
        <w:rPr>
          <w:sz w:val="32"/>
          <w:szCs w:val="32"/>
        </w:rPr>
      </w:pPr>
      <w:r w:rsidDel="00000000" w:rsidR="00000000" w:rsidRPr="00000000">
        <w:rPr>
          <w:rtl w:val="0"/>
        </w:rPr>
      </w:r>
    </w:p>
    <w:p w:rsidR="00000000" w:rsidDel="00000000" w:rsidP="00000000" w:rsidRDefault="00000000" w:rsidRPr="00000000" w14:paraId="00000032">
      <w:pPr>
        <w:numPr>
          <w:ilvl w:val="0"/>
          <w:numId w:val="1"/>
        </w:numPr>
        <w:spacing w:after="0" w:lineRule="auto"/>
        <w:ind w:left="720" w:hanging="360"/>
        <w:rPr>
          <w:sz w:val="32"/>
          <w:szCs w:val="32"/>
          <w:u w:val="none"/>
        </w:rPr>
      </w:pPr>
      <w:r w:rsidDel="00000000" w:rsidR="00000000" w:rsidRPr="00000000">
        <w:rPr>
          <w:sz w:val="32"/>
          <w:szCs w:val="32"/>
          <w:rtl w:val="0"/>
        </w:rPr>
        <w:t xml:space="preserve">Порівняння надійності</w:t>
      </w:r>
      <w:r w:rsidDel="00000000" w:rsidR="00000000" w:rsidRPr="00000000">
        <w:rPr>
          <w:rtl w:val="0"/>
        </w:rPr>
      </w:r>
    </w:p>
    <w:p w:rsidR="00000000" w:rsidDel="00000000" w:rsidP="00000000" w:rsidRDefault="00000000" w:rsidRPr="00000000" w14:paraId="00000033">
      <w:pPr>
        <w:spacing w:after="0" w:lineRule="auto"/>
        <w:ind w:left="0" w:firstLine="0"/>
        <w:rPr>
          <w:sz w:val="32"/>
          <w:szCs w:val="32"/>
        </w:rPr>
      </w:pPr>
      <w:r w:rsidDel="00000000" w:rsidR="00000000" w:rsidRPr="00000000">
        <w:rPr>
          <w:sz w:val="32"/>
          <w:szCs w:val="32"/>
        </w:rPr>
        <w:drawing>
          <wp:inline distB="114300" distT="114300" distL="114300" distR="114300">
            <wp:extent cx="6152515" cy="5283200"/>
            <wp:effectExtent b="0" l="0" r="0" t="0"/>
            <wp:docPr id="9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52515"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ind w:left="0" w:firstLine="0"/>
        <w:rPr>
          <w:sz w:val="32"/>
          <w:szCs w:val="32"/>
        </w:rPr>
      </w:pPr>
      <w:r w:rsidDel="00000000" w:rsidR="00000000" w:rsidRPr="00000000">
        <w:rPr>
          <w:sz w:val="32"/>
          <w:szCs w:val="32"/>
        </w:rPr>
        <w:drawing>
          <wp:inline distB="114300" distT="114300" distL="114300" distR="114300">
            <wp:extent cx="6000750" cy="5905500"/>
            <wp:effectExtent b="0" l="0" r="0" t="0"/>
            <wp:docPr id="8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007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6">
      <w:pPr>
        <w:spacing w:after="0" w:lineRule="auto"/>
        <w:ind w:left="0" w:firstLine="0"/>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7">
      <w:pPr>
        <w:spacing w:after="0" w:lineRule="auto"/>
        <w:ind w:left="0" w:firstLine="0"/>
        <w:rPr>
          <w:sz w:val="32"/>
          <w:szCs w:val="32"/>
        </w:rPr>
      </w:pPr>
      <w:r w:rsidDel="00000000" w:rsidR="00000000" w:rsidRPr="00000000">
        <w:rPr>
          <w:sz w:val="32"/>
          <w:szCs w:val="32"/>
        </w:rPr>
        <w:drawing>
          <wp:inline distB="114300" distT="114300" distL="114300" distR="114300">
            <wp:extent cx="3305175" cy="6677025"/>
            <wp:effectExtent b="0" l="0" r="0" t="0"/>
            <wp:docPr id="9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0517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ind w:left="0" w:firstLine="0"/>
        <w:rPr>
          <w:sz w:val="32"/>
          <w:szCs w:val="32"/>
        </w:rPr>
      </w:pPr>
      <w:r w:rsidDel="00000000" w:rsidR="00000000" w:rsidRPr="00000000">
        <w:rPr>
          <w:sz w:val="32"/>
          <w:szCs w:val="32"/>
        </w:rPr>
        <w:drawing>
          <wp:inline distB="114300" distT="114300" distL="114300" distR="114300">
            <wp:extent cx="3324225" cy="6724650"/>
            <wp:effectExtent b="0" l="0" r="0" t="0"/>
            <wp:docPr id="8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242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A">
      <w:pPr>
        <w:numPr>
          <w:ilvl w:val="0"/>
          <w:numId w:val="1"/>
        </w:numPr>
        <w:spacing w:after="0" w:lineRule="auto"/>
        <w:ind w:left="720" w:hanging="360"/>
        <w:rPr>
          <w:sz w:val="32"/>
          <w:szCs w:val="32"/>
          <w:u w:val="none"/>
        </w:rPr>
      </w:pPr>
      <w:r w:rsidDel="00000000" w:rsidR="00000000" w:rsidRPr="00000000">
        <w:rPr>
          <w:sz w:val="32"/>
          <w:szCs w:val="32"/>
          <w:rtl w:val="0"/>
        </w:rPr>
        <w:t xml:space="preserve">Розрахунок втрат</w:t>
      </w:r>
      <w:r w:rsidDel="00000000" w:rsidR="00000000" w:rsidRPr="00000000">
        <w:rPr>
          <w:rtl w:val="0"/>
        </w:rPr>
      </w:r>
    </w:p>
    <w:p w:rsidR="00000000" w:rsidDel="00000000" w:rsidP="00000000" w:rsidRDefault="00000000" w:rsidRPr="00000000" w14:paraId="0000003B">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C">
      <w:pPr>
        <w:spacing w:after="0" w:lineRule="auto"/>
        <w:ind w:left="0" w:firstLine="0"/>
        <w:rPr>
          <w:sz w:val="32"/>
          <w:szCs w:val="32"/>
        </w:rPr>
      </w:pPr>
      <w:r w:rsidDel="00000000" w:rsidR="00000000" w:rsidRPr="00000000">
        <w:rPr>
          <w:sz w:val="32"/>
          <w:szCs w:val="32"/>
        </w:rPr>
        <w:drawing>
          <wp:inline distB="114300" distT="114300" distL="114300" distR="114300">
            <wp:extent cx="6115050" cy="4572000"/>
            <wp:effectExtent b="0" l="0" r="0" t="0"/>
            <wp:docPr id="9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15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E">
      <w:pPr>
        <w:spacing w:after="0" w:lineRule="auto"/>
        <w:ind w:left="0" w:firstLine="0"/>
        <w:rPr>
          <w:sz w:val="32"/>
          <w:szCs w:val="32"/>
        </w:rPr>
      </w:pPr>
      <w:r w:rsidDel="00000000" w:rsidR="00000000" w:rsidRPr="00000000">
        <w:rPr>
          <w:sz w:val="32"/>
          <w:szCs w:val="32"/>
          <w:rtl w:val="0"/>
        </w:rPr>
        <w:t xml:space="preserve">Перевірка результату:</w:t>
      </w:r>
    </w:p>
    <w:p w:rsidR="00000000" w:rsidDel="00000000" w:rsidP="00000000" w:rsidRDefault="00000000" w:rsidRPr="00000000" w14:paraId="0000003F">
      <w:pPr>
        <w:spacing w:after="0" w:lineRule="auto"/>
        <w:ind w:left="0" w:firstLine="0"/>
        <w:rPr/>
      </w:pPr>
      <w:r w:rsidDel="00000000" w:rsidR="00000000" w:rsidRPr="00000000">
        <w:rPr/>
        <w:drawing>
          <wp:inline distB="114300" distT="114300" distL="114300" distR="114300">
            <wp:extent cx="3371850" cy="5676900"/>
            <wp:effectExtent b="0" l="0" r="0" t="0"/>
            <wp:docPr id="9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3718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0" w:firstLine="0"/>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rFonts w:ascii="Times New Roman" w:cs="Times New Roman" w:eastAsia="Times New Roman" w:hAnsi="Times New Roman"/>
          <w:b w:val="1"/>
          <w:color w:val="000000"/>
          <w:sz w:val="28"/>
          <w:szCs w:val="28"/>
          <w:rtl w:val="0"/>
        </w:rPr>
        <w:t xml:space="preserve">Висновок</w: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У рамках лабораторної роботи було створено кросплатформений мобільний застосунок для порівняння надійності одноколової та двоколової систем електропередачі, а також розрахунку збитків від перерв електропостачання для однотрансформаторної головної понижувальної підстанції (ГПП).</w:t>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Застосунок реалізує математичні моделі для обчислення частоти відмов, середнього часу відновлення, коефіцієнтів простою та збитків відповідно до методик прикладів 3.1 та 3.2. Функціонал успішно перевірено на контрольних прикладах, що підтвердило коректність розрахунків і відповідність поставленим завданням.</w:t>
      </w:r>
    </w:p>
    <w:p w:rsidR="00000000" w:rsidDel="00000000" w:rsidP="00000000" w:rsidRDefault="00000000" w:rsidRPr="00000000" w14:paraId="00000046">
      <w:pPr>
        <w:rPr/>
      </w:pPr>
      <w:r w:rsidDel="00000000" w:rsidR="00000000" w:rsidRPr="00000000">
        <w:rPr>
          <w:rtl w:val="0"/>
        </w:rPr>
        <w:t xml:space="preserve">У котлін для UI ми використовували Compose для створення інтерфейсу, що дозволяє гнучко компонувати елементи UI. Введення даних реалізоване через TextField, а обробка подій через State. У Flutter використано TextField та ElevatedButton для введення та розрахунків. Flutter дозволяє створювати гнучкий UI, аналогічний Compose, але вимагає ручного управління TextEditingController. У Kotlin всі обчислення виконуються у функціях, використовуючи MutableState, а оновлення UI виконується за допомогою remember, а у Flutter обчислення реалізовані у функціях calculateReliability() і calculateLosses(), а результати виводяться через setState(). Kotlin додаток працює тільки на Android, що обмежує можливість запуску на iOS. Flutter завдяки кросплатформенності застосунок може працювати як на Android, так і на iOS без додаткових змін у коді.</w:t>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github.com/SupCS/PW5TB-11_AsparianDmytroSerhiyovychFlutte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4tQjrm/xAKfThgiLwOqwLzlDPA==">CgMxLjAyCGguZ2pkZ3hzOAByITFrQ0FKYkszREFuT05fYlRFUHkxQ0EydEstQzNVTEF5Mg==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