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[10:27 AM] Srivastava, Vaishali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Collection and Generics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Multithreading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Concurrency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Lambda Expression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Stream API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Junit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SQL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JDBC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Core Java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[10:28 AM] Srivastava, Vaishali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  <w:t>Part-</w:t>
      </w:r>
      <w:r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  <w:lang w:val="en-IN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[10:29 AM] Srivastava, Vaishali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5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Data Types and Operators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Control Statements and Arrays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Classes and Objects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Constructors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String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Static Modifier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Inheritance and Polymorphism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Abstract class and 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Core Java 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i w:val="0"/>
                <w:color w:val="DA846B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</w:tbl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Part-1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C2B61"/>
    <w:rsid w:val="3FC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2020-11-05T04:32:00Z</dcterms:created>
  <dc:creator>Asus</dc:creator>
  <cp:lastModifiedBy>Suparna Arya</cp:lastModifiedBy>
  <dcterms:modified xsi:type="dcterms:W3CDTF">2020-11-05T12:54:59Z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