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Internal UAT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Unable to log in smoothly, need to refresh the page 3-5 time</w:t>
      </w:r>
    </w:p>
    <w:p w:rsidR="00000000" w:rsidDel="00000000" w:rsidP="00000000" w:rsidRDefault="00000000" w:rsidRPr="00000000" w14:paraId="00000005">
      <w:pPr>
        <w:numPr>
          <w:ilvl w:val="0"/>
          <w:numId w:val="1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Polling frequency around 10 min or more which should be 1 minute interval</w:t>
      </w:r>
    </w:p>
    <w:p w:rsidR="00000000" w:rsidDel="00000000" w:rsidP="00000000" w:rsidRDefault="00000000" w:rsidRPr="00000000" w14:paraId="00000006">
      <w:pPr>
        <w:numPr>
          <w:ilvl w:val="0"/>
          <w:numId w:val="1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Email sent with DN# on header, content and attachment of DN document but system took longer period to detect DN document</w:t>
      </w:r>
    </w:p>
    <w:p w:rsidR="00000000" w:rsidDel="00000000" w:rsidP="00000000" w:rsidRDefault="00000000" w:rsidRPr="00000000" w14:paraId="00000007">
      <w:pPr>
        <w:numPr>
          <w:ilvl w:val="0"/>
          <w:numId w:val="1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Inconsistency of viewing OCR document (view below image), refreshed page but still fail to load PDF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Dashboard display data not up to date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Webpage need to do manual refresh have to change to auto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Spelling error “documnet” to “document”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OCR should capture Kyowa Kirin International (KKI) as vendor not Menarini Australia Pty Ltd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(View below image, and view 2nd image row number 4 supplier category) </w:t>
      </w: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OCR should capture Phardiag as vendor not ZUELLIG pharma vietnam</w:t>
        <w:br w:type="textWrapping"/>
        <w:t xml:space="preserve">(View below image, and 2nd image row 1 - 3, supplier category)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OCR unable to identify between “O” and “0”</w:t>
        <w:br w:type="textWrapping"/>
        <w:t xml:space="preserve">(Please view image below)</w:t>
        <w:br w:type="textWrapping"/>
      </w:r>
      <w:r w:rsidDel="00000000" w:rsidR="00000000" w:rsidRPr="00000000">
        <w:rPr/>
        <w:drawing>
          <wp:inline distB="114300" distT="114300" distL="114300" distR="114300">
            <wp:extent cx="5048250" cy="5105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icon “?” to assist user understanding of each individual function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What is category 1 and 2?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Please add “PO list” via the menu</w:t>
      </w:r>
      <w:r w:rsidDel="00000000" w:rsidR="00000000" w:rsidRPr="00000000">
        <w:rPr/>
        <w:drawing>
          <wp:inline distB="114300" distT="114300" distL="114300" distR="114300">
            <wp:extent cx="5468314" cy="6552234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314" cy="6552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14) this dashboard icon does not direct to dashboard but the “My profile” button will direct user to dashboard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58072" cy="385286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8072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06066" cy="2084662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6066" cy="2084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Unable to click this, and what's the feature?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689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this going to be removed?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 same goes to this, is this gonna be removed?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this book icon for? And why we are being redirected to dashboard after clicking the “attachment error”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notification was received, even error shown on DN#191422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to use all this?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10050" cy="1447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Date should have function to arrange ascending and descending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additional, we tried to use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zec.h@arkinno-ai.com</w:t>
        </w:r>
      </w:hyperlink>
      <w:r w:rsidDel="00000000" w:rsidR="00000000" w:rsidRPr="00000000">
        <w:rPr>
          <w:rtl w:val="0"/>
        </w:rPr>
        <w:t xml:space="preserve"> to send DN but is not working, but previous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zec.h@arkinno-ai.com</w:t>
        </w:r>
      </w:hyperlink>
      <w:r w:rsidDel="00000000" w:rsidR="00000000" w:rsidRPr="00000000">
        <w:rPr>
          <w:rtl w:val="0"/>
        </w:rPr>
        <w:t xml:space="preserve"> did send a document to the system and it works.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7.png"/><Relationship Id="rId22" Type="http://schemas.openxmlformats.org/officeDocument/2006/relationships/image" Target="media/image5.png"/><Relationship Id="rId10" Type="http://schemas.openxmlformats.org/officeDocument/2006/relationships/image" Target="media/image13.png"/><Relationship Id="rId21" Type="http://schemas.openxmlformats.org/officeDocument/2006/relationships/image" Target="media/image2.png"/><Relationship Id="rId13" Type="http://schemas.openxmlformats.org/officeDocument/2006/relationships/image" Target="media/image11.png"/><Relationship Id="rId24" Type="http://schemas.openxmlformats.org/officeDocument/2006/relationships/hyperlink" Target="mailto:zec.h@arkinno-ai.com" TargetMode="External"/><Relationship Id="rId12" Type="http://schemas.openxmlformats.org/officeDocument/2006/relationships/image" Target="media/image10.png"/><Relationship Id="rId23" Type="http://schemas.openxmlformats.org/officeDocument/2006/relationships/hyperlink" Target="mailto:zec.h@arkinno-ai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2.png"/><Relationship Id="rId18" Type="http://schemas.openxmlformats.org/officeDocument/2006/relationships/image" Target="media/image17.png"/><Relationship Id="rId7" Type="http://schemas.openxmlformats.org/officeDocument/2006/relationships/image" Target="media/image14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