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26A23">
      <w:pPr>
        <w:pBdr>
          <w:top w:val="single" w:color="1B3A6B" w:sz="20" w:space="0"/>
          <w:bottom w:val="single" w:color="C9A84C" w:sz="6" w:space="4"/>
        </w:pBdr>
        <w:spacing w:before="0" w:after="1200"/>
      </w:pPr>
    </w:p>
    <w:p w14:paraId="7D44D4DF">
      <w:pPr>
        <w:spacing w:before="0" w:after="200"/>
        <w:jc w:val="center"/>
      </w:pPr>
      <w:r>
        <w:rPr>
          <w:rFonts w:ascii="黑体" w:hAnsi="黑体" w:eastAsia="黑体" w:cs="黑体"/>
          <w:color w:val="4A4A6A"/>
          <w:spacing w:val="200"/>
          <w:sz w:val="28"/>
          <w:szCs w:val="28"/>
        </w:rPr>
        <w:t>战略研究与发展中心</w:t>
      </w:r>
    </w:p>
    <w:p w14:paraId="2A15B8E4">
      <w:pPr>
        <w:spacing w:before="0" w:after="120"/>
        <w:jc w:val="center"/>
      </w:pPr>
      <w:r>
        <w:rPr>
          <w:rFonts w:ascii="黑体" w:hAnsi="黑体" w:eastAsia="黑体" w:cs="黑体"/>
          <w:b/>
          <w:bCs/>
          <w:color w:val="1B3A6B"/>
          <w:spacing w:val="300"/>
          <w:sz w:val="64"/>
          <w:szCs w:val="64"/>
        </w:rPr>
        <w:t>企业数字化转型</w:t>
      </w:r>
    </w:p>
    <w:p w14:paraId="66470F6A">
      <w:pPr>
        <w:spacing w:before="0" w:after="400"/>
        <w:jc w:val="center"/>
      </w:pPr>
      <w:r>
        <w:rPr>
          <w:rFonts w:ascii="黑体" w:hAnsi="黑体" w:eastAsia="黑体" w:cs="黑体"/>
          <w:b/>
          <w:bCs/>
          <w:color w:val="2E5FA3"/>
          <w:spacing w:val="400"/>
          <w:sz w:val="52"/>
          <w:szCs w:val="52"/>
        </w:rPr>
        <w:t>战略规划报告</w:t>
      </w:r>
    </w:p>
    <w:p w14:paraId="403BE732">
      <w:pPr>
        <w:spacing w:before="0" w:after="400"/>
        <w:jc w:val="center"/>
      </w:pPr>
      <w:r>
        <w:rPr>
          <w:rFonts w:ascii="宋体" w:hAnsi="宋体" w:eastAsia="宋体" w:cs="宋体"/>
          <w:color w:val="C9A84C"/>
          <w:sz w:val="28"/>
          <w:szCs w:val="28"/>
        </w:rPr>
        <w:t>━━━━━━  ◆  ━━━━━━</w:t>
      </w:r>
    </w:p>
    <w:p w14:paraId="1A6B18EA">
      <w:pPr>
        <w:spacing w:before="0" w:after="800"/>
        <w:jc w:val="center"/>
      </w:pPr>
      <w:r>
        <w:rPr>
          <w:rFonts w:ascii="楷体" w:hAnsi="楷体" w:eastAsia="楷体" w:cs="楷体"/>
          <w:i/>
          <w:iCs/>
          <w:color w:val="4A4A6A"/>
          <w:sz w:val="28"/>
          <w:szCs w:val="28"/>
        </w:rPr>
        <w:t>面向未来的创新驱动与可持续发展路径探索</w:t>
      </w:r>
    </w:p>
    <w:tbl>
      <w:tblPr>
        <w:tblStyle w:val="14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7598B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C64B289">
            <w:pPr>
              <w:jc w:val="right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编制单位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3984584">
            <w:r>
              <w:rPr>
                <w:rFonts w:ascii="宋体" w:hAnsi="宋体" w:eastAsia="宋体" w:cs="宋体"/>
                <w:color w:val="1A1A2E"/>
                <w:sz w:val="22"/>
                <w:szCs w:val="22"/>
              </w:rPr>
              <w:t>战略发展部</w:t>
            </w:r>
          </w:p>
        </w:tc>
      </w:tr>
      <w:tr w14:paraId="7ED6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EC35DE1">
            <w:pPr>
              <w:jc w:val="right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报告版本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AE2D89E">
            <w:r>
              <w:rPr>
                <w:rFonts w:ascii="宋体" w:hAnsi="宋体" w:eastAsia="宋体" w:cs="宋体"/>
                <w:color w:val="1A1A2E"/>
                <w:sz w:val="22"/>
                <w:szCs w:val="22"/>
              </w:rPr>
              <w:t>V 2.0（正式版）</w:t>
            </w:r>
          </w:p>
        </w:tc>
      </w:tr>
      <w:tr w14:paraId="6FC0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07E878C9">
            <w:pPr>
              <w:jc w:val="right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编制日期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B6D2F9C">
            <w:r>
              <w:rPr>
                <w:rFonts w:ascii="宋体" w:hAnsi="宋体" w:eastAsia="宋体" w:cs="宋体"/>
                <w:color w:val="1A1A2E"/>
                <w:sz w:val="22"/>
                <w:szCs w:val="22"/>
              </w:rPr>
              <w:t>二〇二五年一月</w:t>
            </w:r>
          </w:p>
        </w:tc>
      </w:tr>
      <w:tr w14:paraId="1541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4814DEB4">
            <w:pPr>
              <w:jc w:val="right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密级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72B59A0A">
            <w:r>
              <w:rPr>
                <w:rFonts w:ascii="宋体" w:hAnsi="宋体" w:eastAsia="宋体" w:cs="宋体"/>
                <w:color w:val="1A1A2E"/>
                <w:sz w:val="22"/>
                <w:szCs w:val="22"/>
              </w:rPr>
              <w:t>内部资料  请勿外传</w:t>
            </w:r>
          </w:p>
        </w:tc>
      </w:tr>
    </w:tbl>
    <w:p w14:paraId="0A5AAA68">
      <w:pPr>
        <w:sectPr>
          <w:pgSz w:w="11906" w:h="16838"/>
          <w:pgMar w:top="1440" w:right="1700" w:bottom="1440" w:left="1700" w:header="708" w:footer="708" w:gutter="0"/>
          <w:cols w:space="720" w:num="1"/>
          <w:docGrid w:linePitch="360" w:charSpace="0"/>
        </w:sectPr>
      </w:pPr>
    </w:p>
    <w:p w14:paraId="083B1F4F">
      <w:pPr>
        <w:spacing w:before="0" w:after="400"/>
      </w:pPr>
    </w:p>
    <w:p w14:paraId="348D9977">
      <w:pPr>
        <w:pStyle w:val="2"/>
      </w:pPr>
      <w:bookmarkStart w:id="0" w:name="_Toc23554"/>
      <w:r>
        <w:rPr>
          <w:rFonts w:ascii="黑体" w:hAnsi="黑体" w:eastAsia="黑体" w:cs="黑体"/>
        </w:rPr>
        <w:t>目  录</w:t>
      </w:r>
      <w:bookmarkEnd w:id="0"/>
    </w:p>
    <w:p w14:paraId="5B244BF1">
      <w:pPr>
        <w:pBdr>
          <w:bottom w:val="single" w:color="C9A84C" w:sz="8" w:space="1"/>
        </w:pBdr>
        <w:spacing w:before="0" w:after="80"/>
      </w:pPr>
    </w:p>
    <w:sdt>
      <w:sdtPr>
        <w:alias w:val="目录"/>
        <w:id w:val="147475839"/>
      </w:sdtPr>
      <w:sdtContent>
        <w:p w14:paraId="4E2FA4E6">
          <w:pPr>
            <w:rPr>
              <w:rFonts w:ascii="宋体" w:hAnsi="宋体" w:eastAsia="宋体" w:cs="宋体"/>
              <w:color w:val="1A1A2E"/>
              <w:sz w:val="24"/>
              <w:szCs w:val="24"/>
            </w:rPr>
          </w:pPr>
          <w:r>
            <w:fldChar w:fldCharType="begin"/>
          </w:r>
          <w:r>
            <w:instrText xml:space="preserve">TOC \h \o "1-3" \t "Heading1,1,Heading2,2,Heading3,3"</w:instrText>
          </w:r>
          <w:r>
            <w:fldChar w:fldCharType="separate"/>
          </w:r>
        </w:p>
        <w:p w14:paraId="541251D0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_Toc23554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目  录</w:t>
          </w:r>
          <w:r>
            <w:tab/>
          </w:r>
          <w:r>
            <w:fldChar w:fldCharType="begin"/>
          </w:r>
          <w:r>
            <w:instrText xml:space="preserve"> PAGEREF _Toc23554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299D34B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_Toc24882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第一章　执行摘要</w:t>
          </w:r>
          <w:r>
            <w:tab/>
          </w:r>
          <w:r>
            <w:fldChar w:fldCharType="begin"/>
          </w:r>
          <w:r>
            <w:instrText xml:space="preserve"> PAGEREF _Toc24882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C864BF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_Toc26235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第二章　宏观环境分析</w:t>
          </w:r>
          <w:r>
            <w:tab/>
          </w:r>
          <w:r>
            <w:fldChar w:fldCharType="begin"/>
          </w:r>
          <w:r>
            <w:instrText xml:space="preserve"> PAGEREF _Toc26235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98CE06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_Toc6019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2.1　全球数字化发展态势</w:t>
          </w:r>
          <w:r>
            <w:tab/>
          </w:r>
          <w:r>
            <w:fldChar w:fldCharType="begin"/>
          </w:r>
          <w:r>
            <w:instrText xml:space="preserve"> PAGEREF _Toc6019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5E4124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_Toc878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2.2　国内政策环境</w:t>
          </w:r>
          <w:r>
            <w:tab/>
          </w:r>
          <w:r>
            <w:fldChar w:fldCharType="begin"/>
          </w:r>
          <w:r>
            <w:instrText xml:space="preserve"> PAGEREF _Toc878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E6ED73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第三章　战略框架与核心路径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8769DF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_Toc25745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3.1　战略总体框架</w:t>
          </w:r>
          <w:r>
            <w:tab/>
          </w:r>
          <w:r>
            <w:fldChar w:fldCharType="begin"/>
          </w:r>
          <w:r>
            <w:instrText xml:space="preserve"> PAGEREF _Toc25745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DB3E02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_Toc16826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3.2　五大核心能力建设</w:t>
          </w:r>
          <w:r>
            <w:tab/>
          </w:r>
          <w:r>
            <w:fldChar w:fldCharType="begin"/>
          </w:r>
          <w:r>
            <w:instrText xml:space="preserve"> PAGEREF _Toc16826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DFA7B6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_Toc31903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第四章　实施路线图</w:t>
          </w:r>
          <w:r>
            <w:tab/>
          </w:r>
          <w:r>
            <w:fldChar w:fldCharType="begin"/>
          </w:r>
          <w:r>
            <w:instrText xml:space="preserve"> PAGEREF _Toc31903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5D3C2B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_Toc15038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4.1　三阶段推进计划</w:t>
          </w:r>
          <w:r>
            <w:tab/>
          </w:r>
          <w:r>
            <w:fldChar w:fldCharType="begin"/>
          </w:r>
          <w:r>
            <w:instrText xml:space="preserve"> PAGEREF _Toc15038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477CE3">
          <w:pPr>
            <w:pStyle w:val="8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_Toc16936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第一阶段：2025年（夯基固本）</w:t>
          </w:r>
          <w:r>
            <w:tab/>
          </w:r>
          <w:r>
            <w:fldChar w:fldCharType="begin"/>
          </w:r>
          <w:r>
            <w:instrText xml:space="preserve"> PAGEREF _Toc16936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4FA896">
          <w:pPr>
            <w:pStyle w:val="8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_Toc31752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第二阶段：2026～2027年（扩面深化）</w:t>
          </w:r>
          <w:r>
            <w:tab/>
          </w:r>
          <w:r>
            <w:fldChar w:fldCharType="begin"/>
          </w:r>
          <w:r>
            <w:instrText xml:space="preserve"> PAGEREF _Toc31752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846B96">
          <w:pPr>
            <w:pStyle w:val="8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_Toc24001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第三阶段：2028～2030年（创新引领）</w:t>
          </w:r>
          <w:r>
            <w:tab/>
          </w:r>
          <w:r>
            <w:fldChar w:fldCharType="begin"/>
          </w:r>
          <w:r>
            <w:instrText xml:space="preserve"> PAGEREF _Toc24001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41C893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_Toc19316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第五章　风险管控与保障措施</w:t>
          </w:r>
          <w:r>
            <w:tab/>
          </w:r>
          <w:r>
            <w:fldChar w:fldCharType="begin"/>
          </w:r>
          <w:r>
            <w:instrText xml:space="preserve"> PAGEREF _Toc19316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7FDA7D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_Toc18165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5.1　主要风险识别</w:t>
          </w:r>
          <w:r>
            <w:tab/>
          </w:r>
          <w:r>
            <w:fldChar w:fldCharType="begin"/>
          </w:r>
          <w:r>
            <w:instrText xml:space="preserve"> PAGEREF _Toc18165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5E13F7">
          <w:pPr>
            <w:pStyle w:val="12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_Toc20252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5.2　保障措施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72642C">
          <w:pPr>
            <w:pStyle w:val="10"/>
            <w:tabs>
              <w:tab w:val="right" w:leader="dot" w:pos="8506"/>
            </w:tabs>
          </w:pPr>
          <w:r>
            <w:fldChar w:fldCharType="begin"/>
          </w:r>
          <w:r>
            <w:instrText xml:space="preserve"> HYPERLINK \l _Toc11608 </w:instrText>
          </w:r>
          <w:r>
            <w:fldChar w:fldCharType="separate"/>
          </w:r>
          <w:r>
            <w:rPr>
              <w:rFonts w:ascii="黑体" w:hAnsi="黑体" w:eastAsia="黑体" w:cs="黑体"/>
            </w:rPr>
            <w:t>结　语</w:t>
          </w:r>
          <w:r>
            <w:tab/>
          </w:r>
          <w:r>
            <w:fldChar w:fldCharType="begin"/>
          </w:r>
          <w:r>
            <w:instrText xml:space="preserve"> PAGEREF _Toc11608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F4CBDE">
          <w:r>
            <w:fldChar w:fldCharType="end"/>
          </w:r>
        </w:p>
      </w:sdtContent>
    </w:sdt>
    <w:p w14:paraId="7C340F52">
      <w:pPr>
        <w:spacing w:before="0" w:after="240"/>
      </w:pPr>
      <w:bookmarkStart w:id="17" w:name="_GoBack"/>
      <w:bookmarkEnd w:id="17"/>
    </w:p>
    <w:p w14:paraId="1A89E868">
      <w:pPr>
        <w:pStyle w:val="2"/>
      </w:pPr>
      <w:bookmarkStart w:id="1" w:name="_Toc24882"/>
      <w:r>
        <w:rPr>
          <w:rFonts w:ascii="黑体" w:hAnsi="黑体" w:eastAsia="黑体" w:cs="黑体"/>
        </w:rPr>
        <w:t>第一章　执行摘要</w:t>
      </w:r>
      <w:bookmarkEnd w:id="1"/>
    </w:p>
    <w:p w14:paraId="4FCAC4A1">
      <w:pPr>
        <w:pBdr>
          <w:bottom w:val="single" w:color="C9A84C" w:sz="8" w:space="1"/>
        </w:pBdr>
        <w:spacing w:before="0" w:after="80"/>
      </w:pPr>
    </w:p>
    <w:p w14:paraId="1AAD4BFF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当前，数字技术正以前所未有的速度重塑全球商业格局。人工智能、云计算、大数据与物联网的深度融合，催生了全新的商业模式和竞争逻辑。传统企业面临的不再是简单的技术升级，而是涉及战略思维、组织架构、人才结构和文化生态的系统性变革。</w:t>
      </w:r>
    </w:p>
    <w:p w14:paraId="1CCB0F11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本报告基于对行业趋势的深入研究和对标杆企业实践的系统梳理，提出了一套完整的数字化转型战略框架。报告认为，成功的数字化转型必须以客户价值创造为核心，以数据资产运营为引擎，以敏捷组织建设为支撑，方能实现可持续的竞争优势。</w:t>
      </w:r>
    </w:p>
    <w:p w14:paraId="08A54ED8">
      <w:pPr>
        <w:spacing w:before="0" w:after="12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626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B3A6B" w:sz="6" w:space="0"/>
              <w:left w:val="single" w:color="C9A84C" w:sz="18" w:space="0"/>
              <w:bottom w:val="single" w:color="1B3A6B" w:sz="6" w:space="0"/>
              <w:right w:val="nil"/>
            </w:tcBorders>
            <w:shd w:val="clear" w:color="auto" w:fill="EBF2FB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38FF4DA">
            <w:pPr>
              <w:spacing w:before="80" w:after="120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4"/>
                <w:szCs w:val="24"/>
              </w:rPr>
              <w:t>核心发现</w:t>
            </w:r>
          </w:p>
          <w:p w14:paraId="0CD8D45A">
            <w:pPr>
              <w:pStyle w:val="19"/>
              <w:numPr>
                <w:ilvl w:val="0"/>
                <w:numId w:val="1"/>
              </w:numPr>
              <w:spacing w:before="60" w:after="60" w:line="340" w:lineRule="auto"/>
              <w:ind w:left="480" w:hanging="240"/>
              <w:jc w:val="both"/>
            </w:pPr>
            <w:r>
              <w:rPr>
                <w:rFonts w:ascii="宋体" w:hAnsi="宋体" w:eastAsia="宋体" w:cs="宋体"/>
                <w:color w:val="1A1A2E"/>
                <w:sz w:val="24"/>
                <w:szCs w:val="24"/>
              </w:rPr>
              <w:t>数字化转型的本质是以数据为驱动的商业模式重构，而非单纯的技术投入；</w:t>
            </w:r>
          </w:p>
          <w:p w14:paraId="1122BDC7">
            <w:pPr>
              <w:pStyle w:val="19"/>
              <w:numPr>
                <w:ilvl w:val="0"/>
                <w:numId w:val="1"/>
              </w:numPr>
              <w:spacing w:before="60" w:after="60" w:line="340" w:lineRule="auto"/>
              <w:ind w:left="480" w:hanging="240"/>
              <w:jc w:val="both"/>
            </w:pPr>
            <w:r>
              <w:rPr>
                <w:rFonts w:ascii="宋体" w:hAnsi="宋体" w:eastAsia="宋体" w:cs="宋体"/>
                <w:color w:val="1A1A2E"/>
                <w:sz w:val="24"/>
                <w:szCs w:val="24"/>
              </w:rPr>
              <w:t>领先企业普遍将【客户体验数字化】列为首要优先级，占比超过 78%；</w:t>
            </w:r>
          </w:p>
          <w:p w14:paraId="3199B2CB">
            <w:pPr>
              <w:pStyle w:val="19"/>
              <w:numPr>
                <w:ilvl w:val="0"/>
                <w:numId w:val="1"/>
              </w:numPr>
              <w:spacing w:before="60" w:after="60" w:line="340" w:lineRule="auto"/>
              <w:ind w:left="480" w:hanging="240"/>
              <w:jc w:val="both"/>
            </w:pPr>
            <w:r>
              <w:rPr>
                <w:rFonts w:ascii="宋体" w:hAnsi="宋体" w:eastAsia="宋体" w:cs="宋体"/>
                <w:color w:val="1A1A2E"/>
                <w:sz w:val="24"/>
                <w:szCs w:val="24"/>
              </w:rPr>
              <w:t>组织敏捷性与人才数字化能力是决定转型成败的关键非技术因素；</w:t>
            </w:r>
          </w:p>
          <w:p w14:paraId="6DB757E3">
            <w:pPr>
              <w:pStyle w:val="19"/>
              <w:numPr>
                <w:ilvl w:val="0"/>
                <w:numId w:val="1"/>
              </w:numPr>
              <w:spacing w:before="60" w:after="60" w:line="340" w:lineRule="auto"/>
              <w:ind w:left="480" w:hanging="240"/>
              <w:jc w:val="both"/>
            </w:pPr>
            <w:r>
              <w:rPr>
                <w:rFonts w:ascii="宋体" w:hAnsi="宋体" w:eastAsia="宋体" w:cs="宋体"/>
                <w:color w:val="1A1A2E"/>
                <w:sz w:val="24"/>
                <w:szCs w:val="24"/>
              </w:rPr>
              <w:t>建立数字化生态联盟，可将转型效率提升 40%～60%。</w:t>
            </w:r>
          </w:p>
        </w:tc>
      </w:tr>
    </w:tbl>
    <w:p w14:paraId="61C40005">
      <w:pPr>
        <w:spacing w:before="0" w:after="320"/>
      </w:pPr>
    </w:p>
    <w:p w14:paraId="094E142E">
      <w:pPr>
        <w:pStyle w:val="2"/>
      </w:pPr>
      <w:bookmarkStart w:id="2" w:name="_Toc26235"/>
      <w:r>
        <w:rPr>
          <w:rFonts w:ascii="黑体" w:hAnsi="黑体" w:eastAsia="黑体" w:cs="黑体"/>
        </w:rPr>
        <w:t>第二章　宏观环境分析</w:t>
      </w:r>
      <w:bookmarkEnd w:id="2"/>
    </w:p>
    <w:p w14:paraId="49C7E79D">
      <w:pPr>
        <w:pBdr>
          <w:bottom w:val="single" w:color="C9A84C" w:sz="8" w:space="1"/>
        </w:pBdr>
        <w:spacing w:before="0" w:after="80"/>
      </w:pPr>
    </w:p>
    <w:p w14:paraId="0FBD31F9">
      <w:pPr>
        <w:pStyle w:val="3"/>
      </w:pPr>
      <w:bookmarkStart w:id="3" w:name="_Toc6019"/>
      <w:r>
        <w:rPr>
          <w:rFonts w:ascii="黑体" w:hAnsi="黑体" w:eastAsia="黑体" w:cs="黑体"/>
        </w:rPr>
        <w:t>2.1　全球数字化发展态势</w:t>
      </w:r>
      <w:bookmarkEnd w:id="3"/>
    </w:p>
    <w:p w14:paraId="4095DA1C">
      <w:pPr>
        <w:pBdr>
          <w:bottom w:val="single" w:color="CBD8EA" w:sz="2" w:space="1"/>
        </w:pBdr>
        <w:spacing w:before="80" w:after="80"/>
      </w:pPr>
    </w:p>
    <w:p w14:paraId="3602A5CE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根据国际数据公司（IDC）最新报告，2024年全球数字化转型支出将突破 3.4 万亿美元，年均复合增长率维持在 16.3% 以上。亚太地区作为最具活力的数字经济增长极，贡献了全球约三分之一的增量。</w:t>
      </w:r>
    </w:p>
    <w:p w14:paraId="48672F8D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数字技术的渗透已从互联网、移动互联网向产业互联网全面延伸，工业互联网、智能制造、数字农业等领域正迎来爆发式增长。</w:t>
      </w:r>
    </w:p>
    <w:p w14:paraId="277D9250">
      <w:pPr>
        <w:spacing w:before="0" w:after="120"/>
      </w:pPr>
    </w:p>
    <w:p w14:paraId="6DE89F32">
      <w:pPr>
        <w:pStyle w:val="3"/>
      </w:pPr>
      <w:bookmarkStart w:id="4" w:name="_Toc878"/>
      <w:r>
        <w:rPr>
          <w:rFonts w:ascii="黑体" w:hAnsi="黑体" w:eastAsia="黑体" w:cs="黑体"/>
        </w:rPr>
        <w:t>2.2　国内政策环境</w:t>
      </w:r>
      <w:bookmarkEnd w:id="4"/>
    </w:p>
    <w:p w14:paraId="4665CFFD">
      <w:pPr>
        <w:pBdr>
          <w:bottom w:val="single" w:color="CBD8EA" w:sz="2" w:space="1"/>
        </w:pBdr>
        <w:spacing w:before="80" w:after="80"/>
      </w:pPr>
    </w:p>
    <w:p w14:paraId="0A1AD9B7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国家【十四五】规划明确将数字经济作为重点发展方向，提出到2025年数字经济核心产业增加值占GDP比重达到10%。各部委相继出台配套支持政策，构建了完善的顶层设计框架。</w:t>
      </w:r>
    </w:p>
    <w:p w14:paraId="2B7A6DFB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《数字中国建设整体布局规划》明确【2522】的整体框架；</w:t>
      </w:r>
    </w:p>
    <w:p w14:paraId="4E77115F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工业和信息化部印发《中小企业数字化转型指南》，提供精准政策支持；</w:t>
      </w:r>
    </w:p>
    <w:p w14:paraId="1D94829C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财政部设立数字化转型专项基金，累计规模超过500亿元；</w:t>
      </w:r>
    </w:p>
    <w:p w14:paraId="0ECB99EB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各地方政府跟进出台落地实施细则，形成政策合力。</w:t>
      </w:r>
    </w:p>
    <w:p w14:paraId="3F35CA87">
      <w:pPr>
        <w:spacing w:before="0" w:after="320"/>
      </w:pPr>
    </w:p>
    <w:p w14:paraId="4F04FEFD">
      <w:pPr>
        <w:pStyle w:val="2"/>
      </w:pPr>
      <w:bookmarkStart w:id="5" w:name="_Toc15766"/>
      <w:r>
        <w:rPr>
          <w:rFonts w:ascii="黑体" w:hAnsi="黑体" w:eastAsia="黑体" w:cs="黑体"/>
        </w:rPr>
        <w:t>第三章　战略框架与核心路径</w:t>
      </w:r>
      <w:bookmarkEnd w:id="5"/>
    </w:p>
    <w:p w14:paraId="79D69488">
      <w:pPr>
        <w:pBdr>
          <w:bottom w:val="single" w:color="C9A84C" w:sz="8" w:space="1"/>
        </w:pBdr>
        <w:spacing w:before="0" w:after="80"/>
      </w:pPr>
    </w:p>
    <w:p w14:paraId="5D760B7E">
      <w:pPr>
        <w:pStyle w:val="3"/>
      </w:pPr>
      <w:bookmarkStart w:id="6" w:name="_Toc25745"/>
      <w:r>
        <w:rPr>
          <w:rFonts w:ascii="黑体" w:hAnsi="黑体" w:eastAsia="黑体" w:cs="黑体"/>
        </w:rPr>
        <w:t>3.1　战略总体框架</w:t>
      </w:r>
      <w:bookmarkEnd w:id="6"/>
    </w:p>
    <w:p w14:paraId="457D3F27">
      <w:pPr>
        <w:pBdr>
          <w:bottom w:val="single" w:color="CBD8EA" w:sz="2" w:space="1"/>
        </w:pBdr>
        <w:spacing w:before="80" w:after="80"/>
      </w:pPr>
    </w:p>
    <w:p w14:paraId="5E12420C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本报告构建的数字化转型战略框架由三个相互支撑的层次组成：战略引领层、能力建设层和价值实现层。三者形成【以战略定方向、以能力保落地、以价值促迭代】的良性循环。</w:t>
      </w:r>
    </w:p>
    <w:p w14:paraId="63882ED1">
      <w:pPr>
        <w:spacing w:before="0" w:after="120"/>
      </w:pPr>
    </w:p>
    <w:p w14:paraId="4956AA5F">
      <w:pPr>
        <w:pStyle w:val="3"/>
      </w:pPr>
      <w:bookmarkStart w:id="7" w:name="_Toc16826"/>
      <w:r>
        <w:rPr>
          <w:rFonts w:ascii="黑体" w:hAnsi="黑体" w:eastAsia="黑体" w:cs="黑体"/>
        </w:rPr>
        <w:t>3.2　五大核心能力建设</w:t>
      </w:r>
      <w:bookmarkEnd w:id="7"/>
    </w:p>
    <w:p w14:paraId="08EF5649">
      <w:pPr>
        <w:pBdr>
          <w:bottom w:val="single" w:color="CBD8EA" w:sz="2" w:space="1"/>
        </w:pBdr>
        <w:spacing w:before="80" w:after="80"/>
      </w:pPr>
    </w:p>
    <w:p w14:paraId="13303C7D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结合大量行业实践，我们将数字化转型的核心能力归纳为以下五个维度，企业需在各维度实现均衡发展，方可形成完整的数字化竞争力：</w:t>
      </w:r>
    </w:p>
    <w:p w14:paraId="4865DD6B">
      <w:pPr>
        <w:spacing w:before="0" w:after="8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4526"/>
        <w:gridCol w:w="1800"/>
      </w:tblGrid>
      <w:tr w14:paraId="40F5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3BED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20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8EDB9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能力维度</w:t>
            </w:r>
          </w:p>
        </w:tc>
        <w:tc>
          <w:tcPr>
            <w:tcW w:w="4526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BFDA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核心内涵</w:t>
            </w:r>
          </w:p>
        </w:tc>
        <w:tc>
          <w:tcPr>
            <w:tcW w:w="180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FDA1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color w:val="FFFFFF"/>
                <w:sz w:val="22"/>
                <w:szCs w:val="22"/>
              </w:rPr>
              <w:t>成熟度目标</w:t>
            </w:r>
          </w:p>
        </w:tc>
      </w:tr>
      <w:tr w14:paraId="1C78B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928F4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01</w:t>
            </w:r>
          </w:p>
        </w:tc>
        <w:tc>
          <w:tcPr>
            <w:tcW w:w="20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529B7">
            <w:pPr>
              <w:jc w:val="left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1"/>
                <w:szCs w:val="21"/>
              </w:rPr>
              <w:t>数据资产运营</w:t>
            </w:r>
          </w:p>
        </w:tc>
        <w:tc>
          <w:tcPr>
            <w:tcW w:w="4526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DB0B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构建企业统一数据平台，实现数据采集、治理、分析与应用的全链路贯通</w:t>
            </w:r>
          </w:p>
        </w:tc>
        <w:tc>
          <w:tcPr>
            <w:tcW w:w="18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6B3F5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Level 4 – 数据驱动决策</w:t>
            </w:r>
          </w:p>
        </w:tc>
      </w:tr>
      <w:tr w14:paraId="22D52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AE7B6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02</w:t>
            </w:r>
          </w:p>
        </w:tc>
        <w:tc>
          <w:tcPr>
            <w:tcW w:w="20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B285D">
            <w:pPr>
              <w:jc w:val="left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1"/>
                <w:szCs w:val="21"/>
              </w:rPr>
              <w:t>客户体验数字化</w:t>
            </w:r>
          </w:p>
        </w:tc>
        <w:tc>
          <w:tcPr>
            <w:tcW w:w="4526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B25CB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以客户旅程为核心，打造全渠道一致、个性化的数字化服务体验</w:t>
            </w:r>
          </w:p>
        </w:tc>
        <w:tc>
          <w:tcPr>
            <w:tcW w:w="18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347B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Level 4 – 个性化体验</w:t>
            </w:r>
          </w:p>
        </w:tc>
      </w:tr>
      <w:tr w14:paraId="44CA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C34C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03</w:t>
            </w:r>
          </w:p>
        </w:tc>
        <w:tc>
          <w:tcPr>
            <w:tcW w:w="20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C1677">
            <w:pPr>
              <w:jc w:val="left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1"/>
                <w:szCs w:val="21"/>
              </w:rPr>
              <w:t>智能运营优化</w:t>
            </w:r>
          </w:p>
        </w:tc>
        <w:tc>
          <w:tcPr>
            <w:tcW w:w="4526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B529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引入AI与自动化技术，实现核心业务流程的智能化改造与效率提升</w:t>
            </w:r>
          </w:p>
        </w:tc>
        <w:tc>
          <w:tcPr>
            <w:tcW w:w="18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7CFE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Level 3 – 流程自动化</w:t>
            </w:r>
          </w:p>
        </w:tc>
      </w:tr>
      <w:tr w14:paraId="31D53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72682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04</w:t>
            </w:r>
          </w:p>
        </w:tc>
        <w:tc>
          <w:tcPr>
            <w:tcW w:w="20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914EE">
            <w:pPr>
              <w:jc w:val="left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1"/>
                <w:szCs w:val="21"/>
              </w:rPr>
              <w:t>生态协同创新</w:t>
            </w:r>
          </w:p>
        </w:tc>
        <w:tc>
          <w:tcPr>
            <w:tcW w:w="4526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FF82D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构建开放平台与合作伙伴网络，形成数字化产业生态圈</w:t>
            </w:r>
          </w:p>
        </w:tc>
        <w:tc>
          <w:tcPr>
            <w:tcW w:w="18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EBF2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037A2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Level 3 – 生态共创</w:t>
            </w:r>
          </w:p>
        </w:tc>
      </w:tr>
      <w:tr w14:paraId="306C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4847B">
            <w:pPr>
              <w:jc w:val="center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05</w:t>
            </w:r>
          </w:p>
        </w:tc>
        <w:tc>
          <w:tcPr>
            <w:tcW w:w="20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D07CF">
            <w:pPr>
              <w:jc w:val="left"/>
            </w:pPr>
            <w:r>
              <w:rPr>
                <w:rFonts w:ascii="黑体" w:hAnsi="黑体" w:eastAsia="黑体" w:cs="黑体"/>
                <w:b/>
                <w:bCs/>
                <w:color w:val="1B3A6B"/>
                <w:sz w:val="21"/>
                <w:szCs w:val="21"/>
              </w:rPr>
              <w:t>数字化组织韧性</w:t>
            </w:r>
          </w:p>
        </w:tc>
        <w:tc>
          <w:tcPr>
            <w:tcW w:w="4526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352CC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打造敏捷组织文化，提升数字化人才密度与组织学习迭代能力</w:t>
            </w:r>
          </w:p>
        </w:tc>
        <w:tc>
          <w:tcPr>
            <w:tcW w:w="1800" w:type="dxa"/>
            <w:tcBorders>
              <w:top w:val="single" w:color="CBD8EA" w:sz="0" w:space="0"/>
              <w:left w:val="single" w:color="CBD8EA" w:sz="0" w:space="0"/>
              <w:bottom w:val="single" w:color="CBD8EA" w:sz="0" w:space="0"/>
              <w:right w:val="single" w:color="CBD8EA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41356">
            <w:pPr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color w:val="1A1A2E"/>
                <w:sz w:val="21"/>
                <w:szCs w:val="21"/>
              </w:rPr>
              <w:t>Level 3 – 敏捷组织</w:t>
            </w:r>
          </w:p>
        </w:tc>
      </w:tr>
    </w:tbl>
    <w:p w14:paraId="570CA30D">
      <w:pPr>
        <w:spacing w:before="0" w:after="320"/>
      </w:pPr>
    </w:p>
    <w:p w14:paraId="4ECF7BE8">
      <w:pPr>
        <w:pStyle w:val="2"/>
      </w:pPr>
      <w:bookmarkStart w:id="8" w:name="_Toc31903"/>
      <w:r>
        <w:rPr>
          <w:rFonts w:ascii="黑体" w:hAnsi="黑体" w:eastAsia="黑体" w:cs="黑体"/>
        </w:rPr>
        <w:t>第四章　实施路线图</w:t>
      </w:r>
      <w:bookmarkEnd w:id="8"/>
    </w:p>
    <w:p w14:paraId="3BB86FF0">
      <w:pPr>
        <w:pBdr>
          <w:bottom w:val="single" w:color="C9A84C" w:sz="8" w:space="1"/>
        </w:pBdr>
        <w:spacing w:before="0" w:after="80"/>
      </w:pPr>
    </w:p>
    <w:p w14:paraId="14AA6FAD">
      <w:pPr>
        <w:pStyle w:val="3"/>
      </w:pPr>
      <w:bookmarkStart w:id="9" w:name="_Toc15038"/>
      <w:r>
        <w:rPr>
          <w:rFonts w:ascii="黑体" w:hAnsi="黑体" w:eastAsia="黑体" w:cs="黑体"/>
        </w:rPr>
        <w:t>4.1　三阶段推进计划</w:t>
      </w:r>
      <w:bookmarkEnd w:id="9"/>
    </w:p>
    <w:p w14:paraId="2964A24B">
      <w:pPr>
        <w:pBdr>
          <w:bottom w:val="single" w:color="CBD8EA" w:sz="2" w:space="1"/>
        </w:pBdr>
        <w:spacing w:before="80" w:after="80"/>
      </w:pPr>
    </w:p>
    <w:p w14:paraId="4B9899FD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根据战略目标和现实条件，数字化转型建议采取【三步走【渐进式推进策略，各阶段目标清晰，确保转型节奏有序可控。</w:t>
      </w:r>
    </w:p>
    <w:p w14:paraId="1152E79C">
      <w:pPr>
        <w:spacing w:before="0" w:after="120"/>
      </w:pPr>
    </w:p>
    <w:p w14:paraId="6637C6BE">
      <w:pPr>
        <w:pStyle w:val="4"/>
      </w:pPr>
      <w:bookmarkStart w:id="10" w:name="_Toc16936"/>
      <w:r>
        <w:rPr>
          <w:rFonts w:ascii="黑体" w:hAnsi="黑体" w:eastAsia="黑体" w:cs="黑体"/>
          <w:color w:val="2E5FA3"/>
        </w:rPr>
        <w:t>第一阶段：2025年（夯基固本）</w:t>
      </w:r>
      <w:bookmarkEnd w:id="10"/>
    </w:p>
    <w:p w14:paraId="7C674BD8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完成核心数据平台建设，打通数据孤岛；</w:t>
      </w:r>
    </w:p>
    <w:p w14:paraId="456663A2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启动2～3个数字化标杆项目，积累转型经验；</w:t>
      </w:r>
    </w:p>
    <w:p w14:paraId="28C939A2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建立数字化人才培养体系，完成200人核心团队储备。</w:t>
      </w:r>
    </w:p>
    <w:p w14:paraId="409FEAC3">
      <w:pPr>
        <w:spacing w:before="0" w:after="120"/>
      </w:pPr>
    </w:p>
    <w:p w14:paraId="3AD095DA">
      <w:pPr>
        <w:pStyle w:val="4"/>
      </w:pPr>
      <w:bookmarkStart w:id="11" w:name="_Toc31752"/>
      <w:r>
        <w:rPr>
          <w:rFonts w:ascii="黑体" w:hAnsi="黑体" w:eastAsia="黑体" w:cs="黑体"/>
          <w:color w:val="4A7FC1"/>
        </w:rPr>
        <w:t>第二阶段：2026～2027年（扩面深化）</w:t>
      </w:r>
      <w:bookmarkEnd w:id="11"/>
    </w:p>
    <w:p w14:paraId="1A6D9502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推进全业务域数字化覆盖，核心流程自动化率达到60%；</w:t>
      </w:r>
    </w:p>
    <w:p w14:paraId="6A9B7CBC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上线AI辅助决策系统，在营销、供应链等关键领域应用落地；</w:t>
      </w:r>
    </w:p>
    <w:p w14:paraId="78A81710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构建初步的生态合作伙伴网络，接入30家以上战略合作方。</w:t>
      </w:r>
    </w:p>
    <w:p w14:paraId="78D68E32">
      <w:pPr>
        <w:spacing w:before="0" w:after="120"/>
      </w:pPr>
    </w:p>
    <w:p w14:paraId="771F8E55">
      <w:pPr>
        <w:pStyle w:val="4"/>
      </w:pPr>
      <w:bookmarkStart w:id="12" w:name="_Toc24001"/>
      <w:r>
        <w:rPr>
          <w:rFonts w:ascii="黑体" w:hAnsi="黑体" w:eastAsia="黑体" w:cs="黑体"/>
          <w:color w:val="1B3A6B"/>
        </w:rPr>
        <w:t>第三阶段：2028～2030年（创新引领）</w:t>
      </w:r>
      <w:bookmarkEnd w:id="12"/>
    </w:p>
    <w:p w14:paraId="05D9EC45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建成行业领先的数字化平台，向外输出数字化能力；</w:t>
      </w:r>
    </w:p>
    <w:p w14:paraId="182A7671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数字业务收入贡献比例超过40%，形成稳定增长极；</w:t>
      </w:r>
    </w:p>
    <w:p w14:paraId="3830312A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打造具有行业影响力的数字生态圈，成为行业数字化标杆。</w:t>
      </w:r>
    </w:p>
    <w:p w14:paraId="319E4B95">
      <w:pPr>
        <w:spacing w:before="0" w:after="120"/>
      </w:pPr>
    </w:p>
    <w:p w14:paraId="32212A4D">
      <w:pPr>
        <w:spacing w:before="0" w:after="160"/>
      </w:pPr>
    </w:p>
    <w:p w14:paraId="54CB9B00">
      <w:pPr>
        <w:pStyle w:val="2"/>
      </w:pPr>
      <w:bookmarkStart w:id="13" w:name="_Toc19316"/>
      <w:r>
        <w:rPr>
          <w:rFonts w:ascii="黑体" w:hAnsi="黑体" w:eastAsia="黑体" w:cs="黑体"/>
        </w:rPr>
        <w:t>第五章　风险管控与保障措施</w:t>
      </w:r>
      <w:bookmarkEnd w:id="13"/>
    </w:p>
    <w:p w14:paraId="4CF5EEA8">
      <w:pPr>
        <w:pBdr>
          <w:bottom w:val="single" w:color="C9A84C" w:sz="8" w:space="1"/>
        </w:pBdr>
        <w:spacing w:before="0" w:after="80"/>
      </w:pPr>
    </w:p>
    <w:p w14:paraId="0951E88D">
      <w:pPr>
        <w:pStyle w:val="3"/>
      </w:pPr>
      <w:bookmarkStart w:id="14" w:name="_Toc18165"/>
      <w:r>
        <w:rPr>
          <w:rFonts w:ascii="黑体" w:hAnsi="黑体" w:eastAsia="黑体" w:cs="黑体"/>
        </w:rPr>
        <w:t>5.1　主要风险识别</w:t>
      </w:r>
      <w:bookmarkEnd w:id="14"/>
    </w:p>
    <w:p w14:paraId="69F8DB64">
      <w:pPr>
        <w:pBdr>
          <w:bottom w:val="single" w:color="CBD8EA" w:sz="2" w:space="1"/>
        </w:pBdr>
        <w:spacing w:before="80" w:after="80"/>
      </w:pPr>
    </w:p>
    <w:p w14:paraId="42D6D20A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数字化转型是高度复杂的系统工程，在推进过程中不可避免地面临多维度风险。科学的风险识别与前置应对机制是转型成功的重要保障。主要风险包括：</w:t>
      </w:r>
    </w:p>
    <w:p w14:paraId="032E04AD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技术风险：新技术成熟度不足、系统集成复杂度超预期、数据安全威胁持续演变；</w:t>
      </w:r>
    </w:p>
    <w:p w14:paraId="65BA5FDE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组织风险：变革阻力较大、关键人才流失、新旧能力断层；</w:t>
      </w:r>
    </w:p>
    <w:p w14:paraId="42AD9161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市场风险：数字化投入产出周期较长、竞争格局快速变化；</w:t>
      </w:r>
    </w:p>
    <w:p w14:paraId="1E96038E">
      <w:pPr>
        <w:pStyle w:val="19"/>
        <w:numPr>
          <w:ilvl w:val="0"/>
          <w:numId w:val="1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合规风险：数据隐私法规趋严、平台经济监管政策调整。</w:t>
      </w:r>
    </w:p>
    <w:p w14:paraId="644C03F7">
      <w:pPr>
        <w:spacing w:before="0" w:after="120"/>
      </w:pPr>
    </w:p>
    <w:p w14:paraId="0DC55B72">
      <w:pPr>
        <w:pStyle w:val="3"/>
      </w:pPr>
      <w:bookmarkStart w:id="15" w:name="_Toc20252"/>
      <w:r>
        <w:rPr>
          <w:rFonts w:ascii="黑体" w:hAnsi="黑体" w:eastAsia="黑体" w:cs="黑体"/>
        </w:rPr>
        <w:t>5.2　保障措施</w:t>
      </w:r>
      <w:bookmarkEnd w:id="15"/>
    </w:p>
    <w:p w14:paraId="7A3DA678">
      <w:pPr>
        <w:pBdr>
          <w:bottom w:val="single" w:color="CBD8EA" w:sz="2" w:space="1"/>
        </w:pBdr>
        <w:spacing w:before="80" w:after="80"/>
      </w:pPr>
    </w:p>
    <w:p w14:paraId="75CD5DC1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为有效管控上述风险，确保战略目标如期实现，建议从以下四个维度构建转型保障体系：</w:t>
      </w:r>
    </w:p>
    <w:p w14:paraId="53738211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治理保障：设立数字化转型领导小组，由董事长牵头，建立月度例会和专项汇报机制；</w:t>
      </w:r>
    </w:p>
    <w:p w14:paraId="65E51A5F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资源保障：设立专项转型预算，保障三年累计投入不低于年营收的3%；</w:t>
      </w:r>
    </w:p>
    <w:p w14:paraId="03281AB3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人才保障：实施【外部引进＋内部培养【双轨并行策略，建设数字化人才梯队；</w:t>
      </w:r>
    </w:p>
    <w:p w14:paraId="175D32B8">
      <w:pPr>
        <w:pStyle w:val="19"/>
        <w:numPr>
          <w:ilvl w:val="0"/>
          <w:numId w:val="2"/>
        </w:numPr>
        <w:spacing w:before="60" w:after="60" w:line="340" w:lineRule="auto"/>
        <w:ind w:left="480" w:hanging="24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文化保障：将数字化思维纳入企业价值观体系，倡导数据驱动、快速迭代的创新文化。</w:t>
      </w:r>
    </w:p>
    <w:p w14:paraId="4485C2C7">
      <w:pPr>
        <w:spacing w:before="0" w:after="320"/>
      </w:pPr>
    </w:p>
    <w:p w14:paraId="642E45C0">
      <w:pPr>
        <w:pStyle w:val="2"/>
      </w:pPr>
      <w:bookmarkStart w:id="16" w:name="_Toc11608"/>
      <w:r>
        <w:rPr>
          <w:rFonts w:ascii="黑体" w:hAnsi="黑体" w:eastAsia="黑体" w:cs="黑体"/>
        </w:rPr>
        <w:t>结　语</w:t>
      </w:r>
      <w:bookmarkEnd w:id="16"/>
    </w:p>
    <w:p w14:paraId="74CBD5FB">
      <w:pPr>
        <w:pBdr>
          <w:bottom w:val="single" w:color="C9A84C" w:sz="8" w:space="1"/>
        </w:pBdr>
        <w:spacing w:before="0" w:after="80"/>
      </w:pPr>
    </w:p>
    <w:p w14:paraId="1AD2DBB7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数字化转型不是一道选择题，而是一道必答题。面对技术浪潮的汹涌而至，企业领导者需要保持战略定力，既不能因循守旧、丧失转型先机，也不能贸然冒进、忽视组织承载力。</w:t>
      </w:r>
    </w:p>
    <w:p w14:paraId="213E03D3">
      <w:pPr>
        <w:spacing w:before="80" w:after="160" w:line="360" w:lineRule="auto"/>
        <w:ind w:firstLine="480"/>
        <w:jc w:val="both"/>
      </w:pPr>
      <w:r>
        <w:rPr>
          <w:rFonts w:ascii="宋体" w:hAnsi="宋体" w:eastAsia="宋体" w:cs="宋体"/>
          <w:color w:val="1A1A2E"/>
          <w:sz w:val="24"/>
          <w:szCs w:val="24"/>
        </w:rPr>
        <w:t>本报告所提出的战略框架与实施路径，源于对大量实践案例的深入研究，旨在为企业提供系统性的思维工具和可操作的行动指南。我们相信，凭借清晰的战略方向、扎实的能力积累和坚定的推进意志，每一家有准备的企业都能在数字时代找到属于自己的增长坐标。</w:t>
      </w:r>
    </w:p>
    <w:p w14:paraId="11E81AFD">
      <w:pPr>
        <w:spacing w:before="0" w:after="120"/>
      </w:pPr>
    </w:p>
    <w:p w14:paraId="489BFB89">
      <w:pPr>
        <w:spacing w:before="200" w:after="200"/>
        <w:jc w:val="center"/>
      </w:pPr>
      <w:r>
        <w:rPr>
          <w:rFonts w:ascii="宋体" w:hAnsi="宋体" w:eastAsia="宋体" w:cs="宋体"/>
          <w:color w:val="CBD8EA"/>
          <w:sz w:val="24"/>
          <w:szCs w:val="24"/>
        </w:rPr>
        <w:t xml:space="preserve">━━━━  </w:t>
      </w:r>
      <w:r>
        <w:rPr>
          <w:rFonts w:ascii="楷体" w:hAnsi="楷体" w:eastAsia="楷体" w:cs="楷体"/>
          <w:color w:val="4A4A6A"/>
          <w:sz w:val="24"/>
          <w:szCs w:val="24"/>
        </w:rPr>
        <w:t>本报告终</w:t>
      </w:r>
      <w:r>
        <w:rPr>
          <w:rFonts w:ascii="宋体" w:hAnsi="宋体" w:eastAsia="宋体" w:cs="宋体"/>
          <w:color w:val="CBD8EA"/>
          <w:sz w:val="24"/>
          <w:szCs w:val="24"/>
        </w:rPr>
        <w:t xml:space="preserve">  ━━━━</w:t>
      </w:r>
    </w:p>
    <w:sectPr>
      <w:headerReference r:id="rId3" w:type="default"/>
      <w:footerReference r:id="rId4" w:type="default"/>
      <w:pgSz w:w="11906" w:h="16838"/>
      <w:pgMar w:top="1440" w:right="1700" w:bottom="1800" w:left="17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E8F96">
    <w:pPr>
      <w:pBdr>
        <w:top w:val="single" w:color="CBD8EA" w:sz="2" w:space="6"/>
      </w:pBdr>
      <w:tabs>
        <w:tab w:val="right" w:pos="9026"/>
      </w:tabs>
      <w:spacing w:before="80" w:after="0"/>
    </w:pPr>
    <w:r>
      <w:rPr>
        <w:rFonts w:ascii="宋体" w:hAnsi="宋体" w:eastAsia="宋体" w:cs="宋体"/>
        <w:color w:val="4A4A6A"/>
        <w:sz w:val="18"/>
        <w:szCs w:val="18"/>
      </w:rPr>
      <w:t>内部资料  保密文件</w:t>
    </w:r>
    <w:r>
      <w:rPr>
        <w:rFonts w:ascii="宋体" w:hAnsi="宋体" w:eastAsia="宋体" w:cs="宋体"/>
        <w:sz w:val="18"/>
        <w:szCs w:val="18"/>
      </w:rPr>
      <w:tab/>
    </w:r>
    <w:r>
      <w:rPr>
        <w:rFonts w:ascii="宋体" w:hAnsi="宋体" w:eastAsia="宋体" w:cs="宋体"/>
        <w:color w:val="4A4A6A"/>
        <w:sz w:val="18"/>
        <w:szCs w:val="18"/>
      </w:rPr>
      <w:t xml:space="preserve">第 </w:t>
    </w:r>
    <w:r>
      <w:rPr>
        <w:rFonts w:ascii="宋体" w:hAnsi="宋体" w:eastAsia="宋体" w:cs="宋体"/>
        <w:color w:val="4A4A6A"/>
        <w:sz w:val="18"/>
        <w:szCs w:val="18"/>
      </w:rPr>
      <w:fldChar w:fldCharType="begin"/>
    </w:r>
    <w:r>
      <w:rPr>
        <w:rFonts w:ascii="宋体" w:hAnsi="宋体" w:eastAsia="宋体" w:cs="宋体"/>
        <w:color w:val="4A4A6A"/>
        <w:sz w:val="18"/>
        <w:szCs w:val="18"/>
      </w:rPr>
      <w:instrText xml:space="preserve"> PAGE </w:instrText>
    </w:r>
    <w:r>
      <w:rPr>
        <w:rFonts w:ascii="宋体" w:hAnsi="宋体" w:eastAsia="宋体" w:cs="宋体"/>
        <w:color w:val="4A4A6A"/>
        <w:sz w:val="18"/>
        <w:szCs w:val="18"/>
      </w:rPr>
      <w:fldChar w:fldCharType="end"/>
    </w:r>
    <w:r>
      <w:rPr>
        <w:rFonts w:ascii="宋体" w:hAnsi="宋体" w:eastAsia="宋体" w:cs="宋体"/>
        <w:color w:val="4A4A6A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6DF7D">
    <w:pPr>
      <w:pBdr>
        <w:bottom w:val="single" w:color="1B3A6B" w:sz="2" w:space="6"/>
      </w:pBdr>
      <w:spacing w:before="0" w:after="120"/>
      <w:jc w:val="right"/>
    </w:pPr>
    <w:r>
      <w:rPr>
        <w:rFonts w:ascii="黑体" w:hAnsi="黑体" w:eastAsia="黑体" w:cs="黑体"/>
        <w:color w:val="4A4A6A"/>
        <w:sz w:val="18"/>
        <w:szCs w:val="18"/>
      </w:rPr>
      <w:t>企业数字化转型战略规划报告</w:t>
    </w:r>
    <w:r>
      <w:rPr>
        <w:rFonts w:ascii="宋体" w:hAnsi="宋体" w:eastAsia="宋体" w:cs="宋体"/>
        <w:color w:val="CBD8EA"/>
        <w:sz w:val="18"/>
        <w:szCs w:val="18"/>
      </w:rPr>
      <w:t xml:space="preserve">  |  战略研究与发展中心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35887"/>
    <w:multiLevelType w:val="singleLevel"/>
    <w:tmpl w:val="8AA35887"/>
    <w:lvl w:ilvl="0" w:tentative="0">
      <w:start w:val="1"/>
      <w:numFmt w:val="bullet"/>
      <w:lvlText w:val="◆"/>
      <w:lvlJc w:val="left"/>
      <w:pPr>
        <w:ind w:left="480" w:hanging="240"/>
      </w:pPr>
      <w:rPr>
        <w:rFonts w:ascii="宋体" w:hAnsi="宋体" w:eastAsia="宋体" w:cs="宋体"/>
        <w:color w:val="C9A84C"/>
        <w:sz w:val="20"/>
        <w:szCs w:val="20"/>
      </w:rPr>
    </w:lvl>
  </w:abstractNum>
  <w:abstractNum w:abstractNumId="1">
    <w:nsid w:val="B4F2BA8B"/>
    <w:multiLevelType w:val="singleLevel"/>
    <w:tmpl w:val="B4F2BA8B"/>
    <w:lvl w:ilvl="0" w:tentative="0">
      <w:start w:val="1"/>
      <w:numFmt w:val="decimal"/>
      <w:lvlText w:val="%1."/>
      <w:lvlJc w:val="left"/>
      <w:pPr>
        <w:ind w:left="480" w:hanging="300"/>
      </w:pPr>
      <w:rPr>
        <w:rFonts w:ascii="宋体" w:hAnsi="宋体" w:eastAsia="宋体" w:cs="宋体"/>
        <w:b/>
        <w:bCs/>
        <w:color w:val="2E5FA3"/>
        <w:sz w:val="24"/>
        <w:szCs w:val="24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DC03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color w:val="1A1A2E"/>
      <w:sz w:val="24"/>
      <w:szCs w:val="24"/>
    </w:rPr>
  </w:style>
  <w:style w:type="paragraph" w:styleId="2">
    <w:name w:val="heading 1"/>
    <w:next w:val="1"/>
    <w:qFormat/>
    <w:uiPriority w:val="0"/>
    <w:pPr>
      <w:pBdr>
        <w:left w:val="single" w:color="1B3A6B" w:sz="18" w:space="12"/>
      </w:pBdr>
      <w:spacing w:before="480" w:after="120"/>
      <w:ind w:left="240"/>
      <w:outlineLvl w:val="0"/>
    </w:pPr>
    <w:rPr>
      <w:rFonts w:ascii="黑体" w:hAnsi="黑体" w:eastAsia="黑体" w:cs="黑体"/>
      <w:b/>
      <w:bCs/>
      <w:color w:val="1B3A6B"/>
      <w:spacing w:val="150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80"/>
      <w:ind w:left="0"/>
      <w:outlineLvl w:val="1"/>
    </w:pPr>
    <w:rPr>
      <w:rFonts w:ascii="黑体" w:hAnsi="黑体" w:eastAsia="黑体" w:cs="黑体"/>
      <w:b/>
      <w:bCs/>
      <w:color w:val="2E5FA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60"/>
      <w:ind w:left="0"/>
      <w:outlineLvl w:val="2"/>
    </w:pPr>
    <w:rPr>
      <w:rFonts w:ascii="黑体" w:hAnsi="黑体" w:eastAsia="黑体" w:cs="黑体"/>
      <w:b/>
      <w:bCs/>
      <w:color w:val="4A7FC1"/>
      <w:sz w:val="25"/>
      <w:szCs w:val="25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color w:val="1A1A2E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color w:val="1A1A2E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color w:val="1A1A2E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color w:val="1A1A2E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2026-04-03T07:25:00Z</dcterms:created>
  <dc:creator>Un-named</dc:creator>
  <cp:lastModifiedBy>slob</cp:lastModifiedBy>
  <dcterms:modified xsi:type="dcterms:W3CDTF">2026-04-03T07:27:31Z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17CE3CF6CB8A46CC880BCAD509FC6C12_12</vt:lpwstr>
  </property>
</Properties>
</file>