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Segoe UI" w:cs="Segoe UI" w:eastAsia="Segoe UI" w:hAnsi="Segoe UI"/>
          <w:b/>
          <w:bCs/>
          <w:color w:val="1B4332"/>
          <w:sz w:val="38"/>
          <w:szCs w:val="38"/>
        </w:rPr>
        <w:t xml:space="preserve">SUPER GREEN PLANTATIONS (PVT) LTD</w:t>
      </w:r>
    </w:p>
    <w:p>
      <w:pPr>
        <w:spacing w:after="80" w:before="0"/>
        <w:jc w:val="center"/>
      </w:pPr>
      <w:r>
        <w:rPr>
          <w:rFonts w:ascii="Nirmala UI" w:cs="Nirmala UI" w:eastAsia="Nirmala UI" w:hAnsi="Nirmala UI"/>
          <w:b/>
          <w:bCs/>
          <w:color w:val="2D6A4F"/>
          <w:sz w:val="28"/>
          <w:szCs w:val="28"/>
        </w:rPr>
        <w:t xml:space="preserve">සුපර් ග්‍රීන් ප්ලාන්ටේෂන්ස් සමාගම</w:t>
      </w:r>
    </w:p>
    <w:p>
      <w:pPr>
        <w:spacing w:after="120" w:before="80"/>
        <w:jc w:val="center"/>
      </w:pPr>
      <w:r>
        <w:rPr>
          <w:rFonts w:ascii="Segoe UI" w:cs="Segoe UI" w:eastAsia="Segoe UI" w:hAnsi="Segoe UI"/>
          <w:b/>
          <w:bCs/>
          <w:color w:val="40916C"/>
          <w:sz w:val="30"/>
          <w:szCs w:val="30"/>
        </w:rPr>
        <w:t xml:space="preserve">ENTERPRISE RESOURCE PLANNING (ERP) SYSTEM</w:t>
      </w:r>
    </w:p>
    <w:p>
      <w:pPr>
        <w:spacing w:after="300" w:before="0"/>
        <w:jc w:val="center"/>
      </w:pPr>
      <w:r>
        <w:rPr>
          <w:rFonts w:ascii="Nirmala UI" w:cs="Nirmala UI" w:eastAsia="Nirmala UI" w:hAnsi="Nirmala UI"/>
          <w:b/>
          <w:bCs/>
          <w:color w:val="1E293B"/>
          <w:sz w:val="24"/>
          <w:szCs w:val="24"/>
        </w:rPr>
        <w:t xml:space="preserve">පූර්ණ මෙහෙයුම් සහ පරිශීලක මාර්ගෝපදේශය (Comprehensive Operations Manual)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none" w:color="auto" w:sz="0"/>
              <w:left w:val="single" w:color="1B4332" w:sz="24"/>
              <w:bottom w:val="none" w:color="auto" w:sz="0"/>
              <w:right w:val="none" w:color="auto" w:sz="0"/>
            </w:tcBorders>
            <w:shd w:fill="F0FDF4"/>
            <w:tcMar>
              <w:top w:type="dxa" w:w="140"/>
              <w:left w:type="dxa" w:w="200"/>
              <w:bottom w:type="dxa" w:w="140"/>
              <w:right w:type="dxa" w:w="200"/>
            </w:tcMar>
          </w:tcPr>
          <w:p>
            <w:pPr>
              <w:spacing w:after="60" w:before="0"/>
            </w:pPr>
            <w:r>
              <w:rPr>
                <w:rFonts w:ascii="Segoe UI" w:cs="Segoe UI" w:eastAsia="Segoe UI" w:hAnsi="Segoe UI"/>
                <w:b/>
                <w:bCs/>
                <w:color w:val="1B4332"/>
                <w:sz w:val="22"/>
                <w:szCs w:val="22"/>
              </w:rPr>
              <w:t xml:space="preserve">📌 About This Manual (මෙම අත්පොත පිළිබඳව)</w:t>
            </w:r>
          </w:p>
          <w:p>
            <w:pPr>
              <w:spacing w:after="40" w:before="0"/>
            </w:pPr>
            <w:r>
              <w:rPr>
                <w:rFonts w:ascii="Segoe UI" w:cs="Segoe UI" w:eastAsia="Segoe UI" w:hAnsi="Segoe UI"/>
                <w:color w:val="1E293B"/>
                <w:sz w:val="20"/>
                <w:szCs w:val="20"/>
              </w:rPr>
              <w:t xml:space="preserve">This document is a comprehensive guide designed for all administrative, managerial, and field staff. It is written in a bilingual English &amp; Sinhala mix to ensure maximum clarity on business logic, commissions, targets, and operations.</w:t>
            </w:r>
          </w:p>
          <w:p>
            <w:pPr>
              <w:spacing w:after="0" w:before="0"/>
            </w:pPr>
            <w:r>
              <w:rPr>
                <w:rFonts w:ascii="Nirmala UI" w:cs="Nirmala UI" w:eastAsia="Nirmala UI" w:hAnsi="Nirmala UI"/>
                <w:color w:val="475569"/>
                <w:sz w:val="20"/>
                <w:szCs w:val="20"/>
              </w:rPr>
              <w:t xml:space="preserve">මෙම අත්පොත පරිපාලන නිලධාරීන්, ශාඛා කළමනාකරුවන්, මානව සම්පත් අංශය සහ ක්ෂේත්‍ර නිලධාරීන් සඳහා සකස් කරන ලද සම්පූර්ණ මගපෙන්වීමකි. ව්‍යාපාරික නීති, කොමිස් ක්‍රමවේද, ඉලක්ක සහ පද්ධති භාවිතය පැහැදිලිව තේරුම් ගැනීම සඳහා ඉංග්‍රීසි සහ සිංහල භාෂා ද්විත්වයම ඇතුලත් කර ඇත.</w:t>
            </w:r>
          </w:p>
        </w:tc>
      </w:tr>
    </w:tbl>
    <w:p>
      <w:pPr>
        <w:spacing w:after="100" w:before="200"/>
      </w:pPr>
    </w:p>
    <w:p>
      <w:pPr>
        <w:pStyle w:val="Heading1"/>
        <w:spacing w:after="140" w:before="360"/>
      </w:pPr>
      <w:r>
        <w:rPr>
          <w:rFonts w:ascii="Segoe UI" w:cs="Segoe UI" w:eastAsia="Segoe UI" w:hAnsi="Segoe UI"/>
          <w:b/>
          <w:bCs/>
          <w:color w:val="1B4332"/>
          <w:sz w:val="32"/>
          <w:szCs w:val="32"/>
        </w:rPr>
        <w:t xml:space="preserve">1. System Overview &amp; User Roles</w:t>
      </w:r>
      <w:r>
        <w:rPr>
          <w:rFonts w:ascii="Nirmala UI" w:cs="Nirmala UI" w:eastAsia="Nirmala UI" w:hAnsi="Nirmala UI"/>
          <w:b/>
          <w:bCs/>
          <w:color w:val="2D6A4F"/>
          <w:sz w:val="28"/>
          <w:szCs w:val="28"/>
        </w:rPr>
        <w:t xml:space="preserve"> | පද්ධතියේ හැඳින්වීම සහ නිලතල</w:t>
      </w:r>
    </w:p>
    <w:p>
      <w:pPr>
        <w:spacing w:after="100" w:before="60" w:line="276"/>
      </w:pPr>
      <w:r>
        <w:rPr>
          <w:rFonts w:ascii="Segoe UI" w:cs="Segoe UI" w:eastAsia="Segoe UI" w:hAnsi="Segoe UI"/>
          <w:color w:val="1E293B"/>
          <w:sz w:val="21"/>
          <w:szCs w:val="21"/>
        </w:rPr>
        <w:t xml:space="preserve">Super Green ERP is an integrated plantation business management platform that automates investor onboarding, hierarchy-based commissions (ORC), monthly proposal collections, payroll processing, and multi-branch network management.</w:t>
      </w:r>
      <w:r>
        <w:rPr>
          <w:rFonts w:ascii="Nirmala UI" w:cs="Nirmala UI" w:eastAsia="Nirmala UI" w:hAnsi="Nirmala UI"/>
          <w:color w:val="475569"/>
          <w:sz w:val="20"/>
          <w:szCs w:val="20"/>
        </w:rPr>
        <w:t xml:space="preserve">  [සිංහල: සුපර් ග්‍රීන් ERP යනු ආයෝජන ලියාපදිංචිය, බහු-ස්ථර කොමිස් බෙදාහැරීම (ORC), මාසික යෝජනා කළමනාකරණය, වැටුප් සැකසීම සහ දිවයින පුරා ශාඛා ජාලය පාලනය කරන ඒකාබද්ධ මෘදුකාංග පද්ධතියකි.]</w:t>
      </w:r>
    </w:p>
    <w:p>
      <w:pPr>
        <w:pStyle w:val="Heading2"/>
        <w:spacing w:after="100" w:before="260"/>
      </w:pPr>
      <w:r>
        <w:rPr>
          <w:rFonts w:ascii="Segoe UI" w:cs="Segoe UI" w:eastAsia="Segoe UI" w:hAnsi="Segoe UI"/>
          <w:b/>
          <w:bCs/>
          <w:color w:val="2D6A4F"/>
          <w:sz w:val="26"/>
          <w:szCs w:val="26"/>
        </w:rPr>
        <w:t xml:space="preserve">Role Hierarchy &amp; Access Levels</w:t>
      </w:r>
      <w:r>
        <w:rPr>
          <w:rFonts w:ascii="Nirmala UI" w:cs="Nirmala UI" w:eastAsia="Nirmala UI" w:hAnsi="Nirmala UI"/>
          <w:b/>
          <w:bCs/>
          <w:color w:val="40916C"/>
          <w:sz w:val="24"/>
          <w:szCs w:val="24"/>
        </w:rPr>
        <w:t xml:space="preserve"> (පද්ධති නිලතල සහ ප්‍රවේශ බලතල)</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Role Code</w:t>
            </w:r>
            <w:r>
              <w:rPr>
                <w:rFonts w:ascii="Nirmala UI" w:cs="Nirmala UI" w:eastAsia="Nirmala UI" w:hAnsi="Nirmala UI"/>
                <w:b/>
                <w:bCs/>
                <w:color w:val="D8F3DC"/>
                <w:sz w:val="18"/>
                <w:szCs w:val="18"/>
              </w:rPr>
              <w:t xml:space="preserve">
නිලතල කේතය</w:t>
            </w:r>
          </w:p>
        </w:tc>
        <w:tc>
          <w:tcPr>
            <w:tcW w:type="dxa" w:w="3325"/>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Designation</w:t>
            </w:r>
            <w:r>
              <w:rPr>
                <w:rFonts w:ascii="Nirmala UI" w:cs="Nirmala UI" w:eastAsia="Nirmala UI" w:hAnsi="Nirmala UI"/>
                <w:b/>
                <w:bCs/>
                <w:color w:val="D8F3DC"/>
                <w:sz w:val="18"/>
                <w:szCs w:val="18"/>
              </w:rPr>
              <w:t xml:space="preserve">
තනතුර</w:t>
            </w:r>
          </w:p>
        </w:tc>
        <w:tc>
          <w:tcPr>
            <w:tcW w:type="dxa" w:w="4275"/>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Key Responsibilities &amp; Access Scope</w:t>
            </w:r>
            <w:r>
              <w:rPr>
                <w:rFonts w:ascii="Nirmala UI" w:cs="Nirmala UI" w:eastAsia="Nirmala UI" w:hAnsi="Nirmala UI"/>
                <w:b/>
                <w:bCs/>
                <w:color w:val="D8F3DC"/>
                <w:sz w:val="18"/>
                <w:szCs w:val="18"/>
              </w:rPr>
              <w:t xml:space="preserve">
ප්‍රධාන වගකීම් සහ පද්ධති බලතල</w:t>
            </w:r>
          </w:p>
        </w:tc>
      </w:tr>
      <w:tr>
        <w:tc>
          <w:tcPr>
            <w:tcW w:type="dxa" w:w="190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ADMIN / DEV</w:t>
            </w:r>
          </w:p>
        </w:tc>
        <w:tc>
          <w:tcPr>
            <w:tcW w:type="dxa" w:w="33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System Administrator / Developer
පද්ධති පරිපාලක</w:t>
            </w:r>
          </w:p>
        </w:tc>
        <w:tc>
          <w:tcPr>
            <w:tcW w:type="dxa" w:w="427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Full access to entire system: branch setup, user creation, settings, raw database records, logs.</w:t>
            </w:r>
          </w:p>
        </w:tc>
      </w:tr>
      <w:tr>
        <w:tc>
          <w:tcPr>
            <w:tcW w:type="dxa" w:w="190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HR</w:t>
            </w:r>
          </w:p>
        </w:tc>
        <w:tc>
          <w:tcPr>
            <w:tcW w:type="dxa" w:w="33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Human Resources Manager
මානව සම්පත් කළමනාකරු</w:t>
            </w:r>
          </w:p>
        </w:tc>
        <w:tc>
          <w:tcPr>
            <w:tcW w:type="dxa" w:w="427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Full employee management, position salaries, targets configuration, monthly payroll generation &amp; approval, evaluations.</w:t>
            </w:r>
          </w:p>
        </w:tc>
      </w:tr>
      <w:tr>
        <w:tc>
          <w:tcPr>
            <w:tcW w:type="dxa" w:w="190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AGM / ZM</w:t>
            </w:r>
          </w:p>
        </w:tc>
        <w:tc>
          <w:tcPr>
            <w:tcW w:type="dxa" w:w="33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Asst. General Manager / Zonal Manager
සහකාර සාමාන්‍යාධිකාරී / කලාප කළමනාකරු</w:t>
            </w:r>
          </w:p>
        </w:tc>
        <w:tc>
          <w:tcPr>
            <w:tcW w:type="dxa" w:w="427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Regional &amp; Zonal oversight, multi-branch performance analytics, regional investment review &amp; approval.</w:t>
            </w:r>
          </w:p>
        </w:tc>
      </w:tr>
      <w:tr>
        <w:tc>
          <w:tcPr>
            <w:tcW w:type="dxa" w:w="190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RM</w:t>
            </w:r>
          </w:p>
        </w:tc>
        <w:tc>
          <w:tcPr>
            <w:tcW w:type="dxa" w:w="33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Regional Manager
ප්‍රාදේශීය කළමනාකරු</w:t>
            </w:r>
          </w:p>
        </w:tc>
        <w:tc>
          <w:tcPr>
            <w:tcW w:type="dxa" w:w="427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Supervises designated regional branches and all sub-branches, tracks regional volume targets and member performance.</w:t>
            </w:r>
          </w:p>
        </w:tc>
      </w:tr>
      <w:tr>
        <w:tc>
          <w:tcPr>
            <w:tcW w:type="dxa" w:w="190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BM</w:t>
            </w:r>
          </w:p>
        </w:tc>
        <w:tc>
          <w:tcPr>
            <w:tcW w:type="dxa" w:w="33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Branch Manager
ශාඛා කළමනාකරු</w:t>
            </w:r>
          </w:p>
        </w:tc>
        <w:tc>
          <w:tcPr>
            <w:tcW w:type="dxa" w:w="427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Single branch supervision, client review, investment proposal first-line approvals, branch employee evaluations.</w:t>
            </w:r>
          </w:p>
        </w:tc>
      </w:tr>
      <w:tr>
        <w:tc>
          <w:tcPr>
            <w:tcW w:type="dxa" w:w="190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FM / TL</w:t>
            </w:r>
          </w:p>
        </w:tc>
        <w:tc>
          <w:tcPr>
            <w:tcW w:type="dxa" w:w="33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Field Manager / Team Leader
ක්ෂේත්‍ර කළමනාකරු / කණ්ඩායම් නායක</w:t>
            </w:r>
          </w:p>
        </w:tc>
        <w:tc>
          <w:tcPr>
            <w:tcW w:type="dxa" w:w="427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Leads a group of Field Advisors (FAs), tracks team target volume, receives Upline ORC overriding commissions.</w:t>
            </w:r>
          </w:p>
        </w:tc>
      </w:tr>
      <w:tr>
        <w:tc>
          <w:tcPr>
            <w:tcW w:type="dxa" w:w="190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FA</w:t>
            </w:r>
          </w:p>
        </w:tc>
        <w:tc>
          <w:tcPr>
            <w:tcW w:type="dxa" w:w="33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Field Advisor
ක්ෂේත්‍ර උපදේශක</w:t>
            </w:r>
          </w:p>
        </w:tc>
        <w:tc>
          <w:tcPr>
            <w:tcW w:type="dxa" w:w="427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Direct investor acquisition, proposals entry, client KYC collection, personal commission earners.</w:t>
            </w:r>
          </w:p>
        </w:tc>
      </w:tr>
    </w:tbl>
    <w:p>
      <w:pPr>
        <w:spacing w:after="100" w:before="200"/>
      </w:pPr>
    </w:p>
    <w:p>
      <w:pPr>
        <w:pStyle w:val="Heading1"/>
        <w:spacing w:after="140" w:before="360"/>
      </w:pPr>
      <w:r>
        <w:rPr>
          <w:rFonts w:ascii="Segoe UI" w:cs="Segoe UI" w:eastAsia="Segoe UI" w:hAnsi="Segoe UI"/>
          <w:b/>
          <w:bCs/>
          <w:color w:val="1B4332"/>
          <w:sz w:val="32"/>
          <w:szCs w:val="32"/>
        </w:rPr>
        <w:t xml:space="preserve">2. Login, Security &amp; Sessions</w:t>
      </w:r>
      <w:r>
        <w:rPr>
          <w:rFonts w:ascii="Nirmala UI" w:cs="Nirmala UI" w:eastAsia="Nirmala UI" w:hAnsi="Nirmala UI"/>
          <w:b/>
          <w:bCs/>
          <w:color w:val="2D6A4F"/>
          <w:sz w:val="28"/>
          <w:szCs w:val="28"/>
        </w:rPr>
        <w:t xml:space="preserve"> | පද්ධතියට පිවිසීම සහ ආරක්ෂාව</w:t>
      </w:r>
    </w:p>
    <w:p>
      <w:pPr>
        <w:pStyle w:val="ListParagraph"/>
        <w:numPr>
          <w:ilvl w:val="0"/>
          <w:numId w:val="1"/>
        </w:numPr>
        <w:spacing w:after="60" w:before="40"/>
      </w:pPr>
      <w:r>
        <w:rPr>
          <w:rFonts w:ascii="Segoe UI" w:cs="Segoe UI" w:eastAsia="Segoe UI" w:hAnsi="Segoe UI"/>
          <w:color w:val="1E293B"/>
          <w:sz w:val="21"/>
          <w:szCs w:val="21"/>
        </w:rPr>
        <w:t xml:space="preserve">Access Portal: Navigate to your ERP URL (e.g. erp.supergreenplantations.com) on Google Chrome or Microsoft Edge.</w:t>
      </w:r>
      <w:r>
        <w:rPr>
          <w:rFonts w:ascii="Nirmala UI" w:cs="Nirmala UI" w:eastAsia="Nirmala UI" w:hAnsi="Nirmala UI"/>
          <w:color w:val="475569"/>
          <w:sz w:val="20"/>
          <w:szCs w:val="20"/>
        </w:rPr>
        <w:t xml:space="preserve"> — ERP පිවිසුම් පිටුවට ගොස් ඔබගේ ලියාපදිංචි විද්‍යුත් තැපෑල (Email) සහ මුරපදය (Password) ඇතුලත් කරන්න.</w:t>
      </w:r>
    </w:p>
    <w:p>
      <w:pPr>
        <w:pStyle w:val="ListParagraph"/>
        <w:numPr>
          <w:ilvl w:val="0"/>
          <w:numId w:val="1"/>
        </w:numPr>
        <w:spacing w:after="60" w:before="40"/>
      </w:pPr>
      <w:r>
        <w:rPr>
          <w:rFonts w:ascii="Segoe UI" w:cs="Segoe UI" w:eastAsia="Segoe UI" w:hAnsi="Segoe UI"/>
          <w:color w:val="1E293B"/>
          <w:sz w:val="21"/>
          <w:szCs w:val="21"/>
        </w:rPr>
        <w:t xml:space="preserve">Session Management: For security, user sessions are managed with Supabase authentication cookies. If idle for a long period, you will be prompted to sign in again.</w:t>
      </w:r>
      <w:r>
        <w:rPr>
          <w:rFonts w:ascii="Nirmala UI" w:cs="Nirmala UI" w:eastAsia="Nirmala UI" w:hAnsi="Nirmala UI"/>
          <w:color w:val="475569"/>
          <w:sz w:val="20"/>
          <w:szCs w:val="20"/>
        </w:rPr>
        <w:t xml:space="preserve"> — ආරක්ෂක හේතූන් මත, දිගු වේලාවක් භාවිත නොකළහොත් ඔබගේ ගිණුමෙන් ස්වයංක්‍රීයව ඉවත් වේ (Session timeout).</w:t>
      </w:r>
    </w:p>
    <w:p>
      <w:pPr>
        <w:pStyle w:val="ListParagraph"/>
        <w:numPr>
          <w:ilvl w:val="0"/>
          <w:numId w:val="1"/>
        </w:numPr>
        <w:spacing w:after="60" w:before="40"/>
      </w:pPr>
      <w:r>
        <w:rPr>
          <w:rFonts w:ascii="Segoe UI" w:cs="Segoe UI" w:eastAsia="Segoe UI" w:hAnsi="Segoe UI"/>
          <w:color w:val="1E293B"/>
          <w:sz w:val="21"/>
          <w:szCs w:val="21"/>
        </w:rPr>
        <w:t xml:space="preserve">Role Redirect: Upon login, the system automatically redirects you based on your permissions (e.g. Admin/HR -&gt; Executive Dashboard; BM/RM -&gt; Branch View).</w:t>
      </w:r>
      <w:r>
        <w:rPr>
          <w:rFonts w:ascii="Nirmala UI" w:cs="Nirmala UI" w:eastAsia="Nirmala UI" w:hAnsi="Nirmala UI"/>
          <w:color w:val="475569"/>
          <w:sz w:val="20"/>
          <w:szCs w:val="20"/>
        </w:rPr>
        <w:t xml:space="preserve"> — පිවිසීමෙන් පසු ඔබගේ තනතුරට අදාල ප්‍රධාන පිටුවට (Dashboard) ස්වයංක්‍රීයව යොමු කරනු ඇත.</w:t>
      </w:r>
    </w:p>
    <w:p>
      <w:pPr>
        <w:spacing w:after="100" w:before="200"/>
      </w:pPr>
    </w:p>
    <w:p>
      <w:pPr>
        <w:pStyle w:val="Heading1"/>
        <w:spacing w:after="140" w:before="360"/>
      </w:pPr>
      <w:r>
        <w:rPr>
          <w:rFonts w:ascii="Segoe UI" w:cs="Segoe UI" w:eastAsia="Segoe UI" w:hAnsi="Segoe UI"/>
          <w:b/>
          <w:bCs/>
          <w:color w:val="1B4332"/>
          <w:sz w:val="32"/>
          <w:szCs w:val="32"/>
        </w:rPr>
        <w:t xml:space="preserve">3. Executive Dashboard &amp; Targets</w:t>
      </w:r>
      <w:r>
        <w:rPr>
          <w:rFonts w:ascii="Nirmala UI" w:cs="Nirmala UI" w:eastAsia="Nirmala UI" w:hAnsi="Nirmala UI"/>
          <w:b/>
          <w:bCs/>
          <w:color w:val="2D6A4F"/>
          <w:sz w:val="28"/>
          <w:szCs w:val="28"/>
        </w:rPr>
        <w:t xml:space="preserve"> | ප්‍රධාන පාලක පුවරුව සහ ඉලක්ක</w:t>
      </w:r>
    </w:p>
    <w:p>
      <w:pPr>
        <w:spacing w:after="100" w:before="60" w:line="276"/>
      </w:pPr>
      <w:r>
        <w:rPr>
          <w:rFonts w:ascii="Segoe UI" w:cs="Segoe UI" w:eastAsia="Segoe UI" w:hAnsi="Segoe UI"/>
          <w:color w:val="1E293B"/>
          <w:sz w:val="21"/>
          <w:szCs w:val="21"/>
        </w:rPr>
        <w:t xml:space="preserve">The Dashboard provides an instant snapshot of company health, revenue, monthly targets, and sales trends.</w:t>
      </w:r>
      <w:r>
        <w:rPr>
          <w:rFonts w:ascii="Nirmala UI" w:cs="Nirmala UI" w:eastAsia="Nirmala UI" w:hAnsi="Nirmala UI"/>
          <w:color w:val="475569"/>
          <w:sz w:val="20"/>
          <w:szCs w:val="20"/>
        </w:rPr>
        <w:t xml:space="preserve">  [සිංහල: ප්‍රධාන පාලක පුවරුව මගින් ආයෝජන වටිනාකම, ශාඛා කාර්යසාධනය, සාක්ෂාත් කරගත් ඉලක්ක සහ කොමිස් වියදම් එකවර බලාගත හැක.]</w:t>
      </w:r>
    </w:p>
    <w:p>
      <w:pPr>
        <w:pStyle w:val="Heading2"/>
        <w:spacing w:after="100" w:before="260"/>
      </w:pPr>
      <w:r>
        <w:rPr>
          <w:rFonts w:ascii="Segoe UI" w:cs="Segoe UI" w:eastAsia="Segoe UI" w:hAnsi="Segoe UI"/>
          <w:b/>
          <w:bCs/>
          <w:color w:val="2D6A4F"/>
          <w:sz w:val="26"/>
          <w:szCs w:val="26"/>
        </w:rPr>
        <w:t xml:space="preserve">Key Dashboard Metrics</w:t>
      </w:r>
      <w:r>
        <w:rPr>
          <w:rFonts w:ascii="Nirmala UI" w:cs="Nirmala UI" w:eastAsia="Nirmala UI" w:hAnsi="Nirmala UI"/>
          <w:b/>
          <w:bCs/>
          <w:color w:val="40916C"/>
          <w:sz w:val="24"/>
          <w:szCs w:val="24"/>
        </w:rPr>
        <w:t xml:space="preserve"> (ප්‍රධාන දර්ශක)</w:t>
      </w:r>
    </w:p>
    <w:p>
      <w:pPr>
        <w:pStyle w:val="ListParagraph"/>
        <w:numPr>
          <w:ilvl w:val="0"/>
          <w:numId w:val="1"/>
        </w:numPr>
        <w:spacing w:after="60" w:before="40"/>
      </w:pPr>
      <w:r>
        <w:rPr>
          <w:rFonts w:ascii="Segoe UI" w:cs="Segoe UI" w:eastAsia="Segoe UI" w:hAnsi="Segoe UI"/>
          <w:color w:val="1E293B"/>
          <w:sz w:val="21"/>
          <w:szCs w:val="21"/>
        </w:rPr>
        <w:t xml:space="preserve">Total Investments (මුළු ආයෝජන): Total revenue brought by approved investments this month and year-to-date.</w:t>
      </w:r>
      <w:r>
        <w:rPr>
          <w:rFonts w:ascii="Nirmala UI" w:cs="Nirmala UI" w:eastAsia="Nirmala UI" w:hAnsi="Nirmala UI"/>
          <w:color w:val="475569"/>
          <w:sz w:val="20"/>
          <w:szCs w:val="20"/>
        </w:rPr>
        <w:t xml:space="preserve"> — මෙම මාසයේ සහ වසරේ අනුමත වූ මුළු ආයෝජන එකතුව.</w:t>
      </w:r>
    </w:p>
    <w:p>
      <w:pPr>
        <w:pStyle w:val="ListParagraph"/>
        <w:numPr>
          <w:ilvl w:val="0"/>
          <w:numId w:val="1"/>
        </w:numPr>
        <w:spacing w:after="60" w:before="40"/>
      </w:pPr>
      <w:r>
        <w:rPr>
          <w:rFonts w:ascii="Segoe UI" w:cs="Segoe UI" w:eastAsia="Segoe UI" w:hAnsi="Segoe UI"/>
          <w:color w:val="1E293B"/>
          <w:sz w:val="21"/>
          <w:szCs w:val="21"/>
        </w:rPr>
        <w:t xml:space="preserve">Total Profit &amp; Commission Payout: Net operational surplus and total commission payouts disbursed to field staff.</w:t>
      </w:r>
      <w:r>
        <w:rPr>
          <w:rFonts w:ascii="Nirmala UI" w:cs="Nirmala UI" w:eastAsia="Nirmala UI" w:hAnsi="Nirmala UI"/>
          <w:color w:val="475569"/>
          <w:sz w:val="20"/>
          <w:szCs w:val="20"/>
        </w:rPr>
        <w:t xml:space="preserve"> — සමාගම් ලාභය සහ ක්ෂේත්‍ර නිලධාරීන්ට ගෙවන ලද මුළු කොමිස් මුදල.</w:t>
      </w:r>
    </w:p>
    <w:p>
      <w:pPr>
        <w:pStyle w:val="ListParagraph"/>
        <w:numPr>
          <w:ilvl w:val="0"/>
          <w:numId w:val="1"/>
        </w:numPr>
        <w:spacing w:after="60" w:before="40"/>
      </w:pPr>
      <w:r>
        <w:rPr>
          <w:rFonts w:ascii="Segoe UI" w:cs="Segoe UI" w:eastAsia="Segoe UI" w:hAnsi="Segoe UI"/>
          <w:color w:val="1E293B"/>
          <w:sz w:val="21"/>
          <w:szCs w:val="21"/>
        </w:rPr>
        <w:t xml:space="preserve">Incentive Forecast Table (දිරිගැන්වීම් පුරෝකථන වගුව): Lists each advisor with their Monthly Target, Volume Achieved, Achievement %, and Incentive Status (Full Hit, Partial Hit, or Miss).</w:t>
      </w:r>
      <w:r>
        <w:rPr>
          <w:rFonts w:ascii="Nirmala UI" w:cs="Nirmala UI" w:eastAsia="Nirmala UI" w:hAnsi="Nirmala UI"/>
          <w:color w:val="475569"/>
          <w:sz w:val="20"/>
          <w:szCs w:val="20"/>
        </w:rPr>
        <w:t xml:space="preserve"> — සෑම උපදේශකයෙකුගේම මාසික ඉලක්කය, ලබාගත් පරිමාව (Volume), සාක්ෂාත් කළ ප්‍රතිශතය සහ ලැබෙන දිරිගැන්වීම් මුදල පෙන්වයි.</w:t>
      </w:r>
    </w:p>
    <w:p>
      <w:pPr>
        <w:pStyle w:val="ListParagraph"/>
        <w:numPr>
          <w:ilvl w:val="0"/>
          <w:numId w:val="1"/>
        </w:numPr>
        <w:spacing w:after="60" w:before="40"/>
      </w:pPr>
      <w:r>
        <w:rPr>
          <w:rFonts w:ascii="Segoe UI" w:cs="Segoe UI" w:eastAsia="Segoe UI" w:hAnsi="Segoe UI"/>
          <w:color w:val="1E293B"/>
          <w:sz w:val="21"/>
          <w:szCs w:val="21"/>
        </w:rPr>
        <w:t xml:space="preserve">Sales Heatmap &amp; Daily Trends: 7-day visual activity bar showing daily investment volume across branches.</w:t>
      </w:r>
      <w:r>
        <w:rPr>
          <w:rFonts w:ascii="Nirmala UI" w:cs="Nirmala UI" w:eastAsia="Nirmala UI" w:hAnsi="Nirmala UI"/>
          <w:color w:val="475569"/>
          <w:sz w:val="20"/>
          <w:szCs w:val="20"/>
        </w:rPr>
        <w:t xml:space="preserve"> — පසුගිය දින 7 තුළ ශාඛා මට්ටමින් සිදු වූ දෛනික ආයෝජන ප්‍රවණතාව.</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none" w:color="auto" w:sz="0"/>
              <w:left w:val="single" w:color="1B4332" w:sz="24"/>
              <w:bottom w:val="none" w:color="auto" w:sz="0"/>
              <w:right w:val="none" w:color="auto" w:sz="0"/>
            </w:tcBorders>
            <w:shd w:fill="F0FDF4"/>
            <w:tcMar>
              <w:top w:type="dxa" w:w="140"/>
              <w:left w:type="dxa" w:w="200"/>
              <w:bottom w:type="dxa" w:w="140"/>
              <w:right w:type="dxa" w:w="200"/>
            </w:tcMar>
          </w:tcPr>
          <w:p>
            <w:pPr>
              <w:spacing w:after="60" w:before="0"/>
            </w:pPr>
            <w:r>
              <w:rPr>
                <w:rFonts w:ascii="Segoe UI" w:cs="Segoe UI" w:eastAsia="Segoe UI" w:hAnsi="Segoe UI"/>
                <w:b/>
                <w:bCs/>
                <w:color w:val="1B4332"/>
                <w:sz w:val="22"/>
                <w:szCs w:val="22"/>
              </w:rPr>
              <w:t xml:space="preserve">📌 Incentive Forecast Status Guide (දිරිගැන්වීම් තත්ව විග්‍රහය)</w:t>
            </w:r>
          </w:p>
          <w:p>
            <w:pPr>
              <w:spacing w:after="40" w:before="0"/>
            </w:pPr>
            <w:r>
              <w:rPr>
                <w:rFonts w:ascii="Segoe UI" w:cs="Segoe UI" w:eastAsia="Segoe UI" w:hAnsi="Segoe UI"/>
                <w:color w:val="1E293B"/>
                <w:sz w:val="20"/>
                <w:szCs w:val="20"/>
              </w:rPr>
              <w:t xml:space="preserve">• Full Hit (&gt;=100%): Achieved complete target -&gt; Eligible for full monthly bonus/incentive.
• Partial Hit (&gt;=25% for FA): Met the 25% probation hurdle -&gt; Eligible for Rs. 20,000 partial incentive.
• Miss (&lt;75% / &lt;25%): Below required threshold.
• No Target: Member has no target configured for their role.</w:t>
            </w:r>
          </w:p>
          <w:p>
            <w:pPr>
              <w:spacing w:after="0" w:before="0"/>
            </w:pPr>
            <w:r>
              <w:rPr>
                <w:rFonts w:ascii="Nirmala UI" w:cs="Nirmala UI" w:eastAsia="Nirmala UI" w:hAnsi="Nirmala UI"/>
                <w:color w:val="475569"/>
                <w:sz w:val="20"/>
                <w:szCs w:val="20"/>
              </w:rPr>
              <w:t xml:space="preserve">• Full Hit (&gt;=100%): සම්පූර්ණ ඉලක්කය සාක්ෂාත් කර ඇත -&gt; සම්පූර්ණ මාසික දිරිගැන්වීම හිමිවේ.
• Partial Hit (&gt;=25% - FA පමණි): 25% සීමාව පසුකර ඇත -&gt; රු. 20,000 ක අර්ධ දිරිගැන්වීම හිමිවේ.
• Miss: අවම සීමාවට වඩා අඩුය.
• No Target: තනතුරට අදාලව ඉලක්කයක් සකසා නැත.</w:t>
            </w:r>
          </w:p>
        </w:tc>
      </w:tr>
    </w:tbl>
    <w:p>
      <w:pPr>
        <w:spacing w:after="100" w:before="200"/>
      </w:pPr>
    </w:p>
    <w:p>
      <w:pPr>
        <w:pStyle w:val="Heading1"/>
        <w:spacing w:after="140" w:before="360"/>
      </w:pPr>
      <w:r>
        <w:rPr>
          <w:rFonts w:ascii="Segoe UI" w:cs="Segoe UI" w:eastAsia="Segoe UI" w:hAnsi="Segoe UI"/>
          <w:b/>
          <w:bCs/>
          <w:color w:val="1B4332"/>
          <w:sz w:val="32"/>
          <w:szCs w:val="32"/>
        </w:rPr>
        <w:t xml:space="preserve">4. Client Registration &amp; KYC Workflow</w:t>
      </w:r>
      <w:r>
        <w:rPr>
          <w:rFonts w:ascii="Nirmala UI" w:cs="Nirmala UI" w:eastAsia="Nirmala UI" w:hAnsi="Nirmala UI"/>
          <w:b/>
          <w:bCs/>
          <w:color w:val="2D6A4F"/>
          <w:sz w:val="28"/>
          <w:szCs w:val="28"/>
        </w:rPr>
        <w:t xml:space="preserve"> | නව ගනුදෙනුකරුවන් ලියාපදිංචිය (KYC)</w:t>
      </w:r>
    </w:p>
    <w:p>
      <w:pPr>
        <w:spacing w:after="100" w:before="60" w:line="276"/>
      </w:pPr>
      <w:r>
        <w:rPr>
          <w:rFonts w:ascii="Segoe UI" w:cs="Segoe UI" w:eastAsia="Segoe UI" w:hAnsi="Segoe UI"/>
          <w:color w:val="1E293B"/>
          <w:sz w:val="21"/>
          <w:szCs w:val="21"/>
        </w:rPr>
        <w:t xml:space="preserve">All investors must be formally registered in the ERP before entering any investments or issuing certificates.</w:t>
      </w:r>
      <w:r>
        <w:rPr>
          <w:rFonts w:ascii="Nirmala UI" w:cs="Nirmala UI" w:eastAsia="Nirmala UI" w:hAnsi="Nirmala UI"/>
          <w:color w:val="475569"/>
          <w:sz w:val="20"/>
          <w:szCs w:val="20"/>
        </w:rPr>
        <w:t xml:space="preserve">  [සිංහල: ආයෝජන ඇතුලත් කිරීමට හෝ ගිවිසුම් සකස් කිරීමට පෙර සෑම ආයෝජකයෙකුම පද්ධතිය තුළ ලියාපදිංචි කළ යුතුය.]</w:t>
      </w:r>
    </w:p>
    <w:p>
      <w:pPr>
        <w:pStyle w:val="Heading2"/>
        <w:spacing w:after="100" w:before="260"/>
      </w:pPr>
      <w:r>
        <w:rPr>
          <w:rFonts w:ascii="Segoe UI" w:cs="Segoe UI" w:eastAsia="Segoe UI" w:hAnsi="Segoe UI"/>
          <w:b/>
          <w:bCs/>
          <w:color w:val="2D6A4F"/>
          <w:sz w:val="26"/>
          <w:szCs w:val="26"/>
        </w:rPr>
        <w:t xml:space="preserve">Step-by-Step Registration Process</w:t>
      </w:r>
      <w:r>
        <w:rPr>
          <w:rFonts w:ascii="Nirmala UI" w:cs="Nirmala UI" w:eastAsia="Nirmala UI" w:hAnsi="Nirmala UI"/>
          <w:b/>
          <w:bCs/>
          <w:color w:val="40916C"/>
          <w:sz w:val="24"/>
          <w:szCs w:val="24"/>
        </w:rPr>
        <w:t xml:space="preserve"> (ලියාපදිංචි කිරීමේ පියවර)</w:t>
      </w:r>
    </w:p>
    <w:p>
      <w:pPr>
        <w:pStyle w:val="ListParagraph"/>
        <w:numPr>
          <w:ilvl w:val="0"/>
          <w:numId w:val="1"/>
        </w:numPr>
        <w:spacing w:after="60" w:before="40"/>
      </w:pPr>
      <w:r>
        <w:rPr>
          <w:rFonts w:ascii="Segoe UI" w:cs="Segoe UI" w:eastAsia="Segoe UI" w:hAnsi="Segoe UI"/>
          <w:color w:val="1E293B"/>
          <w:sz w:val="21"/>
          <w:szCs w:val="21"/>
        </w:rPr>
        <w:t xml:space="preserve">Step 1: Go to 'Clients' (ගනුදෙනුකරුවන්) -&gt; Click 'New Client' (+ නව ගනුදෙනුකරු).</w:t>
      </w:r>
      <w:r>
        <w:rPr>
          <w:rFonts w:ascii="Nirmala UI" w:cs="Nirmala UI" w:eastAsia="Nirmala UI" w:hAnsi="Nirmala UI"/>
          <w:color w:val="475569"/>
          <w:sz w:val="20"/>
          <w:szCs w:val="20"/>
        </w:rPr>
        <w:t xml:space="preserve"> — මෙනුවේ Clients වෙත ගොස් 'New Client' බොත්තම ඔබන්න.</w:t>
      </w:r>
    </w:p>
    <w:p>
      <w:pPr>
        <w:pStyle w:val="ListParagraph"/>
        <w:numPr>
          <w:ilvl w:val="0"/>
          <w:numId w:val="1"/>
        </w:numPr>
        <w:spacing w:after="60" w:before="40"/>
      </w:pPr>
      <w:r>
        <w:rPr>
          <w:rFonts w:ascii="Segoe UI" w:cs="Segoe UI" w:eastAsia="Segoe UI" w:hAnsi="Segoe UI"/>
          <w:color w:val="1E293B"/>
          <w:sz w:val="21"/>
          <w:szCs w:val="21"/>
        </w:rPr>
        <w:t xml:space="preserve">Step 2: Fill Applicant Information: Full Name, Name with Initials, National Identity Card (NIC / Passport), Permanent Address, Contact Phone Numbers, and Email.</w:t>
      </w:r>
      <w:r>
        <w:rPr>
          <w:rFonts w:ascii="Nirmala UI" w:cs="Nirmala UI" w:eastAsia="Nirmala UI" w:hAnsi="Nirmala UI"/>
          <w:color w:val="475569"/>
          <w:sz w:val="20"/>
          <w:szCs w:val="20"/>
        </w:rPr>
        <w:t xml:space="preserve"> — අයදුම්කරුගේ සම්පූර්ණ නම, මුලකුරු සමග නම, ජාතික හැඳුනුම්පත් අංකය (NIC), ලිපිනය, දුරකථන අංක ඇතුලත් කරන්න.</w:t>
      </w:r>
    </w:p>
    <w:p>
      <w:pPr>
        <w:pStyle w:val="ListParagraph"/>
        <w:numPr>
          <w:ilvl w:val="0"/>
          <w:numId w:val="1"/>
        </w:numPr>
        <w:spacing w:after="60" w:before="40"/>
      </w:pPr>
      <w:r>
        <w:rPr>
          <w:rFonts w:ascii="Segoe UI" w:cs="Segoe UI" w:eastAsia="Segoe UI" w:hAnsi="Segoe UI"/>
          <w:color w:val="1E293B"/>
          <w:sz w:val="21"/>
          <w:szCs w:val="21"/>
        </w:rPr>
        <w:t xml:space="preserve">Step 3: Nominee / Beneficiary Details: Nominee Name, Relationship, NIC, and Contact details. (Crucial for legal plantation agreements).</w:t>
      </w:r>
      <w:r>
        <w:rPr>
          <w:rFonts w:ascii="Nirmala UI" w:cs="Nirmala UI" w:eastAsia="Nirmala UI" w:hAnsi="Nirmala UI"/>
          <w:color w:val="475569"/>
          <w:sz w:val="20"/>
          <w:szCs w:val="20"/>
        </w:rPr>
        <w:t xml:space="preserve"> — ප්‍රතිලාභියා / අනුප්‍රාප්තිකයාගේ (Nominee) සම්පූර්ණ නම, ඥාතිත්වය සහ හැඳුනුම්පත් අංකය නිවැරදිව සටහන් කරන්න.</w:t>
      </w:r>
    </w:p>
    <w:p>
      <w:pPr>
        <w:pStyle w:val="ListParagraph"/>
        <w:numPr>
          <w:ilvl w:val="0"/>
          <w:numId w:val="1"/>
        </w:numPr>
        <w:spacing w:after="60" w:before="40"/>
      </w:pPr>
      <w:r>
        <w:rPr>
          <w:rFonts w:ascii="Segoe UI" w:cs="Segoe UI" w:eastAsia="Segoe UI" w:hAnsi="Segoe UI"/>
          <w:color w:val="1E293B"/>
          <w:sz w:val="21"/>
          <w:szCs w:val="21"/>
        </w:rPr>
        <w:t xml:space="preserve">Step 4: Bank Details: Bank Name, Branch Name, Account Number, and Account Name (Required for future dividend or return transfers).</w:t>
      </w:r>
      <w:r>
        <w:rPr>
          <w:rFonts w:ascii="Nirmala UI" w:cs="Nirmala UI" w:eastAsia="Nirmala UI" w:hAnsi="Nirmala UI"/>
          <w:color w:val="475569"/>
          <w:sz w:val="20"/>
          <w:szCs w:val="20"/>
        </w:rPr>
        <w:t xml:space="preserve"> — ප්‍රතිලාභ හෝ ලාභාංශ බැර කිරීමට ගනුදෙනුකරුගේ බැංකු ගිණුම් විස්තර ඇතුලත් කරන්න.</w:t>
      </w:r>
    </w:p>
    <w:p>
      <w:pPr>
        <w:pStyle w:val="ListParagraph"/>
        <w:numPr>
          <w:ilvl w:val="0"/>
          <w:numId w:val="1"/>
        </w:numPr>
        <w:spacing w:after="60" w:before="40"/>
      </w:pPr>
      <w:r>
        <w:rPr>
          <w:rFonts w:ascii="Segoe UI" w:cs="Segoe UI" w:eastAsia="Segoe UI" w:hAnsi="Segoe UI"/>
          <w:color w:val="1E293B"/>
          <w:sz w:val="21"/>
          <w:szCs w:val="21"/>
        </w:rPr>
        <w:t xml:space="preserve">Step 5: KYC Verification &amp; Document Upload: Upload scanned copy of NIC (Front &amp; Back) and Application Form -&gt; Click 'Submit'.</w:t>
      </w:r>
      <w:r>
        <w:rPr>
          <w:rFonts w:ascii="Nirmala UI" w:cs="Nirmala UI" w:eastAsia="Nirmala UI" w:hAnsi="Nirmala UI"/>
          <w:color w:val="475569"/>
          <w:sz w:val="20"/>
          <w:szCs w:val="20"/>
        </w:rPr>
        <w:t xml:space="preserve"> — හැඳුනුම්පතේ දෙපැත්ත ඡායා පිටපත් හෝ ලේඛන Upload කර 'Submit' කරන්න.</w:t>
      </w:r>
    </w:p>
    <w:p>
      <w:pPr>
        <w:spacing w:after="100" w:before="200"/>
      </w:pPr>
    </w:p>
    <w:p>
      <w:pPr>
        <w:pStyle w:val="Heading1"/>
        <w:spacing w:after="140" w:before="360"/>
      </w:pPr>
      <w:r>
        <w:rPr>
          <w:rFonts w:ascii="Segoe UI" w:cs="Segoe UI" w:eastAsia="Segoe UI" w:hAnsi="Segoe UI"/>
          <w:b/>
          <w:bCs/>
          <w:color w:val="1B4332"/>
          <w:sz w:val="32"/>
          <w:szCs w:val="32"/>
        </w:rPr>
        <w:t xml:space="preserve">5. Investment Proposals &amp; Agreements</w:t>
      </w:r>
      <w:r>
        <w:rPr>
          <w:rFonts w:ascii="Nirmala UI" w:cs="Nirmala UI" w:eastAsia="Nirmala UI" w:hAnsi="Nirmala UI"/>
          <w:b/>
          <w:bCs/>
          <w:color w:val="2D6A4F"/>
          <w:sz w:val="28"/>
          <w:szCs w:val="28"/>
        </w:rPr>
        <w:t xml:space="preserve"> | ආයෝජන සහ ගිවිසුම් කළමනාකරණය</w:t>
      </w:r>
    </w:p>
    <w:p>
      <w:pPr>
        <w:spacing w:after="100" w:before="60" w:line="276"/>
      </w:pPr>
      <w:r>
        <w:rPr>
          <w:rFonts w:ascii="Segoe UI" w:cs="Segoe UI" w:eastAsia="Segoe UI" w:hAnsi="Segoe UI"/>
          <w:color w:val="1E293B"/>
          <w:sz w:val="21"/>
          <w:szCs w:val="21"/>
        </w:rPr>
        <w:t xml:space="preserve">Super Green ERP tracks all plantation contracts (Green Gold, Vanilla, Coconut, Timber, etc.) through a multi-tier approval lifecycle.</w:t>
      </w:r>
      <w:r>
        <w:rPr>
          <w:rFonts w:ascii="Nirmala UI" w:cs="Nirmala UI" w:eastAsia="Nirmala UI" w:hAnsi="Nirmala UI"/>
          <w:color w:val="475569"/>
          <w:sz w:val="20"/>
          <w:szCs w:val="20"/>
        </w:rPr>
        <w:t xml:space="preserve">  [සිංහල: සුපර් ග්‍රීන් ප්ලාන්ටේෂන්ස් හරහා සිදුකරන සියලුම ආයෝජන (Green Gold, වැනිලා, පොල් ආදී) පද්ධතිය හරහා අනුමත කිරීම සහ අධීක්ෂණය සිදුකෙරේ.]</w:t>
      </w:r>
    </w:p>
    <w:p>
      <w:pPr>
        <w:pStyle w:val="Heading2"/>
        <w:spacing w:after="100" w:before="260"/>
      </w:pPr>
      <w:r>
        <w:rPr>
          <w:rFonts w:ascii="Segoe UI" w:cs="Segoe UI" w:eastAsia="Segoe UI" w:hAnsi="Segoe UI"/>
          <w:b/>
          <w:bCs/>
          <w:color w:val="2D6A4F"/>
          <w:sz w:val="26"/>
          <w:szCs w:val="26"/>
        </w:rPr>
        <w:t xml:space="preserve">Creating a New Investment</w:t>
      </w:r>
      <w:r>
        <w:rPr>
          <w:rFonts w:ascii="Nirmala UI" w:cs="Nirmala UI" w:eastAsia="Nirmala UI" w:hAnsi="Nirmala UI"/>
          <w:b/>
          <w:bCs/>
          <w:color w:val="40916C"/>
          <w:sz w:val="24"/>
          <w:szCs w:val="24"/>
        </w:rPr>
        <w:t xml:space="preserve"> (නව ආයෝජනයක් ඇතුලත් කිරීම)</w:t>
      </w:r>
    </w:p>
    <w:p>
      <w:pPr>
        <w:pStyle w:val="ListParagraph"/>
        <w:numPr>
          <w:ilvl w:val="0"/>
          <w:numId w:val="1"/>
        </w:numPr>
        <w:spacing w:after="60" w:before="40"/>
      </w:pPr>
      <w:r>
        <w:rPr>
          <w:rFonts w:ascii="Segoe UI" w:cs="Segoe UI" w:eastAsia="Segoe UI" w:hAnsi="Segoe UI"/>
          <w:color w:val="1E293B"/>
          <w:sz w:val="21"/>
          <w:szCs w:val="21"/>
        </w:rPr>
        <w:t xml:space="preserve">1. Select Registered Client: Search and choose the client from the database.</w:t>
      </w:r>
      <w:r>
        <w:rPr>
          <w:rFonts w:ascii="Nirmala UI" w:cs="Nirmala UI" w:eastAsia="Nirmala UI" w:hAnsi="Nirmala UI"/>
          <w:color w:val="475569"/>
          <w:sz w:val="20"/>
          <w:szCs w:val="20"/>
        </w:rPr>
        <w:t xml:space="preserve"> — ලියාපදිංචි කර ඇති ආයෝජකයා තෝරන්න.</w:t>
      </w:r>
    </w:p>
    <w:p>
      <w:pPr>
        <w:pStyle w:val="ListParagraph"/>
        <w:numPr>
          <w:ilvl w:val="0"/>
          <w:numId w:val="1"/>
        </w:numPr>
        <w:spacing w:after="60" w:before="40"/>
      </w:pPr>
      <w:r>
        <w:rPr>
          <w:rFonts w:ascii="Segoe UI" w:cs="Segoe UI" w:eastAsia="Segoe UI" w:hAnsi="Segoe UI"/>
          <w:color w:val="1E293B"/>
          <w:sz w:val="21"/>
          <w:szCs w:val="21"/>
        </w:rPr>
        <w:t xml:space="preserve">2. Select Plant Package &amp; Units: Choose the investment package (e.g. Vanilla Vines, Green Gold units, or Custom Acreage).</w:t>
      </w:r>
      <w:r>
        <w:rPr>
          <w:rFonts w:ascii="Nirmala UI" w:cs="Nirmala UI" w:eastAsia="Nirmala UI" w:hAnsi="Nirmala UI"/>
          <w:color w:val="475569"/>
          <w:sz w:val="20"/>
          <w:szCs w:val="20"/>
        </w:rPr>
        <w:t xml:space="preserve"> — ආයෝජන පැකේජය සහ ඒකක ගණන (Units / Plants) තෝරන්න.</w:t>
      </w:r>
    </w:p>
    <w:p>
      <w:pPr>
        <w:pStyle w:val="ListParagraph"/>
        <w:numPr>
          <w:ilvl w:val="0"/>
          <w:numId w:val="1"/>
        </w:numPr>
        <w:spacing w:after="60" w:before="40"/>
      </w:pPr>
      <w:r>
        <w:rPr>
          <w:rFonts w:ascii="Segoe UI" w:cs="Segoe UI" w:eastAsia="Segoe UI" w:hAnsi="Segoe UI"/>
          <w:color w:val="1E293B"/>
          <w:sz w:val="21"/>
          <w:szCs w:val="21"/>
        </w:rPr>
        <w:t xml:space="preserve">3. Enter Investment Amount &amp; Date: Enter the total capital invested (e.g. LKR 1,000,000) and payment receipt date.</w:t>
      </w:r>
      <w:r>
        <w:rPr>
          <w:rFonts w:ascii="Nirmala UI" w:cs="Nirmala UI" w:eastAsia="Nirmala UI" w:hAnsi="Nirmala UI"/>
          <w:color w:val="475569"/>
          <w:sz w:val="20"/>
          <w:szCs w:val="20"/>
        </w:rPr>
        <w:t xml:space="preserve"> — මුළු ආයෝජන වටිනාකම (රුපියල්) සහ මුදල් ගෙවූ දිනය ඇතුලත් කරන්න.</w:t>
      </w:r>
    </w:p>
    <w:p>
      <w:pPr>
        <w:pStyle w:val="ListParagraph"/>
        <w:numPr>
          <w:ilvl w:val="0"/>
          <w:numId w:val="1"/>
        </w:numPr>
        <w:spacing w:after="60" w:before="40"/>
      </w:pPr>
      <w:r>
        <w:rPr>
          <w:rFonts w:ascii="Segoe UI" w:cs="Segoe UI" w:eastAsia="Segoe UI" w:hAnsi="Segoe UI"/>
          <w:color w:val="1E293B"/>
          <w:sz w:val="21"/>
          <w:szCs w:val="21"/>
        </w:rPr>
        <w:t xml:space="preserve">4. Assign Advisor &amp; Hierarchy Chain: Select the Field Advisor (FA) who brought the deal. The system will automatically populate or allow selection of their Upline FM, BM, RM, ZM, AGM, and CCO.</w:t>
      </w:r>
      <w:r>
        <w:rPr>
          <w:rFonts w:ascii="Nirmala UI" w:cs="Nirmala UI" w:eastAsia="Nirmala UI" w:hAnsi="Nirmala UI"/>
          <w:color w:val="475569"/>
          <w:sz w:val="20"/>
          <w:szCs w:val="20"/>
        </w:rPr>
        <w:t xml:space="preserve"> — මෙම ආයෝජනය සිදුකළ ක්ෂේත්‍ර උපදේශකවරයා (FA) තෝරන්න. ඒ අනුව ඔහුට ඉහළින් සිටින කණ්ඩායම් නායකයින් (FM, BM, RM) ස්වයංක්‍රීයව සම්බන්ධ වේ.</w:t>
      </w:r>
    </w:p>
    <w:p>
      <w:pPr>
        <w:pStyle w:val="ListParagraph"/>
        <w:numPr>
          <w:ilvl w:val="0"/>
          <w:numId w:val="1"/>
        </w:numPr>
        <w:spacing w:after="60" w:before="40"/>
      </w:pPr>
      <w:r>
        <w:rPr>
          <w:rFonts w:ascii="Segoe UI" w:cs="Segoe UI" w:eastAsia="Segoe UI" w:hAnsi="Segoe UI"/>
          <w:color w:val="1E293B"/>
          <w:sz w:val="21"/>
          <w:szCs w:val="21"/>
        </w:rPr>
        <w:t xml:space="preserve">5. Approval Workflow: Submitted investments enter PENDING status. The Branch Manager (BM) reviews the payment slip, marks it APPROVED. Upon approval, volume is credited to the advisor's monthly payroll volume.</w:t>
      </w:r>
      <w:r>
        <w:rPr>
          <w:rFonts w:ascii="Nirmala UI" w:cs="Nirmala UI" w:eastAsia="Nirmala UI" w:hAnsi="Nirmala UI"/>
          <w:color w:val="475569"/>
          <w:sz w:val="20"/>
          <w:szCs w:val="20"/>
        </w:rPr>
        <w:t xml:space="preserve"> — ඇතුලත් කළ පසු ආයෝජනය PENDING තත්වයේ පවතී. ශාඛා කළමනාකරු (BM) මුදල් රිසිට්පත පරීක්ෂා කර APPROVED කළ පසු එම පරිමාව උපදේශකයාගේ මාසික ප්‍රගතියට එක්වේ.</w:t>
      </w:r>
    </w:p>
    <w:p>
      <w:pPr>
        <w:pStyle w:val="ListParagraph"/>
        <w:numPr>
          <w:ilvl w:val="0"/>
          <w:numId w:val="1"/>
        </w:numPr>
        <w:spacing w:after="60" w:before="40"/>
      </w:pPr>
      <w:r>
        <w:rPr>
          <w:rFonts w:ascii="Segoe UI" w:cs="Segoe UI" w:eastAsia="Segoe UI" w:hAnsi="Segoe UI"/>
          <w:color w:val="1E293B"/>
          <w:sz w:val="21"/>
          <w:szCs w:val="21"/>
        </w:rPr>
        <w:t xml:space="preserve">6. Download Agreement (.docx / PDF): Click 'Download Agreement' to export the official Sinhala legal contract with auto-populated client, nominee, and plantation unit details.</w:t>
      </w:r>
      <w:r>
        <w:rPr>
          <w:rFonts w:ascii="Nirmala UI" w:cs="Nirmala UI" w:eastAsia="Nirmala UI" w:hAnsi="Nirmala UI"/>
          <w:color w:val="475569"/>
          <w:sz w:val="20"/>
          <w:szCs w:val="20"/>
        </w:rPr>
        <w:t xml:space="preserve"> — ආයෝජනය අනුමත වූ පසු 'Download Agreement' මගින් නිල සිංහල නීතිමය ආයෝජන ගිවිසුම Word (.docx) හෝ PDF ලෙස බාගත කර මුද්‍රණය කරගත හැක.</w:t>
      </w:r>
    </w:p>
    <w:p>
      <w:pPr>
        <w:spacing w:after="100" w:before="200"/>
      </w:pPr>
    </w:p>
    <w:p>
      <w:pPr>
        <w:pStyle w:val="Heading1"/>
        <w:spacing w:after="140" w:before="360"/>
      </w:pPr>
      <w:r>
        <w:rPr>
          <w:rFonts w:ascii="Segoe UI" w:cs="Segoe UI" w:eastAsia="Segoe UI" w:hAnsi="Segoe UI"/>
          <w:b/>
          <w:bCs/>
          <w:color w:val="1B4332"/>
          <w:sz w:val="32"/>
          <w:szCs w:val="32"/>
        </w:rPr>
        <w:t xml:space="preserve">6. Monthly Proposals (MP System)</w:t>
      </w:r>
      <w:r>
        <w:rPr>
          <w:rFonts w:ascii="Nirmala UI" w:cs="Nirmala UI" w:eastAsia="Nirmala UI" w:hAnsi="Nirmala UI"/>
          <w:b/>
          <w:bCs/>
          <w:color w:val="2D6A4F"/>
          <w:sz w:val="28"/>
          <w:szCs w:val="28"/>
        </w:rPr>
        <w:t xml:space="preserve"> | මාසික යෝජනා පත්‍ර (Monthly Proposals)</w:t>
      </w:r>
    </w:p>
    <w:p>
      <w:pPr>
        <w:spacing w:after="100" w:before="60" w:line="276"/>
      </w:pPr>
      <w:r>
        <w:rPr>
          <w:rFonts w:ascii="Segoe UI" w:cs="Segoe UI" w:eastAsia="Segoe UI" w:hAnsi="Segoe UI"/>
          <w:color w:val="1E293B"/>
          <w:sz w:val="21"/>
          <w:szCs w:val="21"/>
        </w:rPr>
        <w:t xml:space="preserve">For recurring or installment-based investment plans, the system tracks each monthly proposal installment separately.</w:t>
      </w:r>
      <w:r>
        <w:rPr>
          <w:rFonts w:ascii="Nirmala UI" w:cs="Nirmala UI" w:eastAsia="Nirmala UI" w:hAnsi="Nirmala UI"/>
          <w:color w:val="475569"/>
          <w:sz w:val="20"/>
          <w:szCs w:val="20"/>
        </w:rPr>
        <w:t xml:space="preserve">  [සිංහල: මාසික වාරික ක්‍රමයට මුදල් එකතු කරන ආයෝජන සැලසුම් සඳහා මෙම Monthly Proposals අංශය ක්‍රියාත්මක වේ.]</w:t>
      </w:r>
    </w:p>
    <w:p>
      <w:pPr>
        <w:pStyle w:val="ListParagraph"/>
        <w:numPr>
          <w:ilvl w:val="0"/>
          <w:numId w:val="1"/>
        </w:numPr>
        <w:spacing w:after="60" w:before="40"/>
      </w:pPr>
      <w:r>
        <w:rPr>
          <w:rFonts w:ascii="Segoe UI" w:cs="Segoe UI" w:eastAsia="Segoe UI" w:hAnsi="Segoe UI"/>
          <w:color w:val="1E293B"/>
          <w:sz w:val="21"/>
          <w:szCs w:val="21"/>
        </w:rPr>
        <w:t xml:space="preserve">Proposal Form Numbering: Each proposal carries a distinct Proposal Form No. and tracking ID.</w:t>
      </w:r>
      <w:r>
        <w:rPr>
          <w:rFonts w:ascii="Nirmala UI" w:cs="Nirmala UI" w:eastAsia="Nirmala UI" w:hAnsi="Nirmala UI"/>
          <w:color w:val="475569"/>
          <w:sz w:val="20"/>
          <w:szCs w:val="20"/>
        </w:rPr>
        <w:t xml:space="preserve"> — සෑම යෝජනාවකටම අනන්‍ය යෝජනා පත්‍ර අංකයක් (Proposal Form No) පවතී.</w:t>
      </w:r>
    </w:p>
    <w:p>
      <w:pPr>
        <w:pStyle w:val="ListParagraph"/>
        <w:numPr>
          <w:ilvl w:val="0"/>
          <w:numId w:val="1"/>
        </w:numPr>
        <w:spacing w:after="60" w:before="40"/>
      </w:pPr>
      <w:r>
        <w:rPr>
          <w:rFonts w:ascii="Segoe UI" w:cs="Segoe UI" w:eastAsia="Segoe UI" w:hAnsi="Segoe UI"/>
          <w:color w:val="1E293B"/>
          <w:sz w:val="21"/>
          <w:szCs w:val="21"/>
        </w:rPr>
        <w:t xml:space="preserve">Monthly Premium Collections: Monthly installment premiums are entered as they are received. Upon approval, premium volume contributes to the advisor's current month volume.</w:t>
      </w:r>
      <w:r>
        <w:rPr>
          <w:rFonts w:ascii="Nirmala UI" w:cs="Nirmala UI" w:eastAsia="Nirmala UI" w:hAnsi="Nirmala UI"/>
          <w:color w:val="475569"/>
          <w:sz w:val="20"/>
          <w:szCs w:val="20"/>
        </w:rPr>
        <w:t xml:space="preserve"> — මාසිකව එකතු වන වාරික මුදල් ඇතුලත් කර අනුමත කළ විට, එම මාසයේ උපදේශකයාගේ ඉලක්ක ප්‍රගතියට (Volume) එම මුදල එකතු වේ.</w:t>
      </w:r>
    </w:p>
    <w:p>
      <w:pPr>
        <w:spacing w:after="100" w:before="200"/>
      </w:pPr>
    </w:p>
    <w:p>
      <w:pPr>
        <w:pStyle w:val="Heading1"/>
        <w:spacing w:after="140" w:before="360"/>
      </w:pPr>
      <w:r>
        <w:rPr>
          <w:rFonts w:ascii="Segoe UI" w:cs="Segoe UI" w:eastAsia="Segoe UI" w:hAnsi="Segoe UI"/>
          <w:b/>
          <w:bCs/>
          <w:color w:val="1B4332"/>
          <w:sz w:val="32"/>
          <w:szCs w:val="32"/>
        </w:rPr>
        <w:t xml:space="preserve">7. Commissions &amp; ORC Calculation</w:t>
      </w:r>
      <w:r>
        <w:rPr>
          <w:rFonts w:ascii="Nirmala UI" w:cs="Nirmala UI" w:eastAsia="Nirmala UI" w:hAnsi="Nirmala UI"/>
          <w:b/>
          <w:bCs/>
          <w:color w:val="2D6A4F"/>
          <w:sz w:val="28"/>
          <w:szCs w:val="28"/>
        </w:rPr>
        <w:t xml:space="preserve"> | කොමිස් සහ ORC බෙදාහැරීමේ ක්‍රමවේදය</w:t>
      </w:r>
    </w:p>
    <w:p>
      <w:pPr>
        <w:spacing w:after="100" w:before="60" w:line="276"/>
      </w:pPr>
      <w:r>
        <w:rPr>
          <w:rFonts w:ascii="Segoe UI" w:cs="Segoe UI" w:eastAsia="Segoe UI" w:hAnsi="Segoe UI"/>
          <w:color w:val="1E293B"/>
          <w:sz w:val="21"/>
          <w:szCs w:val="21"/>
        </w:rPr>
        <w:t xml:space="preserve">Super Green ERP features an automated Month-End Commission Engine that runs idempotently to compute personal, upline, excess, and chairman commissions.</w:t>
      </w:r>
      <w:r>
        <w:rPr>
          <w:rFonts w:ascii="Nirmala UI" w:cs="Nirmala UI" w:eastAsia="Nirmala UI" w:hAnsi="Nirmala UI"/>
          <w:color w:val="475569"/>
          <w:sz w:val="20"/>
          <w:szCs w:val="20"/>
        </w:rPr>
        <w:t xml:space="preserve">  [සිංහල: සුපර් ග්‍රීන් පද්ධතිය තුළ සෑම මසකම අවසානයේදී පුද්ගලික කොමිස්, උඩුපෙළ කොමිස් (ORC), අතිරේක කොමිස් (Excess) සහ සභාපති අරමුදල් කොමිස් ස්වයංක්‍රීයව ගණනය කරනු ලැබේ.]</w:t>
      </w:r>
    </w:p>
    <w:p>
      <w:pPr>
        <w:pStyle w:val="Heading2"/>
        <w:spacing w:after="100" w:before="260"/>
      </w:pPr>
      <w:r>
        <w:rPr>
          <w:rFonts w:ascii="Segoe UI" w:cs="Segoe UI" w:eastAsia="Segoe UI" w:hAnsi="Segoe UI"/>
          <w:b/>
          <w:bCs/>
          <w:color w:val="2D6A4F"/>
          <w:sz w:val="26"/>
          <w:szCs w:val="26"/>
        </w:rPr>
        <w:t xml:space="preserve">Commission Categories Breakdown</w:t>
      </w:r>
      <w:r>
        <w:rPr>
          <w:rFonts w:ascii="Nirmala UI" w:cs="Nirmala UI" w:eastAsia="Nirmala UI" w:hAnsi="Nirmala UI"/>
          <w:b/>
          <w:bCs/>
          <w:color w:val="40916C"/>
          <w:sz w:val="24"/>
          <w:szCs w:val="24"/>
        </w:rPr>
        <w:t xml:space="preserve"> (කොමිස් වර්ග සහ අනුපාත)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90"/>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Commission Type</w:t>
            </w:r>
            <w:r>
              <w:rPr>
                <w:rFonts w:ascii="Nirmala UI" w:cs="Nirmala UI" w:eastAsia="Nirmala UI" w:hAnsi="Nirmala UI"/>
                <w:b/>
                <w:bCs/>
                <w:color w:val="D8F3DC"/>
                <w:sz w:val="18"/>
                <w:szCs w:val="18"/>
              </w:rPr>
              <w:t xml:space="preserve">
කොමිස් වර්ගය</w:t>
            </w:r>
          </w:p>
        </w:tc>
        <w:tc>
          <w:tcPr>
            <w:tcW w:type="dxa" w:w="2185"/>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Beneficiary Role</w:t>
            </w:r>
            <w:r>
              <w:rPr>
                <w:rFonts w:ascii="Nirmala UI" w:cs="Nirmala UI" w:eastAsia="Nirmala UI" w:hAnsi="Nirmala UI"/>
                <w:b/>
                <w:bCs/>
                <w:color w:val="D8F3DC"/>
                <w:sz w:val="18"/>
                <w:szCs w:val="18"/>
              </w:rPr>
              <w:t xml:space="preserve">
හිමිවන නිලධාරියා</w:t>
            </w:r>
          </w:p>
        </w:tc>
        <w:tc>
          <w:tcPr>
            <w:tcW w:type="dxa" w:w="5225"/>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Percentage / Rule</w:t>
            </w:r>
            <w:r>
              <w:rPr>
                <w:rFonts w:ascii="Nirmala UI" w:cs="Nirmala UI" w:eastAsia="Nirmala UI" w:hAnsi="Nirmala UI"/>
                <w:b/>
                <w:bCs/>
                <w:color w:val="D8F3DC"/>
                <w:sz w:val="18"/>
                <w:szCs w:val="18"/>
              </w:rPr>
              <w:t xml:space="preserve">
ප්‍රතිශතය සහ නීතිය</w:t>
            </w:r>
          </w:p>
        </w:tc>
      </w:tr>
      <w:tr>
        <w:tc>
          <w:tcPr>
            <w:tcW w:type="dxa" w:w="209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Personal Commission
(පුද්ගලික කොමිස්)</w:t>
            </w:r>
          </w:p>
        </w:tc>
        <w:tc>
          <w:tcPr>
            <w:tcW w:type="dxa" w:w="218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Field Advisor (FA)
ක්ෂේත්‍ර උපදේශක</w:t>
            </w:r>
          </w:p>
        </w:tc>
        <w:tc>
          <w:tcPr>
            <w:tcW w:type="dxa" w:w="52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Probation: High Rate = 10%, Low Rate = 7%.
Permanent: High Rate = 8%, Low Rate = 5%.
(Threshold: LKR 500,000 monthly volume).</w:t>
            </w:r>
          </w:p>
        </w:tc>
      </w:tr>
      <w:tr>
        <w:tc>
          <w:tcPr>
            <w:tcW w:type="dxa" w:w="209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Upline ORC
(Overriding Commission)</w:t>
            </w:r>
          </w:p>
        </w:tc>
        <w:tc>
          <w:tcPr>
            <w:tcW w:type="dxa" w:w="218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FM, BM, RM, ZM, AGM, CCO
කණ්ඩායම් නායකයින්</w:t>
            </w:r>
          </w:p>
        </w:tc>
        <w:tc>
          <w:tcPr>
            <w:tcW w:type="dxa" w:w="52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Calculated based on hierarchical ORC scale assigned in Position settings for each management tier.</w:t>
            </w:r>
          </w:p>
        </w:tc>
      </w:tr>
      <w:tr>
        <w:tc>
          <w:tcPr>
            <w:tcW w:type="dxa" w:w="209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Excess Commission
(අතිරේක කොමිස්)</w:t>
            </w:r>
          </w:p>
        </w:tc>
        <w:tc>
          <w:tcPr>
            <w:tcW w:type="dxa" w:w="218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Marketing Staff achieving &gt; Target</w:t>
            </w:r>
          </w:p>
        </w:tc>
        <w:tc>
          <w:tcPr>
            <w:tcW w:type="dxa" w:w="52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Fixed at 0.5% (0.005) or after-6-month excess rate on every rupee brought ABOVE the monthly target hurdle.</w:t>
            </w:r>
          </w:p>
        </w:tc>
      </w:tr>
      <w:tr>
        <w:tc>
          <w:tcPr>
            <w:tcW w:type="dxa" w:w="209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Chairman Fund
(සභාපති අරමුදල)</w:t>
            </w:r>
          </w:p>
        </w:tc>
        <w:tc>
          <w:tcPr>
            <w:tcW w:type="dxa" w:w="218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Company Pool / Key Executives</w:t>
            </w:r>
          </w:p>
        </w:tc>
        <w:tc>
          <w:tcPr>
            <w:tcW w:type="dxa" w:w="52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Company-wide 0.2% (0.002) allocation on approved total investment volume.</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none" w:color="auto" w:sz="0"/>
              <w:left w:val="single" w:color="1B4332" w:sz="24"/>
              <w:bottom w:val="none" w:color="auto" w:sz="0"/>
              <w:right w:val="none" w:color="auto" w:sz="0"/>
            </w:tcBorders>
            <w:shd w:fill="F0FDF4"/>
            <w:tcMar>
              <w:top w:type="dxa" w:w="140"/>
              <w:left w:type="dxa" w:w="200"/>
              <w:bottom w:type="dxa" w:w="140"/>
              <w:right w:type="dxa" w:w="200"/>
            </w:tcMar>
          </w:tcPr>
          <w:p>
            <w:pPr>
              <w:spacing w:after="60" w:before="0"/>
            </w:pPr>
            <w:r>
              <w:rPr>
                <w:rFonts w:ascii="Segoe UI" w:cs="Segoe UI" w:eastAsia="Segoe UI" w:hAnsi="Segoe UI"/>
                <w:b/>
                <w:bCs/>
                <w:color w:val="1B4332"/>
                <w:sz w:val="22"/>
                <w:szCs w:val="22"/>
              </w:rPr>
              <w:t xml:space="preserve">📌 Idempotent Month-End Runner Rule (මාසික කොමිස් සැකසීමේ නීතිය)</w:t>
            </w:r>
          </w:p>
          <w:p>
            <w:pPr>
              <w:spacing w:after="40" w:before="0"/>
            </w:pPr>
            <w:r>
              <w:rPr>
                <w:rFonts w:ascii="Segoe UI" w:cs="Segoe UI" w:eastAsia="Segoe UI" w:hAnsi="Segoe UI"/>
                <w:color w:val="1E293B"/>
                <w:sz w:val="20"/>
                <w:szCs w:val="20"/>
              </w:rPr>
              <w:t xml:space="preserve">Commissions are calculated once at month-end per branch. If commissions have already been processed for that branch and month, the runner will safely return existing records without duplicate double-counting.</w:t>
            </w:r>
          </w:p>
          <w:p>
            <w:pPr>
              <w:spacing w:after="0" w:before="0"/>
            </w:pPr>
            <w:r>
              <w:rPr>
                <w:rFonts w:ascii="Nirmala UI" w:cs="Nirmala UI" w:eastAsia="Nirmala UI" w:hAnsi="Nirmala UI"/>
                <w:color w:val="475569"/>
                <w:sz w:val="20"/>
                <w:szCs w:val="20"/>
              </w:rPr>
              <w:t xml:space="preserve">එක් එක් ශාඛාව සඳහා මාසික කොමිස් ගණනය කරන්නේ එක් වරක් පමණි. කිසියම් ශාඛාවක එම මාසය සඳහා කොමිස් සකසා ඇත්නම්, නැවත run කළද දෙවරක් ගණනය නොවී පවතින වාර්තා සුරක්ෂිතව පවත්වා ගනී (Idempotent).</w:t>
            </w:r>
          </w:p>
        </w:tc>
      </w:tr>
    </w:tbl>
    <w:p>
      <w:pPr>
        <w:spacing w:after="100" w:before="200"/>
      </w:pPr>
    </w:p>
    <w:p>
      <w:pPr>
        <w:pStyle w:val="Heading1"/>
        <w:spacing w:after="140" w:before="360"/>
      </w:pPr>
      <w:r>
        <w:rPr>
          <w:rFonts w:ascii="Segoe UI" w:cs="Segoe UI" w:eastAsia="Segoe UI" w:hAnsi="Segoe UI"/>
          <w:b/>
          <w:bCs/>
          <w:color w:val="1B4332"/>
          <w:sz w:val="32"/>
          <w:szCs w:val="32"/>
        </w:rPr>
        <w:t xml:space="preserve">8. HR Operations, Payroll &amp; Allowances</w:t>
      </w:r>
      <w:r>
        <w:rPr>
          <w:rFonts w:ascii="Nirmala UI" w:cs="Nirmala UI" w:eastAsia="Nirmala UI" w:hAnsi="Nirmala UI"/>
          <w:b/>
          <w:bCs/>
          <w:color w:val="2D6A4F"/>
          <w:sz w:val="28"/>
          <w:szCs w:val="28"/>
        </w:rPr>
        <w:t xml:space="preserve"> | මානව සම්පත්, වැටුප් සහ දීමනා සැකසීම</w:t>
      </w:r>
    </w:p>
    <w:p>
      <w:pPr>
        <w:spacing w:after="100" w:before="60" w:line="276"/>
      </w:pPr>
      <w:r>
        <w:rPr>
          <w:rFonts w:ascii="Segoe UI" w:cs="Segoe UI" w:eastAsia="Segoe UI" w:hAnsi="Segoe UI"/>
          <w:color w:val="1E293B"/>
          <w:sz w:val="21"/>
          <w:szCs w:val="21"/>
        </w:rPr>
        <w:t xml:space="preserve">The system supports two distinct payroll tracks: Marketing Track (Performance &amp; Target-driven) and Head Office Track (Fixed Base Salary + Executive Allowances).</w:t>
      </w:r>
      <w:r>
        <w:rPr>
          <w:rFonts w:ascii="Nirmala UI" w:cs="Nirmala UI" w:eastAsia="Nirmala UI" w:hAnsi="Nirmala UI"/>
          <w:color w:val="475569"/>
          <w:sz w:val="20"/>
          <w:szCs w:val="20"/>
        </w:rPr>
        <w:t xml:space="preserve">  [සිංහල: පද්ධතිය තුළ වැටුප් ක්‍රමවේද දෙකක් පවතී: අලෙවි අංශය (Marketing Track - ඉලක්ක සහ දක්ෂතාව මත) සහ ප්‍රධාන කාර්යාල කාර්ය මණ්ඩලය (Head Office Track - මූලික වැටුප් සහ දීමනා මත).]</w:t>
      </w:r>
    </w:p>
    <w:p>
      <w:pPr>
        <w:pStyle w:val="Heading2"/>
        <w:spacing w:after="100" w:before="260"/>
      </w:pPr>
      <w:r>
        <w:rPr>
          <w:rFonts w:ascii="Segoe UI" w:cs="Segoe UI" w:eastAsia="Segoe UI" w:hAnsi="Segoe UI"/>
          <w:b/>
          <w:bCs/>
          <w:color w:val="2D6A4F"/>
          <w:sz w:val="26"/>
          <w:szCs w:val="26"/>
        </w:rPr>
        <w:t xml:space="preserve">Marketing Track Target Hierarchy</w:t>
      </w:r>
      <w:r>
        <w:rPr>
          <w:rFonts w:ascii="Nirmala UI" w:cs="Nirmala UI" w:eastAsia="Nirmala UI" w:hAnsi="Nirmala UI"/>
          <w:b/>
          <w:bCs/>
          <w:color w:val="40916C"/>
          <w:sz w:val="24"/>
          <w:szCs w:val="24"/>
        </w:rPr>
        <w:t xml:space="preserve"> (අලෙවි අංශයේ ඉලක්ක තීරණය කිරීමේ අනුපිළිවෙල)</w:t>
      </w:r>
    </w:p>
    <w:p>
      <w:pPr>
        <w:pStyle w:val="ListParagraph"/>
        <w:numPr>
          <w:ilvl w:val="0"/>
          <w:numId w:val="1"/>
        </w:numPr>
        <w:spacing w:after="60" w:before="40"/>
      </w:pPr>
      <w:r>
        <w:rPr>
          <w:rFonts w:ascii="Segoe UI" w:cs="Segoe UI" w:eastAsia="Segoe UI" w:hAnsi="Segoe UI"/>
          <w:color w:val="1E293B"/>
          <w:sz w:val="21"/>
          <w:szCs w:val="21"/>
        </w:rPr>
        <w:t xml:space="preserve">1. Probation Period (Months 1–6): Uses configured PositionTarget tiers based on join date. Month 1–3 = Period 1 targets; Month 4–6 = Period 2 targets.</w:t>
      </w:r>
      <w:r>
        <w:rPr>
          <w:rFonts w:ascii="Nirmala UI" w:cs="Nirmala UI" w:eastAsia="Nirmala UI" w:hAnsi="Nirmala UI"/>
          <w:color w:val="475569"/>
          <w:sz w:val="20"/>
          <w:szCs w:val="20"/>
        </w:rPr>
        <w:t xml:space="preserve"> — පළමු මාස 6 (Probation): බැඳුණු දිනය අනුව 1 සහ 2 කාලසීමාවන්ගේ මාසික ඉලක්ක ක්‍රියාත්මක වේ.</w:t>
      </w:r>
    </w:p>
    <w:p>
      <w:pPr>
        <w:pStyle w:val="ListParagraph"/>
        <w:numPr>
          <w:ilvl w:val="0"/>
          <w:numId w:val="1"/>
        </w:numPr>
        <w:spacing w:after="60" w:before="40"/>
      </w:pPr>
      <w:r>
        <w:rPr>
          <w:rFonts w:ascii="Segoe UI" w:cs="Segoe UI" w:eastAsia="Segoe UI" w:hAnsi="Segoe UI"/>
          <w:color w:val="1E293B"/>
          <w:sz w:val="21"/>
          <w:szCs w:val="21"/>
        </w:rPr>
        <w:t xml:space="preserve">2. Permanent Track (Past 6 Months): Once past probation, uses PositionSalary monthlyTarget (e.g. Field Advisor = LKR 2,500,000; Team Leader = LKR 3,000,000; Branch Manager = LKR 8,000,000).</w:t>
      </w:r>
      <w:r>
        <w:rPr>
          <w:rFonts w:ascii="Nirmala UI" w:cs="Nirmala UI" w:eastAsia="Nirmala UI" w:hAnsi="Nirmala UI"/>
          <w:color w:val="475569"/>
          <w:sz w:val="20"/>
          <w:szCs w:val="20"/>
        </w:rPr>
        <w:t xml:space="preserve"> — ස්ථීර සේවකයින් (මාස 6 පසු වූ පසු): තනතුරට අදාල ස්ථීර මාසික ඉලක්කය (Position Salary Target) ක්‍රියාත්මක වේ (උදා: FA = රු. 25 ලක්ෂය, BM = රු. 80 ලක්ෂය).</w:t>
      </w:r>
    </w:p>
    <w:p>
      <w:pPr>
        <w:pStyle w:val="Heading2"/>
        <w:spacing w:after="100" w:before="260"/>
      </w:pPr>
      <w:r>
        <w:rPr>
          <w:rFonts w:ascii="Segoe UI" w:cs="Segoe UI" w:eastAsia="Segoe UI" w:hAnsi="Segoe UI"/>
          <w:b/>
          <w:bCs/>
          <w:color w:val="2D6A4F"/>
          <w:sz w:val="26"/>
          <w:szCs w:val="26"/>
        </w:rPr>
        <w:t xml:space="preserve">Marketing Allowances &amp; Conditions</w:t>
      </w:r>
      <w:r>
        <w:rPr>
          <w:rFonts w:ascii="Nirmala UI" w:cs="Nirmala UI" w:eastAsia="Nirmala UI" w:hAnsi="Nirmala UI"/>
          <w:b/>
          <w:bCs/>
          <w:color w:val="40916C"/>
          <w:sz w:val="24"/>
          <w:szCs w:val="24"/>
        </w:rPr>
        <w:t xml:space="preserve"> (දීමනා සහ සුදුසුකම් සපුරාලීමේ නීති)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75"/>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Allowance Name</w:t>
            </w:r>
            <w:r>
              <w:rPr>
                <w:rFonts w:ascii="Nirmala UI" w:cs="Nirmala UI" w:eastAsia="Nirmala UI" w:hAnsi="Nirmala UI"/>
                <w:b/>
                <w:bCs/>
                <w:color w:val="D8F3DC"/>
                <w:sz w:val="18"/>
                <w:szCs w:val="18"/>
              </w:rPr>
              <w:t xml:space="preserve">
දීමනාවේ නම</w:t>
            </w:r>
          </w:p>
        </w:tc>
        <w:tc>
          <w:tcPr>
            <w:tcW w:type="dxa" w:w="1900"/>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Typical Amount</w:t>
            </w:r>
            <w:r>
              <w:rPr>
                <w:rFonts w:ascii="Nirmala UI" w:cs="Nirmala UI" w:eastAsia="Nirmala UI" w:hAnsi="Nirmala UI"/>
                <w:b/>
                <w:bCs/>
                <w:color w:val="D8F3DC"/>
                <w:sz w:val="18"/>
                <w:szCs w:val="18"/>
              </w:rPr>
              <w:t xml:space="preserve">
මුදල</w:t>
            </w:r>
          </w:p>
        </w:tc>
        <w:tc>
          <w:tcPr>
            <w:tcW w:type="dxa" w:w="5225"/>
            <w:shd w:fill="1B4332"/>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Qualification Criteria</w:t>
            </w:r>
            <w:r>
              <w:rPr>
                <w:rFonts w:ascii="Nirmala UI" w:cs="Nirmala UI" w:eastAsia="Nirmala UI" w:hAnsi="Nirmala UI"/>
                <w:b/>
                <w:bCs/>
                <w:color w:val="D8F3DC"/>
                <w:sz w:val="18"/>
                <w:szCs w:val="18"/>
              </w:rPr>
              <w:t xml:space="preserve">
සුදුසුකම් ලැබීමේ කොන්දේසිය</w:t>
            </w:r>
          </w:p>
        </w:tc>
      </w:tr>
      <w:tr>
        <w:tc>
          <w:tcPr>
            <w:tcW w:type="dxa" w:w="237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Basic/Full Incentive
(මූලික දිරිගැන්වීම)</w:t>
            </w:r>
          </w:p>
        </w:tc>
        <w:tc>
          <w:tcPr>
            <w:tcW w:type="dxa" w:w="190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Varies (Rs. 20K - 100K+)</w:t>
            </w:r>
          </w:p>
        </w:tc>
        <w:tc>
          <w:tcPr>
            <w:tcW w:type="dxa" w:w="52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Full Incentive: Requires 100% target volume hit.
Partial Incentive (FA): Requires &gt;= 25% target hurdle.</w:t>
            </w:r>
          </w:p>
        </w:tc>
      </w:tr>
      <w:tr>
        <w:tc>
          <w:tcPr>
            <w:tcW w:type="dxa" w:w="237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Vehicle Allowance
(වාහන දීමනාව)</w:t>
            </w:r>
          </w:p>
        </w:tc>
        <w:tc>
          <w:tcPr>
            <w:tcW w:type="dxa" w:w="190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LKR 15,000 - 35,000</w:t>
            </w:r>
          </w:p>
        </w:tc>
        <w:tc>
          <w:tcPr>
            <w:tcW w:type="dxa" w:w="52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Volume must reach vehicleThresholdPct (e.g. 75% or 100% of target) as configured in position settings.</w:t>
            </w:r>
          </w:p>
        </w:tc>
      </w:tr>
      <w:tr>
        <w:tc>
          <w:tcPr>
            <w:tcW w:type="dxa" w:w="237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Team Activation
(කණ්ඩායම් සක්‍රීය දීමනාව)</w:t>
            </w:r>
          </w:p>
        </w:tc>
        <w:tc>
          <w:tcPr>
            <w:tcW w:type="dxa" w:w="1900"/>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LKR 15,000 - 25,000</w:t>
            </w:r>
          </w:p>
        </w:tc>
        <w:tc>
          <w:tcPr>
            <w:tcW w:type="dxa" w:w="5225"/>
            <w:tcBorders>
              <w:top w:val="single" w:color="CBD5E1" w:sz="4"/>
              <w:left w:val="single" w:color="CBD5E1" w:sz="4"/>
              <w:bottom w:val="single" w:color="CBD5E1" w:sz="4"/>
              <w:right w:val="single" w:color="CBD5E1" w:sz="4"/>
            </w:tcBorders>
            <w:shd w:fill="FFFFFF"/>
            <w:tcMar>
              <w:top w:type="dxa" w:w="80"/>
              <w:left w:type="dxa" w:w="120"/>
              <w:bottom w:type="dxa" w:w="80"/>
              <w:right w:type="dxa" w:w="120"/>
            </w:tcMar>
          </w:tcPr>
          <w:p>
            <w:r>
              <w:rPr>
                <w:rFonts w:ascii="Segoe UI" w:cs="Segoe UI" w:eastAsia="Segoe UI" w:hAnsi="Segoe UI"/>
                <w:color w:val="1E293B"/>
                <w:sz w:val="19"/>
                <w:szCs w:val="19"/>
              </w:rPr>
              <w:t xml:space="preserve">Manager must maintain minimum required active bringing advisors (minActiveAdvisors) with investment deals in that month.</w:t>
            </w:r>
          </w:p>
        </w:tc>
      </w:tr>
      <w:tr>
        <w:tc>
          <w:tcPr>
            <w:tcW w:type="dxa" w:w="237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Salary Advance Deduction
(අත්තිකාරම් කැපීම්)</w:t>
            </w:r>
          </w:p>
        </w:tc>
        <w:tc>
          <w:tcPr>
            <w:tcW w:type="dxa" w:w="1900"/>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Auto-calculated</w:t>
            </w:r>
          </w:p>
        </w:tc>
        <w:tc>
          <w:tcPr>
            <w:tcW w:type="dxa" w:w="5225"/>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color w:val="1E293B"/>
                <w:sz w:val="19"/>
                <w:szCs w:val="19"/>
              </w:rPr>
              <w:t xml:space="preserve">System automatically checks pending advance balances and deducts approved amounts from net salary.</w:t>
            </w:r>
          </w:p>
        </w:tc>
      </w:tr>
    </w:tbl>
    <w:p>
      <w:pPr>
        <w:pStyle w:val="Heading2"/>
        <w:spacing w:after="100" w:before="260"/>
      </w:pPr>
      <w:r>
        <w:rPr>
          <w:rFonts w:ascii="Segoe UI" w:cs="Segoe UI" w:eastAsia="Segoe UI" w:hAnsi="Segoe UI"/>
          <w:b/>
          <w:bCs/>
          <w:color w:val="2D6A4F"/>
          <w:sz w:val="26"/>
          <w:szCs w:val="26"/>
        </w:rPr>
        <w:t xml:space="preserve">Payroll Processing Steps for HR</w:t>
      </w:r>
      <w:r>
        <w:rPr>
          <w:rFonts w:ascii="Nirmala UI" w:cs="Nirmala UI" w:eastAsia="Nirmala UI" w:hAnsi="Nirmala UI"/>
          <w:b/>
          <w:bCs/>
          <w:color w:val="40916C"/>
          <w:sz w:val="24"/>
          <w:szCs w:val="24"/>
        </w:rPr>
        <w:t xml:space="preserve"> (HR අංශය වැටුප් සකස් කරන පියවර)</w:t>
      </w:r>
    </w:p>
    <w:p>
      <w:pPr>
        <w:pStyle w:val="ListParagraph"/>
        <w:numPr>
          <w:ilvl w:val="0"/>
          <w:numId w:val="1"/>
        </w:numPr>
        <w:spacing w:after="60" w:before="40"/>
      </w:pPr>
      <w:r>
        <w:rPr>
          <w:rFonts w:ascii="Segoe UI" w:cs="Segoe UI" w:eastAsia="Segoe UI" w:hAnsi="Segoe UI"/>
          <w:color w:val="1E293B"/>
          <w:sz w:val="21"/>
          <w:szCs w:val="21"/>
        </w:rPr>
        <w:t xml:space="preserve">Step 1: Go to 'HR' -&gt; 'Payroll' (වැටුප් පිටුවට පිවිසෙන්න).</w:t>
      </w:r>
      <w:r>
        <w:rPr>
          <w:rFonts w:ascii="Nirmala UI" w:cs="Nirmala UI" w:eastAsia="Nirmala UI" w:hAnsi="Nirmala UI"/>
          <w:color w:val="475569"/>
          <w:sz w:val="20"/>
          <w:szCs w:val="20"/>
        </w:rPr>
        <w:t xml:space="preserve"> — මෙනුවේ HR -&gt; Payroll වෙත යන්න.</w:t>
      </w:r>
    </w:p>
    <w:p>
      <w:pPr>
        <w:pStyle w:val="ListParagraph"/>
        <w:numPr>
          <w:ilvl w:val="0"/>
          <w:numId w:val="1"/>
        </w:numPr>
        <w:spacing w:after="60" w:before="40"/>
      </w:pPr>
      <w:r>
        <w:rPr>
          <w:rFonts w:ascii="Segoe UI" w:cs="Segoe UI" w:eastAsia="Segoe UI" w:hAnsi="Segoe UI"/>
          <w:color w:val="1E293B"/>
          <w:sz w:val="21"/>
          <w:szCs w:val="21"/>
        </w:rPr>
        <w:t xml:space="preserve">Step 2: Select the Branch, Year, and Month to evaluate.</w:t>
      </w:r>
      <w:r>
        <w:rPr>
          <w:rFonts w:ascii="Nirmala UI" w:cs="Nirmala UI" w:eastAsia="Nirmala UI" w:hAnsi="Nirmala UI"/>
          <w:color w:val="475569"/>
          <w:sz w:val="20"/>
          <w:szCs w:val="20"/>
        </w:rPr>
        <w:t xml:space="preserve"> — අදාල ශාඛාව, වර්ෂය සහ මාසය තෝරන්න.</w:t>
      </w:r>
    </w:p>
    <w:p>
      <w:pPr>
        <w:pStyle w:val="ListParagraph"/>
        <w:numPr>
          <w:ilvl w:val="0"/>
          <w:numId w:val="1"/>
        </w:numPr>
        <w:spacing w:after="60" w:before="40"/>
      </w:pPr>
      <w:r>
        <w:rPr>
          <w:rFonts w:ascii="Segoe UI" w:cs="Segoe UI" w:eastAsia="Segoe UI" w:hAnsi="Segoe UI"/>
          <w:color w:val="1E293B"/>
          <w:sz w:val="21"/>
          <w:szCs w:val="21"/>
        </w:rPr>
        <w:t xml:space="preserve">Step 3: Click 'Generate Preview' to inspect all member target progress, commissions earned, and allowances.</w:t>
      </w:r>
      <w:r>
        <w:rPr>
          <w:rFonts w:ascii="Nirmala UI" w:cs="Nirmala UI" w:eastAsia="Nirmala UI" w:hAnsi="Nirmala UI"/>
          <w:color w:val="475569"/>
          <w:sz w:val="20"/>
          <w:szCs w:val="20"/>
        </w:rPr>
        <w:t xml:space="preserve"> — 'Generate Preview' ඔබා සියලුම සේවකයින්ගේ කොමිස්, දීමනා සහ ඉලක්ක පෙරදසුන පරීක්ෂා කරන්න.</w:t>
      </w:r>
    </w:p>
    <w:p>
      <w:pPr>
        <w:pStyle w:val="ListParagraph"/>
        <w:numPr>
          <w:ilvl w:val="0"/>
          <w:numId w:val="1"/>
        </w:numPr>
        <w:spacing w:after="60" w:before="40"/>
      </w:pPr>
      <w:r>
        <w:rPr>
          <w:rFonts w:ascii="Segoe UI" w:cs="Segoe UI" w:eastAsia="Segoe UI" w:hAnsi="Segoe UI"/>
          <w:color w:val="1E293B"/>
          <w:sz w:val="21"/>
          <w:szCs w:val="21"/>
        </w:rPr>
        <w:t xml:space="preserve">Step 4: Click 'Run Monthly Payroll' to finalize and commit the payroll records into the database.</w:t>
      </w:r>
      <w:r>
        <w:rPr>
          <w:rFonts w:ascii="Nirmala UI" w:cs="Nirmala UI" w:eastAsia="Nirmala UI" w:hAnsi="Nirmala UI"/>
          <w:color w:val="475569"/>
          <w:sz w:val="20"/>
          <w:szCs w:val="20"/>
        </w:rPr>
        <w:t xml:space="preserve"> — 'Run Monthly Payroll' ඔබා වැටුප් වාර්තා ස්ථීර කර පද්ධතියට ඇතුලත් කරන්න.</w:t>
      </w:r>
    </w:p>
    <w:p>
      <w:pPr>
        <w:pStyle w:val="ListParagraph"/>
        <w:numPr>
          <w:ilvl w:val="0"/>
          <w:numId w:val="1"/>
        </w:numPr>
        <w:spacing w:after="60" w:before="40"/>
      </w:pPr>
      <w:r>
        <w:rPr>
          <w:rFonts w:ascii="Segoe UI" w:cs="Segoe UI" w:eastAsia="Segoe UI" w:hAnsi="Segoe UI"/>
          <w:color w:val="1E293B"/>
          <w:sz w:val="21"/>
          <w:szCs w:val="21"/>
        </w:rPr>
        <w:t xml:space="preserve">Step 5: Export to Excel/CSV or print individual Pay Sheets for employees.</w:t>
      </w:r>
      <w:r>
        <w:rPr>
          <w:rFonts w:ascii="Nirmala UI" w:cs="Nirmala UI" w:eastAsia="Nirmala UI" w:hAnsi="Nirmala UI"/>
          <w:color w:val="475569"/>
          <w:sz w:val="20"/>
          <w:szCs w:val="20"/>
        </w:rPr>
        <w:t xml:space="preserve"> — සියලුම වැටුප් ලේඛන Excel ගොනුවක් ලෙස බාගත කරගන්න හෝ තනි තනි වැටුප් පත්‍රිකා මුද්‍රණය කරන්න.</w:t>
      </w:r>
    </w:p>
    <w:p>
      <w:pPr>
        <w:spacing w:after="100" w:before="200"/>
      </w:pPr>
    </w:p>
    <w:p>
      <w:pPr>
        <w:pStyle w:val="Heading1"/>
        <w:spacing w:after="140" w:before="360"/>
      </w:pPr>
      <w:r>
        <w:rPr>
          <w:rFonts w:ascii="Segoe UI" w:cs="Segoe UI" w:eastAsia="Segoe UI" w:hAnsi="Segoe UI"/>
          <w:b/>
          <w:bCs/>
          <w:color w:val="1B4332"/>
          <w:sz w:val="32"/>
          <w:szCs w:val="32"/>
        </w:rPr>
        <w:t xml:space="preserve">9. Employee Evaluations &amp; Promotions</w:t>
      </w:r>
      <w:r>
        <w:rPr>
          <w:rFonts w:ascii="Nirmala UI" w:cs="Nirmala UI" w:eastAsia="Nirmala UI" w:hAnsi="Nirmala UI"/>
          <w:b/>
          <w:bCs/>
          <w:color w:val="2D6A4F"/>
          <w:sz w:val="28"/>
          <w:szCs w:val="28"/>
        </w:rPr>
        <w:t xml:space="preserve"> | සේවක ඇගයීම් සහ උසස්වීම්</w:t>
      </w:r>
    </w:p>
    <w:p>
      <w:pPr>
        <w:spacing w:after="100" w:before="60" w:line="276"/>
      </w:pPr>
      <w:r>
        <w:rPr>
          <w:rFonts w:ascii="Segoe UI" w:cs="Segoe UI" w:eastAsia="Segoe UI" w:hAnsi="Segoe UI"/>
          <w:color w:val="1E293B"/>
          <w:sz w:val="21"/>
          <w:szCs w:val="21"/>
        </w:rPr>
        <w:t xml:space="preserve">Super Green ERP incorporates a structured evaluation engine for employees completing their initial 6-month probation.</w:t>
      </w:r>
      <w:r>
        <w:rPr>
          <w:rFonts w:ascii="Nirmala UI" w:cs="Nirmala UI" w:eastAsia="Nirmala UI" w:hAnsi="Nirmala UI"/>
          <w:color w:val="475569"/>
          <w:sz w:val="20"/>
          <w:szCs w:val="20"/>
        </w:rPr>
        <w:t xml:space="preserve">  [සිංහල: මූලික මාස 6 ක පරිවාස කාලය (Probation) අවසන් කරන සේවකයින්ගේ කාර්යසාධනය පරීක්ෂා කර ස්ථීර කිරීම හෝ උසස්වීම් ලබාදීම මෙම අංශයෙන් සිදුකෙරේ.]</w:t>
      </w:r>
    </w:p>
    <w:p>
      <w:pPr>
        <w:pStyle w:val="ListParagraph"/>
        <w:numPr>
          <w:ilvl w:val="0"/>
          <w:numId w:val="1"/>
        </w:numPr>
        <w:spacing w:after="60" w:before="40"/>
      </w:pPr>
      <w:r>
        <w:rPr>
          <w:rFonts w:ascii="Segoe UI" w:cs="Segoe UI" w:eastAsia="Segoe UI" w:hAnsi="Segoe UI"/>
          <w:color w:val="1E293B"/>
          <w:sz w:val="21"/>
          <w:szCs w:val="21"/>
        </w:rPr>
        <w:t xml:space="preserve">Automatic Milestone Alerts: When an employee completes months 3 and 6, the system flags them for evaluation.</w:t>
      </w:r>
      <w:r>
        <w:rPr>
          <w:rFonts w:ascii="Nirmala UI" w:cs="Nirmala UI" w:eastAsia="Nirmala UI" w:hAnsi="Nirmala UI"/>
          <w:color w:val="475569"/>
          <w:sz w:val="20"/>
          <w:szCs w:val="20"/>
        </w:rPr>
        <w:t xml:space="preserve"> — සේවකයෙකු මාස 3 හෝ මාස 6 සම්පූර්ණ කළ විට ඇගයීමක් සඳහා පද්ධතිය මගින් දැනුම්දීම් ලබාදේ.</w:t>
      </w:r>
    </w:p>
    <w:p>
      <w:pPr>
        <w:pStyle w:val="ListParagraph"/>
        <w:numPr>
          <w:ilvl w:val="0"/>
          <w:numId w:val="1"/>
        </w:numPr>
        <w:spacing w:after="60" w:before="40"/>
      </w:pPr>
      <w:r>
        <w:rPr>
          <w:rFonts w:ascii="Segoe UI" w:cs="Segoe UI" w:eastAsia="Segoe UI" w:hAnsi="Segoe UI"/>
          <w:color w:val="1E293B"/>
          <w:sz w:val="21"/>
          <w:szCs w:val="21"/>
        </w:rPr>
        <w:t xml:space="preserve">Batch Evaluation Runner: HR can execute batch evaluation for an entire branch. The system verifies cumulative volume achieved against aggregate target hurdles.</w:t>
      </w:r>
      <w:r>
        <w:rPr>
          <w:rFonts w:ascii="Nirmala UI" w:cs="Nirmala UI" w:eastAsia="Nirmala UI" w:hAnsi="Nirmala UI"/>
          <w:color w:val="475569"/>
          <w:sz w:val="20"/>
          <w:szCs w:val="20"/>
        </w:rPr>
        <w:t xml:space="preserve"> — HR නිලධාරීන්ට සම්පූර්ණ ශාඛාවක සේවකයින් එකවර Batch Evaluation මගින් පරීක්ෂා කළ හැක.</w:t>
      </w:r>
    </w:p>
    <w:p>
      <w:pPr>
        <w:pStyle w:val="ListParagraph"/>
        <w:numPr>
          <w:ilvl w:val="0"/>
          <w:numId w:val="1"/>
        </w:numPr>
        <w:spacing w:after="60" w:before="40"/>
      </w:pPr>
      <w:r>
        <w:rPr>
          <w:rFonts w:ascii="Segoe UI" w:cs="Segoe UI" w:eastAsia="Segoe UI" w:hAnsi="Segoe UI"/>
          <w:color w:val="1E293B"/>
          <w:sz w:val="21"/>
          <w:szCs w:val="21"/>
        </w:rPr>
        <w:t xml:space="preserve">Outcome Statuses: PASSED (Eligible for permanent status &amp; salary band upgrade), EXTENDED (Probation extended for further observation), or TERMINATED.</w:t>
      </w:r>
      <w:r>
        <w:rPr>
          <w:rFonts w:ascii="Nirmala UI" w:cs="Nirmala UI" w:eastAsia="Nirmala UI" w:hAnsi="Nirmala UI"/>
          <w:color w:val="475569"/>
          <w:sz w:val="20"/>
          <w:szCs w:val="20"/>
        </w:rPr>
        <w:t xml:space="preserve"> — ප්‍රතිඵලය: PASSED (ස්ථීර කිරීම සහ උසස්වීම), EXTENDED (කාලය දීර්ඝ කිරීම) හෝ TERMINATED.</w:t>
      </w:r>
    </w:p>
    <w:p>
      <w:pPr>
        <w:spacing w:after="100" w:before="200"/>
      </w:pPr>
    </w:p>
    <w:p>
      <w:pPr>
        <w:pStyle w:val="Heading1"/>
        <w:spacing w:after="140" w:before="360"/>
      </w:pPr>
      <w:r>
        <w:rPr>
          <w:rFonts w:ascii="Segoe UI" w:cs="Segoe UI" w:eastAsia="Segoe UI" w:hAnsi="Segoe UI"/>
          <w:b/>
          <w:bCs/>
          <w:color w:val="1B4332"/>
          <w:sz w:val="32"/>
          <w:szCs w:val="32"/>
        </w:rPr>
        <w:t xml:space="preserve">10. Salary Advances Management</w:t>
      </w:r>
      <w:r>
        <w:rPr>
          <w:rFonts w:ascii="Nirmala UI" w:cs="Nirmala UI" w:eastAsia="Nirmala UI" w:hAnsi="Nirmala UI"/>
          <w:b/>
          <w:bCs/>
          <w:color w:val="2D6A4F"/>
          <w:sz w:val="28"/>
          <w:szCs w:val="28"/>
        </w:rPr>
        <w:t xml:space="preserve"> | වැටුප් අත්තිකාරම් කළමනාකරණය</w:t>
      </w:r>
    </w:p>
    <w:p>
      <w:pPr>
        <w:spacing w:after="100" w:before="60" w:line="276"/>
      </w:pPr>
      <w:r>
        <w:rPr>
          <w:rFonts w:ascii="Segoe UI" w:cs="Segoe UI" w:eastAsia="Segoe UI" w:hAnsi="Segoe UI"/>
          <w:color w:val="1E293B"/>
          <w:sz w:val="21"/>
          <w:szCs w:val="21"/>
        </w:rPr>
        <w:t xml:space="preserve">Employees can request salary advances against their earned commissions or salary.</w:t>
      </w:r>
      <w:r>
        <w:rPr>
          <w:rFonts w:ascii="Nirmala UI" w:cs="Nirmala UI" w:eastAsia="Nirmala UI" w:hAnsi="Nirmala UI"/>
          <w:color w:val="475569"/>
          <w:sz w:val="20"/>
          <w:szCs w:val="20"/>
        </w:rPr>
        <w:t xml:space="preserve">  [සිංහල: සේවකයින්ට ඔවුන් උපයා ඇති කොමිස් හෝ වැටුපට එරෙහිව වැටුප් අත්තිකාරම් (Salary Advances) ඉල්ලුම් කළ හැක.]</w:t>
      </w:r>
    </w:p>
    <w:p>
      <w:pPr>
        <w:pStyle w:val="ListParagraph"/>
        <w:numPr>
          <w:ilvl w:val="0"/>
          <w:numId w:val="1"/>
        </w:numPr>
        <w:spacing w:after="60" w:before="40"/>
      </w:pPr>
      <w:r>
        <w:rPr>
          <w:rFonts w:ascii="Segoe UI" w:cs="Segoe UI" w:eastAsia="Segoe UI" w:hAnsi="Segoe UI"/>
          <w:color w:val="1E293B"/>
          <w:sz w:val="21"/>
          <w:szCs w:val="21"/>
        </w:rPr>
        <w:t xml:space="preserve">Advance Request Submission: Staff submits an advance request specifying amount, reason, and repayment terms.</w:t>
      </w:r>
      <w:r>
        <w:rPr>
          <w:rFonts w:ascii="Nirmala UI" w:cs="Nirmala UI" w:eastAsia="Nirmala UI" w:hAnsi="Nirmala UI"/>
          <w:color w:val="475569"/>
          <w:sz w:val="20"/>
          <w:szCs w:val="20"/>
        </w:rPr>
        <w:t xml:space="preserve"> — සේවකයා මුදල සහ හේතුව සඳහන් කර අත්තිකාරම් ඉල්ලීමක් ඉදිරිපත් කරයි.</w:t>
      </w:r>
    </w:p>
    <w:p>
      <w:pPr>
        <w:pStyle w:val="ListParagraph"/>
        <w:numPr>
          <w:ilvl w:val="0"/>
          <w:numId w:val="1"/>
        </w:numPr>
        <w:spacing w:after="60" w:before="40"/>
      </w:pPr>
      <w:r>
        <w:rPr>
          <w:rFonts w:ascii="Segoe UI" w:cs="Segoe UI" w:eastAsia="Segoe UI" w:hAnsi="Segoe UI"/>
          <w:color w:val="1E293B"/>
          <w:sz w:val="21"/>
          <w:szCs w:val="21"/>
        </w:rPr>
        <w:t xml:space="preserve">Managerial Approval: HR and Finance review available earned commission balances before approving.</w:t>
      </w:r>
      <w:r>
        <w:rPr>
          <w:rFonts w:ascii="Nirmala UI" w:cs="Nirmala UI" w:eastAsia="Nirmala UI" w:hAnsi="Nirmala UI"/>
          <w:color w:val="475569"/>
          <w:sz w:val="20"/>
          <w:szCs w:val="20"/>
        </w:rPr>
        <w:t xml:space="preserve"> — HR සහ මූල්‍ය අංශය උපයා ඇති කොමිස් ශේෂයන් පරීක්ෂා කර අනුමත කරයි.</w:t>
      </w:r>
    </w:p>
    <w:p>
      <w:pPr>
        <w:pStyle w:val="ListParagraph"/>
        <w:numPr>
          <w:ilvl w:val="0"/>
          <w:numId w:val="1"/>
        </w:numPr>
        <w:spacing w:after="60" w:before="40"/>
      </w:pPr>
      <w:r>
        <w:rPr>
          <w:rFonts w:ascii="Segoe UI" w:cs="Segoe UI" w:eastAsia="Segoe UI" w:hAnsi="Segoe UI"/>
          <w:color w:val="1E293B"/>
          <w:sz w:val="21"/>
          <w:szCs w:val="21"/>
        </w:rPr>
        <w:t xml:space="preserve">Auto-Deduction at Payroll: When running monthly payroll, the system automatically checks pending advances and deducts the balance from Net Pay, preventing manual tracking errors.</w:t>
      </w:r>
      <w:r>
        <w:rPr>
          <w:rFonts w:ascii="Nirmala UI" w:cs="Nirmala UI" w:eastAsia="Nirmala UI" w:hAnsi="Nirmala UI"/>
          <w:color w:val="475569"/>
          <w:sz w:val="20"/>
          <w:szCs w:val="20"/>
        </w:rPr>
        <w:t xml:space="preserve"> — මාසික වැටුප් සැකසීමේදී පද්ධතිය ස්වයංක්‍රීයව අත්තිකාරම් මුදල ශුද්ධ වැටුපෙන් කපා හරිනු ලබයි (Auto-Deduction).</w:t>
      </w:r>
    </w:p>
    <w:p>
      <w:pPr>
        <w:spacing w:after="100" w:before="200"/>
      </w:pPr>
    </w:p>
    <w:p>
      <w:pPr>
        <w:pStyle w:val="Heading1"/>
        <w:spacing w:after="140" w:before="360"/>
      </w:pPr>
      <w:r>
        <w:rPr>
          <w:rFonts w:ascii="Segoe UI" w:cs="Segoe UI" w:eastAsia="Segoe UI" w:hAnsi="Segoe UI"/>
          <w:b/>
          <w:bCs/>
          <w:color w:val="1B4332"/>
          <w:sz w:val="32"/>
          <w:szCs w:val="32"/>
        </w:rPr>
        <w:t xml:space="preserve">11. Branch Network &amp; Hierarchy Walk</w:t>
      </w:r>
      <w:r>
        <w:rPr>
          <w:rFonts w:ascii="Nirmala UI" w:cs="Nirmala UI" w:eastAsia="Nirmala UI" w:hAnsi="Nirmala UI"/>
          <w:b/>
          <w:bCs/>
          <w:color w:val="2D6A4F"/>
          <w:sz w:val="28"/>
          <w:szCs w:val="28"/>
        </w:rPr>
        <w:t xml:space="preserve"> | ශාඛා ජාලය සහ කලාපීය ව්‍යුහය</w:t>
      </w:r>
    </w:p>
    <w:p>
      <w:pPr>
        <w:spacing w:after="100" w:before="60" w:line="276"/>
      </w:pPr>
      <w:r>
        <w:rPr>
          <w:rFonts w:ascii="Segoe UI" w:cs="Segoe UI" w:eastAsia="Segoe UI" w:hAnsi="Segoe UI"/>
          <w:color w:val="1E293B"/>
          <w:sz w:val="21"/>
          <w:szCs w:val="21"/>
        </w:rPr>
        <w:t xml:space="preserve">Super Green ERP organizes branches hierarchically: Head Office -&gt; Zones -&gt; Regions -&gt; Primary Branches -&gt; Sub-branches.</w:t>
      </w:r>
      <w:r>
        <w:rPr>
          <w:rFonts w:ascii="Nirmala UI" w:cs="Nirmala UI" w:eastAsia="Nirmala UI" w:hAnsi="Nirmala UI"/>
          <w:color w:val="475569"/>
          <w:sz w:val="20"/>
          <w:szCs w:val="20"/>
        </w:rPr>
        <w:t xml:space="preserve">  [සිංහල: සුපර් ග්‍රීන් ශාඛා ජාලය ප්‍රධාන කාර්යාලය -&gt; කලාප (Zones) -&gt; ප්‍රදේශ (Regions) -&gt; ශාඛා (Branches) ලෙස පෙළගස්වා ඇත.]</w:t>
      </w:r>
    </w:p>
    <w:p>
      <w:pPr>
        <w:pStyle w:val="ListParagraph"/>
        <w:numPr>
          <w:ilvl w:val="0"/>
          <w:numId w:val="1"/>
        </w:numPr>
        <w:spacing w:after="60" w:before="40"/>
      </w:pPr>
      <w:r>
        <w:rPr>
          <w:rFonts w:ascii="Segoe UI" w:cs="Segoe UI" w:eastAsia="Segoe UI" w:hAnsi="Segoe UI"/>
          <w:color w:val="1E293B"/>
          <w:sz w:val="21"/>
          <w:szCs w:val="21"/>
        </w:rPr>
        <w:t xml:space="preserve">Branch Scoping: Regional Managers automatically see data from their primary branch and all subordinate child branches.</w:t>
      </w:r>
      <w:r>
        <w:rPr>
          <w:rFonts w:ascii="Nirmala UI" w:cs="Nirmala UI" w:eastAsia="Nirmala UI" w:hAnsi="Nirmala UI"/>
          <w:color w:val="475569"/>
          <w:sz w:val="20"/>
          <w:szCs w:val="20"/>
        </w:rPr>
        <w:t xml:space="preserve"> — ප්‍රාදේශීය කළමනාකරුවන්ට (RM) තම කලාපයේ සියලුම උප ශාඛාවල දත්ත ස්වයංක්‍රීයව පෙනේ.</w:t>
      </w:r>
    </w:p>
    <w:p>
      <w:pPr>
        <w:pStyle w:val="ListParagraph"/>
        <w:numPr>
          <w:ilvl w:val="0"/>
          <w:numId w:val="1"/>
        </w:numPr>
        <w:spacing w:after="60" w:before="40"/>
      </w:pPr>
      <w:r>
        <w:rPr>
          <w:rFonts w:ascii="Segoe UI" w:cs="Segoe UI" w:eastAsia="Segoe UI" w:hAnsi="Segoe UI"/>
          <w:color w:val="1E293B"/>
          <w:sz w:val="21"/>
          <w:szCs w:val="21"/>
        </w:rPr>
        <w:t xml:space="preserve">Employee Branch Transfers: Employees can be reassigned between branches while preserving their historical performance and client relationships.</w:t>
      </w:r>
      <w:r>
        <w:rPr>
          <w:rFonts w:ascii="Nirmala UI" w:cs="Nirmala UI" w:eastAsia="Nirmala UI" w:hAnsi="Nirmala UI"/>
          <w:color w:val="475569"/>
          <w:sz w:val="20"/>
          <w:szCs w:val="20"/>
        </w:rPr>
        <w:t xml:space="preserve"> — සේවකයින් වෙනත් ශාඛාවකට මාරු කළද ඔවුන්ගේ පෙර ඉතිහාසය සහ ගනුදෙනුකරුවන් නොවෙනස්ව පවතී.</w:t>
      </w:r>
    </w:p>
    <w:p>
      <w:pPr>
        <w:spacing w:after="100" w:before="200"/>
      </w:pPr>
    </w:p>
    <w:p>
      <w:pPr>
        <w:pStyle w:val="Heading1"/>
        <w:spacing w:after="140" w:before="360"/>
      </w:pPr>
      <w:r>
        <w:rPr>
          <w:rFonts w:ascii="Segoe UI" w:cs="Segoe UI" w:eastAsia="Segoe UI" w:hAnsi="Segoe UI"/>
          <w:b/>
          <w:bCs/>
          <w:color w:val="1B4332"/>
          <w:sz w:val="32"/>
          <w:szCs w:val="32"/>
        </w:rPr>
        <w:t xml:space="preserve">12. Automated System Tasks (Crons)</w:t>
      </w:r>
      <w:r>
        <w:rPr>
          <w:rFonts w:ascii="Nirmala UI" w:cs="Nirmala UI" w:eastAsia="Nirmala UI" w:hAnsi="Nirmala UI"/>
          <w:b/>
          <w:bCs/>
          <w:color w:val="2D6A4F"/>
          <w:sz w:val="28"/>
          <w:szCs w:val="28"/>
        </w:rPr>
        <w:t xml:space="preserve"> | ස්වයංක්‍රීය පද්ධති දැනුම්දීම් සහ කාර්යයන්</w:t>
      </w:r>
    </w:p>
    <w:p>
      <w:pPr>
        <w:pStyle w:val="ListParagraph"/>
        <w:numPr>
          <w:ilvl w:val="0"/>
          <w:numId w:val="1"/>
        </w:numPr>
        <w:spacing w:after="60" w:before="40"/>
      </w:pPr>
      <w:r>
        <w:rPr>
          <w:rFonts w:ascii="Segoe UI" w:cs="Segoe UI" w:eastAsia="Segoe UI" w:hAnsi="Segoe UI"/>
          <w:color w:val="1E293B"/>
          <w:sz w:val="21"/>
          <w:szCs w:val="21"/>
        </w:rPr>
        <w:t xml:space="preserve">Investment Maturity Alerts: System automatically scans for investments reaching completion dates and sends in-app notifications to HR and advisors.</w:t>
      </w:r>
      <w:r>
        <w:rPr>
          <w:rFonts w:ascii="Nirmala UI" w:cs="Nirmala UI" w:eastAsia="Nirmala UI" w:hAnsi="Nirmala UI"/>
          <w:color w:val="475569"/>
          <w:sz w:val="20"/>
          <w:szCs w:val="20"/>
        </w:rPr>
        <w:t xml:space="preserve"> — කල්පිරෙන ආයෝජන පිළිබඳව HR සහ උපදේශකයින්ට ස්වයංක්‍රීයව දැනුම්දීම් (Notifications) ලැබේ.</w:t>
      </w:r>
    </w:p>
    <w:p>
      <w:pPr>
        <w:pStyle w:val="ListParagraph"/>
        <w:numPr>
          <w:ilvl w:val="0"/>
          <w:numId w:val="1"/>
        </w:numPr>
        <w:spacing w:after="60" w:before="40"/>
      </w:pPr>
      <w:r>
        <w:rPr>
          <w:rFonts w:ascii="Segoe UI" w:cs="Segoe UI" w:eastAsia="Segoe UI" w:hAnsi="Segoe UI"/>
          <w:color w:val="1E293B"/>
          <w:sz w:val="21"/>
          <w:szCs w:val="21"/>
        </w:rPr>
        <w:t xml:space="preserve">Inactive Advisor Auto-Deactivation: Non-management field advisors with no activity or investment sales for 2 consecutive months are automatically flagged and deactivated by the monthly cron to keep records clean.</w:t>
      </w:r>
      <w:r>
        <w:rPr>
          <w:rFonts w:ascii="Nirmala UI" w:cs="Nirmala UI" w:eastAsia="Nirmala UI" w:hAnsi="Nirmala UI"/>
          <w:color w:val="475569"/>
          <w:sz w:val="20"/>
          <w:szCs w:val="20"/>
        </w:rPr>
        <w:t xml:space="preserve"> — මාස 2 ක් පුරා කිසිදු අලෙවියක් සිදුනොකළ ක්ෂේත්‍ර උපදේශකයින් (FAs) ස්වයංක්‍රීයව අක්‍රීය (Deactivate) කරනු ලැබේ.</w:t>
      </w:r>
    </w:p>
    <w:p>
      <w:pPr>
        <w:spacing w:after="100" w:before="200"/>
      </w:pPr>
    </w:p>
    <w:p>
      <w:pPr>
        <w:pStyle w:val="Heading1"/>
        <w:spacing w:after="140" w:before="360"/>
      </w:pPr>
      <w:r>
        <w:rPr>
          <w:rFonts w:ascii="Segoe UI" w:cs="Segoe UI" w:eastAsia="Segoe UI" w:hAnsi="Segoe UI"/>
          <w:b/>
          <w:bCs/>
          <w:color w:val="1B4332"/>
          <w:sz w:val="32"/>
          <w:szCs w:val="32"/>
        </w:rPr>
        <w:t xml:space="preserve">13. Frequently Asked Questions (FAQs)</w:t>
      </w:r>
      <w:r>
        <w:rPr>
          <w:rFonts w:ascii="Nirmala UI" w:cs="Nirmala UI" w:eastAsia="Nirmala UI" w:hAnsi="Nirmala UI"/>
          <w:b/>
          <w:bCs/>
          <w:color w:val="2D6A4F"/>
          <w:sz w:val="28"/>
          <w:szCs w:val="28"/>
        </w:rPr>
        <w:t xml:space="preserve"> | පොදු ගැටළු සහ විසඳුම් (FAQs)</w:t>
      </w:r>
    </w:p>
    <w:p>
      <w:pPr>
        <w:pStyle w:val="Heading2"/>
        <w:spacing w:after="100" w:before="260"/>
      </w:pPr>
      <w:r>
        <w:rPr>
          <w:rFonts w:ascii="Segoe UI" w:cs="Segoe UI" w:eastAsia="Segoe UI" w:hAnsi="Segoe UI"/>
          <w:b/>
          <w:bCs/>
          <w:color w:val="2D6A4F"/>
          <w:sz w:val="26"/>
          <w:szCs w:val="26"/>
        </w:rPr>
        <w:t xml:space="preserve">Q1: Why did Dashboard targets show Rs. 0 previously?</w:t>
      </w:r>
      <w:r>
        <w:rPr>
          <w:rFonts w:ascii="Nirmala UI" w:cs="Nirmala UI" w:eastAsia="Nirmala UI" w:hAnsi="Nirmala UI"/>
          <w:b/>
          <w:bCs/>
          <w:color w:val="40916C"/>
          <w:sz w:val="24"/>
          <w:szCs w:val="24"/>
        </w:rPr>
        <w:t xml:space="preserve"> (ප්‍රශ්නය 1: පෙරදී ඩෑෂ්බෝඩ් ඉලක්ක රු. 0 ලෙස පෙන්වූයේ ඇයි?)</w:t>
      </w:r>
    </w:p>
    <w:p>
      <w:pPr>
        <w:spacing w:after="100" w:before="60" w:line="276"/>
      </w:pPr>
      <w:r>
        <w:rPr>
          <w:rFonts w:ascii="Segoe UI" w:cs="Segoe UI" w:eastAsia="Segoe UI" w:hAnsi="Segoe UI"/>
          <w:color w:val="1E293B"/>
          <w:sz w:val="21"/>
          <w:szCs w:val="21"/>
        </w:rPr>
        <w:t xml:space="preserve">Answer: Previously, field advisors who completed their 6-month probation did not have an after6MonthTarget specified on their probation row, and uncalculated payroll rows had target initialized to 0. This has now been completely resolved: the system dynamically falls back to the Position Salary target (LKR 2,500,000 for FA) and all database records have been backfilled.</w:t>
      </w:r>
      <w:r>
        <w:rPr>
          <w:rFonts w:ascii="Nirmala UI" w:cs="Nirmala UI" w:eastAsia="Nirmala UI" w:hAnsi="Nirmala UI"/>
          <w:color w:val="475569"/>
          <w:sz w:val="20"/>
          <w:szCs w:val="20"/>
        </w:rPr>
        <w:t xml:space="preserve">  [සිංහල: පිළිතුර: මාස 6 අවසන් කළ උපදේශකයින්ගේ ස්ථීර ඉලක්කය (රු. 2,500,000) ස්වයංක්‍රීයව සම්බන්ධ නොවීමේ දෝෂයක් පැවති අතර, එය මේ වන විට සම්පූර්ණයෙන්ම නිවැරදි කර සියලුම වාර්තා යාවත්කාලීන කර ඇත.]</w:t>
      </w:r>
    </w:p>
    <w:p>
      <w:pPr>
        <w:pStyle w:val="Heading2"/>
        <w:spacing w:after="100" w:before="260"/>
      </w:pPr>
      <w:r>
        <w:rPr>
          <w:rFonts w:ascii="Segoe UI" w:cs="Segoe UI" w:eastAsia="Segoe UI" w:hAnsi="Segoe UI"/>
          <w:b/>
          <w:bCs/>
          <w:color w:val="2D6A4F"/>
          <w:sz w:val="26"/>
          <w:szCs w:val="26"/>
        </w:rPr>
        <w:t xml:space="preserve">Q2: Why do I see 'Unauthorized' error?</w:t>
      </w:r>
      <w:r>
        <w:rPr>
          <w:rFonts w:ascii="Nirmala UI" w:cs="Nirmala UI" w:eastAsia="Nirmala UI" w:hAnsi="Nirmala UI"/>
          <w:b/>
          <w:bCs/>
          <w:color w:val="40916C"/>
          <w:sz w:val="24"/>
          <w:szCs w:val="24"/>
        </w:rPr>
        <w:t xml:space="preserve"> (ප්‍රශ්නය 2: 'Unauthorized' දෝෂයක් පෙන්වන්නේ ඇයි?)</w:t>
      </w:r>
    </w:p>
    <w:p>
      <w:pPr>
        <w:spacing w:after="100" w:before="60" w:line="276"/>
      </w:pPr>
      <w:r>
        <w:rPr>
          <w:rFonts w:ascii="Segoe UI" w:cs="Segoe UI" w:eastAsia="Segoe UI" w:hAnsi="Segoe UI"/>
          <w:color w:val="1E293B"/>
          <w:sz w:val="21"/>
          <w:szCs w:val="21"/>
        </w:rPr>
        <w:t xml:space="preserve">Answer: If your browser tab was left open overnight or your login session expired, please log out and sign in again. The system now gracefully detects expired sessions without crashing.</w:t>
      </w:r>
      <w:r>
        <w:rPr>
          <w:rFonts w:ascii="Nirmala UI" w:cs="Nirmala UI" w:eastAsia="Nirmala UI" w:hAnsi="Nirmala UI"/>
          <w:color w:val="475569"/>
          <w:sz w:val="20"/>
          <w:szCs w:val="20"/>
        </w:rPr>
        <w:t xml:space="preserve">  [සිංහල: පිළිතුර: ඔබගේ ගිණුමේ කාලය (Session) අවසන් වී ඇති විට මෙය සිදුවේ. පද්ධතියෙන් ඉවත් වී (Sign Out) නැවත ඇතුල් වන්න (Sign In).]</w:t>
      </w:r>
    </w:p>
    <w:p>
      <w:pPr>
        <w:pStyle w:val="Heading2"/>
        <w:spacing w:after="100" w:before="260"/>
      </w:pPr>
      <w:r>
        <w:rPr>
          <w:rFonts w:ascii="Segoe UI" w:cs="Segoe UI" w:eastAsia="Segoe UI" w:hAnsi="Segoe UI"/>
          <w:b/>
          <w:bCs/>
          <w:color w:val="2D6A4F"/>
          <w:sz w:val="26"/>
          <w:szCs w:val="26"/>
        </w:rPr>
        <w:t xml:space="preserve">Q3: Can a deleted client or investment be recovered?</w:t>
      </w:r>
      <w:r>
        <w:rPr>
          <w:rFonts w:ascii="Nirmala UI" w:cs="Nirmala UI" w:eastAsia="Nirmala UI" w:hAnsi="Nirmala UI"/>
          <w:b/>
          <w:bCs/>
          <w:color w:val="40916C"/>
          <w:sz w:val="24"/>
          <w:szCs w:val="24"/>
        </w:rPr>
        <w:t xml:space="preserve"> (ප්‍රශ්නය 3: මකා දැමූ දත්ත නැවත ලබාගත හැකිද?)</w:t>
      </w:r>
    </w:p>
    <w:p>
      <w:pPr>
        <w:spacing w:after="100" w:before="60" w:line="276"/>
      </w:pPr>
      <w:r>
        <w:rPr>
          <w:rFonts w:ascii="Segoe UI" w:cs="Segoe UI" w:eastAsia="Segoe UI" w:hAnsi="Segoe UI"/>
          <w:color w:val="1E293B"/>
          <w:sz w:val="21"/>
          <w:szCs w:val="21"/>
        </w:rPr>
        <w:t xml:space="preserve">Answer: For financial audit safety, approved investments and active clients cannot be permanently deleted by branch managers. Only System Administrators (ADMIN) have permission to alter approved records.</w:t>
      </w:r>
      <w:r>
        <w:rPr>
          <w:rFonts w:ascii="Nirmala UI" w:cs="Nirmala UI" w:eastAsia="Nirmala UI" w:hAnsi="Nirmala UI"/>
          <w:color w:val="475569"/>
          <w:sz w:val="20"/>
          <w:szCs w:val="20"/>
        </w:rPr>
        <w:t xml:space="preserve">  [සිංහල: පිළිතුර: මූල්‍ය විගණන ආරක්ෂාව සඳහා අනුමත කළ ආයෝජන සාමාන්‍ය පරිශීලකයින්ට මකා දැමිය නොහැක. ඒ සඳහා ප්‍රධාන පරිපාලක (ADMIN) අනුමැතිය අවශ්‍ය වේ.]</w:t>
      </w:r>
    </w:p>
    <w:p>
      <w:pPr>
        <w:spacing w:after="100" w:before="400"/>
      </w:pPr>
    </w:p>
    <w:p>
      <w:pPr>
        <w:jc w:val="center"/>
      </w:pPr>
      <w:r>
        <w:rPr>
          <w:rFonts w:ascii="Segoe UI" w:cs="Segoe UI" w:eastAsia="Segoe UI" w:hAnsi="Segoe UI"/>
          <w:b/>
          <w:bCs/>
          <w:color w:val="475569"/>
          <w:sz w:val="22"/>
          <w:szCs w:val="22"/>
        </w:rPr>
        <w:t xml:space="preserve">— End of Operations Manual —</w:t>
      </w:r>
    </w:p>
    <w:p>
      <w:pPr>
        <w:jc w:val="center"/>
      </w:pPr>
      <w:r>
        <w:rPr>
          <w:rFonts w:ascii="Segoe UI" w:cs="Segoe UI" w:eastAsia="Segoe UI" w:hAnsi="Segoe UI"/>
          <w:color w:val="475569"/>
          <w:sz w:val="18"/>
          <w:szCs w:val="18"/>
        </w:rPr>
        <w:t xml:space="preserve">Super Green Plantations (Pvt) Ltd — IT &amp; Systems Engineering Team</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475569"/>
        <w:sz w:val="16"/>
        <w:szCs w:val="16"/>
      </w:rPr>
      <w:t xml:space="preserve">SUPER GREEN PLANTATIONS ERP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2026-10-12T09:44:37.511Z</dcterms:created>
  <dcterms:modified xsi:type="dcterms:W3CDTF">2026-10-12T09:44:37.512Z</dcterms:modified>
</cp:coreProperties>
</file>

<file path=docProps/custom.xml><?xml version="1.0" encoding="utf-8"?>
<Properties xmlns="http://schemas.openxmlformats.org/officeDocument/2006/custom-properties" xmlns:vt="http://schemas.openxmlformats.org/officeDocument/2006/docPropsVTypes"/>
</file>