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eastAsia="zh-CN"/>
        </w:rPr>
      </w:pPr>
      <w:bookmarkStart w:id="0" w:name="_GoBack"/>
      <w:bookmarkEnd w:id="0"/>
    </w:p>
    <w:tbl>
      <w:tblPr>
        <w:tblStyle w:val="style154"/>
        <w:tblW w:w="100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167"/>
        <w:gridCol w:w="1187"/>
        <w:gridCol w:w="1189"/>
        <w:gridCol w:w="1325"/>
        <w:gridCol w:w="2139"/>
        <w:gridCol w:w="3049"/>
      </w:tblGrid>
      <w:tr>
        <w:trPr/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阵营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攻击修正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生存修正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机动修正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生产时间修正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特殊规则</w:t>
            </w:r>
          </w:p>
        </w:tc>
      </w:tr>
      <w:tr>
        <w:tblPrEx/>
        <w:trPr/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>
        <w:tblPrEx/>
        <w:trPr/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标准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无</w:t>
            </w:r>
          </w:p>
        </w:tc>
      </w:tr>
    </w:tbl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阵营单位数值修正系数表（在平衡设计后，单位进行额外加成）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单位强度三维模型</w:t>
      </w:r>
    </w:p>
    <w:p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一、</w:t>
      </w:r>
      <w:r>
        <w:rPr>
          <w:rFonts w:hint="eastAsia"/>
          <w:lang w:val="en-US" w:eastAsia="zh-CN"/>
        </w:rPr>
        <w:t>单位参考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空军单位机动值额外提升</w:t>
      </w:r>
      <w:r>
        <w:rPr>
          <w:rFonts w:hint="default"/>
          <w:lang w:val="en-US" w:eastAsia="zh-CN"/>
        </w:rPr>
        <w:t>0.5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HP-10%</w:t>
      </w:r>
      <w:r>
        <w:rPr>
          <w:rFonts w:hint="eastAsia"/>
          <w:lang w:val="en-US" w:eastAsia="zh-CN"/>
        </w:rPr>
        <w:t>，攻击</w:t>
      </w:r>
      <w:r>
        <w:rPr>
          <w:rFonts w:hint="default"/>
          <w:lang w:val="en-US" w:eastAsia="zh-CN"/>
        </w:rPr>
        <w:t>-10%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无武备单位机动值额外提升</w:t>
      </w:r>
      <w:r>
        <w:rPr>
          <w:rFonts w:hint="default"/>
          <w:lang w:val="en-US" w:eastAsia="zh-CN"/>
        </w:rPr>
        <w:t>0.5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空军单位最高机动性不得大于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，陆军单位最高机动性不得大于</w:t>
      </w:r>
      <w:r>
        <w:rPr>
          <w:rFonts w:hint="default"/>
          <w:lang w:val="en-US" w:eastAsia="zh-CN"/>
        </w:rPr>
        <w:t>3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二、核心公式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基础战力值（CP值）  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CP = DPS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vertAlign w:val="baseline"/>
          <w:lang w:val="en-US" w:eastAsia="zh-CN"/>
        </w:rPr>
        <w:t>×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vertAlign w:val="baseline"/>
          <w:lang w:val="en-US" w:eastAsia="zh-CN"/>
        </w:rPr>
        <w:t>（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vertAlign w:val="baseline"/>
          <w:lang w:val="en-US" w:eastAsia="zh-CN"/>
        </w:rPr>
        <w:t>单位射程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vertAlign w:val="baseline"/>
          <w:lang w:val="en-US" w:eastAsia="zh-CN"/>
        </w:rPr>
        <w:t>/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vertAlign w:val="baseline"/>
          <w:lang w:val="en-US" w:eastAsia="zh-CN"/>
        </w:rPr>
        <w:t>标准射程</w:t>
      </w:r>
      <w:r>
        <w:rPr>
          <w:rFonts w:hint="default"/>
          <w:lang w:val="en-US" w:eastAsia="zh-CN"/>
        </w:rPr>
        <w:t>) +EHP/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8+(T</w:t>
      </w:r>
      <w:r>
        <w:rPr>
          <w:rFonts w:hint="eastAsia"/>
          <w:lang w:val="en-US" w:eastAsia="zh-CN"/>
        </w:rPr>
        <w:t>数</w:t>
      </w:r>
      <w:r>
        <w:rPr>
          <w:rFonts w:hint="default"/>
          <w:lang w:val="en-US" w:eastAsia="zh-CN"/>
        </w:rPr>
        <w:t>-1))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且在验算中， </w:t>
      </w:r>
      <w:r>
        <w:rPr>
          <w:rFonts w:hint="default"/>
          <w:lang w:val="en-US" w:eastAsia="zh-CN"/>
        </w:rPr>
        <w:t>dps</w:t>
      </w:r>
      <w:r>
        <w:rPr>
          <w:rFonts w:hint="eastAsia"/>
          <w:lang w:val="en-US" w:eastAsia="zh-CN"/>
        </w:rPr>
        <w:t>＜</w:t>
      </w:r>
      <w:r>
        <w:rPr>
          <w:rFonts w:hint="default"/>
          <w:lang w:val="en-US" w:eastAsia="zh-CN"/>
        </w:rPr>
        <w:t>HP/8</w:t>
      </w:r>
      <w:r>
        <w:rPr>
          <w:rFonts w:hint="eastAsia"/>
          <w:lang w:val="en-US" w:eastAsia="zh-CN"/>
        </w:rPr>
        <w:t xml:space="preserve"> ，请不要拘泥于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倍，允许更高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标准射程T1 300 T2 400 T3 500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特殊计算规则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轰炸机和近战单位射程锁定</w:t>
      </w:r>
      <w:r>
        <w:rPr>
          <w:rFonts w:hint="default"/>
          <w:lang w:val="en-US" w:eastAsia="zh-CN"/>
        </w:rPr>
        <w:t>75</w:t>
      </w:r>
      <w:r>
        <w:rPr>
          <w:rFonts w:hint="eastAsia"/>
          <w:lang w:val="en-US" w:eastAsia="zh-CN"/>
        </w:rPr>
        <w:t>，该类型单位计算</w:t>
      </w:r>
      <w:r>
        <w:rPr>
          <w:rFonts w:hint="default"/>
          <w:lang w:val="en-US" w:eastAsia="zh-CN"/>
        </w:rPr>
        <w:t>cp</w:t>
      </w:r>
      <w:r>
        <w:rPr>
          <w:rFonts w:hint="eastAsia"/>
          <w:lang w:val="en-US" w:eastAsia="zh-CN"/>
        </w:rPr>
        <w:t>时，</w:t>
      </w:r>
      <w:r>
        <w:rPr>
          <w:rFonts w:hint="default"/>
          <w:lang w:val="en-US" w:eastAsia="zh-CN"/>
        </w:rPr>
        <w:t>CP=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dps*0.8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EHP/8</w:t>
      </w:r>
      <w:r>
        <w:rPr>
          <w:rFonts w:hint="eastAsia"/>
          <w:lang w:val="en-US" w:eastAsia="zh-CN"/>
        </w:rPr>
        <w:t>）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支援效能值（SP值）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SP = (治疗量/秒)/4 × 范围系数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作用范围系数：单体=1，如是作用于群体，则每50范围则</w:t>
      </w:r>
      <w:r>
        <w:rPr>
          <w:rFonts w:hint="eastAsia"/>
          <w:lang w:val="en-US" w:eastAsia="zh-CN"/>
        </w:rPr>
        <w:t>提供</w:t>
      </w:r>
      <w:r>
        <w:rPr>
          <w:rFonts w:hint="default"/>
          <w:lang w:val="en-US" w:eastAsia="zh-CN"/>
        </w:rPr>
        <w:t>1点系数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跃迁贡献修正  </w:t>
      </w:r>
    </w:p>
    <w:p>
      <w:pPr>
        <w:pStyle w:val="style0"/>
        <w:spacing w:lineRule="auto" w:line="240"/>
        <w:jc w:val="both"/>
        <w:rPr/>
      </w:pPr>
      <w:r>
        <w:rPr>
          <w:rFonts w:hint="default"/>
          <w:lang w:val="en-US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跃迁贡献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p×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EHP/12</w:t>
      </w:r>
    </w:p>
    <w:p>
      <w:pPr>
        <w:pStyle w:val="style0"/>
        <w:spacing w:lineRule="auto" w:line="240"/>
        <w:jc w:val="both"/>
        <w:rPr>
          <w:rFonts w:hint="default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  p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最大跃迁距离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冷却时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间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总强度（TP值）  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 TP = CP + SP + 跃迁贡献/100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单位技能应当单独进行强度考量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四、阶段基准参数</w:t>
      </w:r>
    </w:p>
    <w:tbl>
      <w:tblPr>
        <w:tblStyle w:val="style154"/>
        <w:tblW w:w="6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661"/>
        <w:gridCol w:w="2199"/>
        <w:gridCol w:w="2185"/>
      </w:tblGrid>
      <w:tr>
        <w:trPr>
          <w:trHeight w:val="412" w:hRule="atLeast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阶段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tp</w:t>
            </w:r>
            <w:r>
              <w:rPr>
                <w:rFonts w:hint="eastAsia"/>
                <w:lang w:val="en-US" w:eastAsia="zh-CN"/>
              </w:rPr>
              <w:t>基准范围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EVR</w:t>
            </w:r>
            <w:r>
              <w:rPr>
                <w:rFonts w:hint="eastAsia"/>
                <w:lang w:val="en-US" w:eastAsia="zh-CN"/>
              </w:rPr>
              <w:t>范围</w:t>
            </w:r>
          </w:p>
        </w:tc>
      </w:tr>
      <w:tr>
        <w:tblPrEx/>
        <w:trPr>
          <w:trHeight w:val="254" w:hRule="atLeast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T1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120-240</w:t>
            </w:r>
          </w:p>
        </w:tc>
        <w:tc>
          <w:tcPr>
            <w:tcW w:w="21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维持</w:t>
            </w:r>
            <w:r>
              <w:rPr>
                <w:rFonts w:hint="default"/>
                <w:lang w:val="en-US" w:eastAsia="zh-CN"/>
              </w:rPr>
              <w:t>0.28-0.32</w:t>
            </w:r>
            <w:r>
              <w:rPr>
                <w:rFonts w:hint="eastAsia"/>
                <w:lang w:val="en-US" w:eastAsia="zh-CN"/>
              </w:rPr>
              <w:t>左右</w:t>
            </w:r>
          </w:p>
        </w:tc>
      </w:tr>
      <w:tr>
        <w:tblPrEx/>
        <w:trPr/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T2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300-600</w:t>
            </w:r>
          </w:p>
        </w:tc>
        <w:tc>
          <w:tcPr>
            <w:tcW w:w="218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</w:p>
        </w:tc>
      </w:tr>
      <w:tr>
        <w:tblPrEx/>
        <w:trPr/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T3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750-1500</w:t>
            </w:r>
          </w:p>
        </w:tc>
        <w:tc>
          <w:tcPr>
            <w:tcW w:w="218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</w:p>
        </w:tc>
      </w:tr>
      <w:tr>
        <w:tblPrEx/>
        <w:trPr/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T4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18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</w:p>
        </w:tc>
      </w:tr>
      <w:tr>
        <w:tblPrEx/>
        <w:trPr/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T5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18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hint="default"/>
                <w:lang w:val="en-US" w:eastAsia="zh-CN"/>
              </w:rPr>
            </w:pPr>
          </w:p>
        </w:tc>
      </w:tr>
    </w:tbl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EVR(</w:t>
      </w:r>
      <w:r>
        <w:rPr>
          <w:rFonts w:hint="eastAsia"/>
          <w:lang w:val="en-US" w:eastAsia="zh-CN"/>
        </w:rPr>
        <w:t>性价比</w:t>
      </w:r>
      <w:r>
        <w:rPr>
          <w:lang w:val="en-US"/>
        </w:rPr>
        <w:t>)=TP/</w:t>
      </w:r>
      <w:r>
        <w:rPr>
          <w:rFonts w:hint="eastAsia"/>
          <w:lang w:val="en-US" w:eastAsia="zh-CN"/>
        </w:rPr>
        <w:t>单位造价</w:t>
      </w:r>
    </w:p>
    <w:p>
      <w:pPr>
        <w:pStyle w:val="style0"/>
        <w:rPr/>
      </w:pPr>
      <w:r>
        <w:rPr>
          <w:lang w:val="en-US"/>
        </w:rPr>
        <w:t>Tx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tp</w:t>
      </w:r>
      <w:r>
        <w:rPr>
          <w:rFonts w:hint="eastAsia"/>
          <w:lang w:val="en-US" w:eastAsia="zh-CN"/>
        </w:rPr>
        <w:t>值不得高于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x+1</w:t>
      </w:r>
      <w:r>
        <w:rPr>
          <w:rFonts w:hint="eastAsia"/>
          <w:lang w:val="en-US" w:eastAsia="zh-CN"/>
        </w:rPr>
        <w:t>）的</w:t>
      </w:r>
      <w:r>
        <w:rPr>
          <w:rFonts w:hint="default"/>
          <w:lang w:val="en-US" w:eastAsia="zh-CN"/>
        </w:rPr>
        <w:t>tp</w:t>
      </w:r>
      <w:r>
        <w:rPr>
          <w:rFonts w:hint="eastAsia"/>
          <w:lang w:val="en-US" w:eastAsia="zh-CN"/>
        </w:rPr>
        <w:t>值基准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五</w:t>
      </w:r>
      <w:r>
        <w:rPr>
          <w:lang w:val="en-US"/>
        </w:rPr>
        <w:t>、平衡验证流程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1. 类型内平衡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- </w:t>
      </w:r>
      <w:r>
        <w:rPr>
          <w:rFonts w:hint="eastAsia"/>
          <w:lang w:val="en-US" w:eastAsia="zh-CN"/>
        </w:rPr>
        <w:t>暂无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2. 跨类型对抗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- </w:t>
      </w:r>
      <w:r>
        <w:rPr>
          <w:rFonts w:hint="eastAsia"/>
          <w:lang w:val="en-US" w:eastAsia="zh-CN"/>
        </w:rPr>
        <w:t>暂无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3. 经济适配性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- 单位造价需满足：`EVR = TP / 造价 ∈ 阶段EVR范围。 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预设参照单位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>
        <w:tblInd w:w="0" w:type="dxa"/>
      </w:tblPr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>
        <w:tblInd w:w="0" w:type="dxa"/>
      </w:tblPr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498</Words>
  <Pages>0</Pages>
  <Characters>633</Characters>
  <Application>WPS Office</Application>
  <DocSecurity>0</DocSecurity>
  <Paragraphs>125</Paragraphs>
  <ScaleCrop>false</ScaleCrop>
  <LinksUpToDate>false</LinksUpToDate>
  <CharactersWithSpaces>728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2025-02-11T18:12:52Z</dcterms:created>
  <dc:creator>23049RAD8C</dc:creator>
  <lastModifiedBy>23049RAD8C</lastModifiedBy>
  <dcterms:modified xsi:type="dcterms:W3CDTF">2025-03-29T14:58:39Z</dcterms:modified>
  <revision>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887267728ea141a98a0f6f8c4933719d_23</vt:lpwstr>
  </property>
</Properties>
</file>