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rPr>
          <w:b/>
          <w:bCs/>
          <w:color w:val="0D1B2A"/>
          <w:sz w:val="54"/>
          <w:szCs w:val="54"/>
        </w:rPr>
        <w:t xml:space="preserve">SUPER PHOENIX SPORTS</w:t>
      </w:r>
    </w:p>
    <w:p>
      <w:pPr>
        <w:pBdr>
          <w:bottom w:val="single" w:color="E8610A" w:sz="18" w:space="6"/>
        </w:pBdr>
        <w:spacing w:after="360"/>
      </w:pPr>
      <w:r>
        <w:rPr>
          <w:sz w:val="8"/>
          <w:szCs w:val="8"/>
        </w:rPr>
        <w:t xml:space="preserve"/>
      </w:r>
    </w:p>
    <w:p>
      <w:pPr>
        <w:spacing w:after="120"/>
      </w:pPr>
      <w:r>
        <w:rPr>
          <w:b/>
          <w:bCs/>
          <w:color w:val="E8610A"/>
          <w:sz w:val="38"/>
          <w:szCs w:val="38"/>
        </w:rPr>
        <w:t xml:space="preserve">ATMTA IP Royalty — Tracking &amp; Governance Specification</w:t>
      </w:r>
    </w:p>
    <w:p>
      <w:pPr>
        <w:spacing w:after="500"/>
      </w:pPr>
      <w:r>
        <w:rPr>
          <w:i/>
          <w:iCs/>
          <w:color w:val="444444"/>
          <w:sz w:val="24"/>
          <w:szCs w:val="24"/>
        </w:rPr>
        <w:t xml:space="preserve">Instrumentation of the 5% net-revenue royalty triggered above $1M cumulative gross earnings, built into the CFO financial-governance layer as a tracked liability with a live counter, audit trail, and dual-regime unit economics.</w:t>
      </w:r>
    </w:p>
    <w:p>
      <w:pPr>
        <w:spacing w:after="60"/>
      </w:pPr>
      <w:r>
        <w:rPr>
          <w:color w:val="0D1B2A"/>
          <w:sz w:val="22"/>
          <w:szCs w:val="22"/>
        </w:rPr>
        <w:t xml:space="preserve">Owner: CFO (Gate 1 — Financial Viability)</w:t>
      </w:r>
    </w:p>
    <w:p>
      <w:pPr>
        <w:spacing w:after="60"/>
      </w:pPr>
      <w:r>
        <w:rPr>
          <w:color w:val="0D1B2A"/>
          <w:sz w:val="22"/>
          <w:szCs w:val="22"/>
        </w:rPr>
        <w:t xml:space="preserve">Counterparty: ATMTA, Inc. (Star Atlas IP)</w:t>
      </w:r>
    </w:p>
    <w:p>
      <w:pPr>
        <w:spacing w:after="60"/>
      </w:pPr>
      <w:r>
        <w:rPr>
          <w:color w:val="0D1B2A"/>
          <w:sz w:val="22"/>
          <w:szCs w:val="22"/>
        </w:rPr>
        <w:t xml:space="preserve">Related Decision: FIN-2026-ROY-001 (to be registered)</w:t>
      </w:r>
    </w:p>
    <w:p>
      <w:pPr>
        <w:spacing w:after="60"/>
      </w:pPr>
      <w:r>
        <w:rPr>
          <w:color w:val="B00020"/>
          <w:sz w:val="22"/>
          <w:szCs w:val="22"/>
        </w:rPr>
        <w:t xml:space="preserve">Date: June 12, 2026  |  Status: Draft v1.0 — pending definitional confirmation</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Purpose &amp; The Obligation in Plain Terms</w:t>
      </w:r>
    </w:p>
    <w:p>
      <w:pPr>
        <w:spacing w:after="120"/>
      </w:pPr>
      <w:r>
        <w:rPr>
          <w:b/>
          <w:bCs/>
        </w:rPr>
        <w:t xml:space="preserve">What ATMTA granted. </w:t>
      </w:r>
      <w:r>
        <w:t xml:space="preserve">Full use of Star Atlas IP across all aspects, in writing, including broadcast and monetization in any way, with no royalty owed until cumulative gross earnings exceed $1,000,000. Above that threshold, a 5% royalty applies to net revenue. The grant is revocable in writing with advance notice.</w:t>
      </w:r>
    </w:p>
    <w:p>
      <w:pPr>
        <w:spacing w:after="120"/>
      </w:pPr>
      <w:r>
        <w:rPr>
          <w:b/>
          <w:bCs/>
        </w:rPr>
        <w:t xml:space="preserve">What this spec does. </w:t>
      </w:r>
      <w:r>
        <w:t xml:space="preserve">Turns that contractual obligation into a measured, provable, always-current number inside the CFO layer. The royalty cannot be a figure reconstructed at $1M under pressure; it must be a live counter that is correct on the first dollar and auditable on demand. This document defines the counter, the definitions that drive it, the ledger mechanics, the accrual treatment, the reporting cadence, and the governance hooks.</w:t>
      </w:r>
    </w:p>
    <w:p>
      <w:pPr>
        <w:spacing w:after="120"/>
      </w:pPr>
      <w:r>
        <w:rPr>
          <w:b/>
          <w:bCs/>
        </w:rPr>
        <w:t xml:space="preserve">Why it matters now. </w:t>
      </w:r>
      <w:r>
        <w:t xml:space="preserve">Two definitional ambiguities in the grant — what counts toward 'gross earnings,' and what is deducted to reach 'net revenue' — are where royalty disputes live. They must be resolved with ATMTA in writing BEFORE the threshold is approached, not after. Section 2 structures exactly those questions for counsel. Everything downstream depends on locking them.</w:t>
      </w:r>
    </w:p>
    <w:p>
      <w:pPr>
        <w:spacing w:after="80"/>
      </w:pPr>
      <w:r>
        <w:t xml:space="preserve"/>
      </w:r>
    </w:p>
    <w:p>
      <w:pPr>
        <w:spacing w:after="120"/>
      </w:pPr>
      <w:r>
        <w:rPr>
          <w:b/>
          <w:bCs/>
        </w:rPr>
        <w:t xml:space="preserve">Grant terms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Term</w:t>
            </w:r>
          </w:p>
        </w:tc>
        <w:tc>
          <w:tcPr>
            <w:tcW w:type="dxa" w:w="35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As granted</w:t>
            </w:r>
          </w:p>
        </w:tc>
        <w:tc>
          <w:tcPr>
            <w:tcW w:type="dxa" w:w="416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Tracking implication</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Scope</w:t>
            </w:r>
          </w:p>
        </w:tc>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Full IP, all aspects, broadcast + monetization</w:t>
            </w:r>
          </w:p>
        </w:tc>
        <w:tc>
          <w:tcPr>
            <w:tcW w:type="dxa" w:w="4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 IP-side revenue restriction; track all attributable revenue</w:t>
            </w:r>
          </w:p>
        </w:tc>
      </w:tr>
      <w:tr>
        <w:tc>
          <w:tcPr>
            <w:tcW w:type="dxa" w:w="17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Royalty rate</w:t>
            </w:r>
          </w:p>
        </w:tc>
        <w:tc>
          <w:tcPr>
            <w:tcW w:type="dxa" w:w="35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5% of net revenue</w:t>
            </w:r>
          </w:p>
        </w:tc>
        <w:tc>
          <w:tcPr>
            <w:tcW w:type="dxa" w:w="41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Applied only to revenue earned after threshold crossing</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Trigger</w:t>
            </w:r>
          </w:p>
        </w:tc>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Cumulative gross earnings &gt; $1,000,000</w:t>
            </w:r>
          </w:p>
        </w:tc>
        <w:tc>
          <w:tcPr>
            <w:tcW w:type="dxa" w:w="4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Requires a running cumulative gross counter from dollar one</w:t>
            </w:r>
          </w:p>
        </w:tc>
      </w:tr>
      <w:tr>
        <w:tc>
          <w:tcPr>
            <w:tcW w:type="dxa" w:w="17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Pre-trigger</w:t>
            </w:r>
          </w:p>
        </w:tc>
        <w:tc>
          <w:tcPr>
            <w:tcW w:type="dxa" w:w="35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No royalty owed</w:t>
            </w:r>
          </w:p>
        </w:tc>
        <w:tc>
          <w:tcPr>
            <w:tcW w:type="dxa" w:w="41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$0 accrued; counter still runs and is reported</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Revocation</w:t>
            </w:r>
          </w:p>
        </w:tc>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 writing, with advance notice</w:t>
            </w:r>
          </w:p>
        </w:tc>
        <w:tc>
          <w:tcPr>
            <w:tcW w:type="dxa" w:w="4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Notice period sets migration runway; track as continuity risk</w:t>
            </w:r>
          </w:p>
        </w:tc>
      </w:tr>
    </w:tbl>
    <w:p>
      <w:r>
        <w:br w:type="page"/>
      </w:r>
    </w:p>
    <w:p>
      <w:pPr>
        <w:pStyle w:val="Heading1"/>
      </w:pPr>
      <w:r>
        <w:t xml:space="preserve">1. Revenue Attribution Boundary</w:t>
      </w:r>
    </w:p>
    <w:p>
      <w:pPr>
        <w:spacing w:after="120"/>
      </w:pPr>
      <w:r>
        <w:rPr>
          <w:b/>
          <w:bCs/>
        </w:rPr>
        <w:t xml:space="preserve">The single most important design decision. </w:t>
      </w:r>
      <w:r>
        <w:t xml:space="preserve">The $1M trigger and the 5% base both depend on which dollars 'count.' SPS has multiple revenue streams; Phoenix Racer is one product among them. The grant is for the Star Atlas IP, so the obligation attaches to revenue derived from IP-using activity — but the exact boundary must be defined and agreed, because it determines both when the threshold trips and what the 5% is charged against.</w:t>
      </w:r>
    </w:p>
    <w:p>
      <w:pPr>
        <w:pStyle w:val="Heading2"/>
      </w:pPr>
      <w:r>
        <w:t xml:space="preserve">1.1 Three candidate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Boundary</w:t>
            </w:r>
          </w:p>
        </w:tc>
        <w:tc>
          <w:tcPr>
            <w:tcW w:type="dxa" w:w="46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What counts toward gross/net</w:t>
            </w:r>
          </w:p>
        </w:tc>
        <w:tc>
          <w:tcPr>
            <w:tcW w:type="dxa" w:w="276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Risk profile</w:t>
            </w:r>
          </w:p>
        </w:tc>
      </w:tr>
      <w:tr>
        <w:tc>
          <w:tcPr>
            <w:tcW w:type="dxa" w:w="2000"/>
            <w:tcBorders>
              <w:top w:val="single" w:color="CCCCCC" w:sz="1"/>
              <w:left w:val="single" w:color="CCCCCC" w:sz="1"/>
              <w:bottom w:val="single" w:color="CCCCCC" w:sz="1"/>
              <w:right w:val="single" w:color="CCCCCC" w:sz="1"/>
            </w:tcBorders>
            <w:shd w:fill="E8F3EC" w:val="clear"/>
            <w:tcMar>
              <w:top w:type="dxa" w:w="60"/>
              <w:left w:type="dxa" w:w="110"/>
              <w:bottom w:type="dxa" w:w="60"/>
              <w:right w:type="dxa" w:w="110"/>
            </w:tcMar>
          </w:tcPr>
          <w:p>
            <w:pPr>
              <w:spacing w:after="0"/>
            </w:pPr>
            <w:r>
              <w:t xml:space="preserve">A. Product-scoped</w:t>
            </w:r>
          </w:p>
        </w:tc>
        <w:tc>
          <w:tcPr>
            <w:tcW w:type="dxa" w:w="4600"/>
            <w:tcBorders>
              <w:top w:val="single" w:color="CCCCCC" w:sz="1"/>
              <w:left w:val="single" w:color="CCCCCC" w:sz="1"/>
              <w:bottom w:val="single" w:color="CCCCCC" w:sz="1"/>
              <w:right w:val="single" w:color="CCCCCC" w:sz="1"/>
            </w:tcBorders>
            <w:shd w:fill="E8F3EC" w:val="clear"/>
            <w:tcMar>
              <w:top w:type="dxa" w:w="60"/>
              <w:left w:type="dxa" w:w="110"/>
              <w:bottom w:type="dxa" w:w="60"/>
              <w:right w:type="dxa" w:w="110"/>
            </w:tcMar>
          </w:tcPr>
          <w:p>
            <w:pPr>
              <w:spacing w:after="0"/>
            </w:pPr>
            <w:r>
              <w:t xml:space="preserve">Only revenue attributable to the IP-using game(s) — Phoenix Racer and any future Star Atlas title</w:t>
            </w:r>
          </w:p>
        </w:tc>
        <w:tc>
          <w:tcPr>
            <w:tcW w:type="dxa" w:w="2760"/>
            <w:tcBorders>
              <w:top w:val="single" w:color="CCCCCC" w:sz="1"/>
              <w:left w:val="single" w:color="CCCCCC" w:sz="1"/>
              <w:bottom w:val="single" w:color="CCCCCC" w:sz="1"/>
              <w:right w:val="single" w:color="CCCCCC" w:sz="1"/>
            </w:tcBorders>
            <w:shd w:fill="E8F3EC" w:val="clear"/>
            <w:tcMar>
              <w:top w:type="dxa" w:w="60"/>
              <w:left w:type="dxa" w:w="110"/>
              <w:bottom w:type="dxa" w:w="60"/>
              <w:right w:type="dxa" w:w="110"/>
            </w:tcMar>
          </w:tcPr>
          <w:p>
            <w:pPr>
              <w:spacing w:after="0"/>
            </w:pPr>
            <w:r>
              <w:t xml:space="preserve">Cleanest; requires disciplined revenue tagging at the ledger level</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B. Activity-scoped</w:t>
            </w:r>
          </w:p>
        </w:tc>
        <w:tc>
          <w:tcPr>
            <w:tcW w:type="dxa" w:w="46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All revenue from any activity that uses the IP (game + IP-branded streams, clips, sponsorships sold against IP content)</w:t>
            </w:r>
          </w:p>
        </w:tc>
        <w:tc>
          <w:tcPr>
            <w:tcW w:type="dxa" w:w="27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Broader; harder to draw the line on shared sponsorships</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 Entity-scoped</w:t>
            </w:r>
          </w:p>
        </w:tc>
        <w:tc>
          <w:tcPr>
            <w:tcW w:type="dxa" w:w="4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 SPS gross revenue, regardless of source</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Worst case for SPS; pulls in betting/non-IP revenue; avoid</w:t>
            </w:r>
          </w:p>
        </w:tc>
      </w:tr>
    </w:tbl>
    <w:p>
      <w:pPr>
        <w:spacing w:after="120"/>
      </w:pPr>
      <w:r>
        <w:rPr>
          <w:b/>
          <w:bCs/>
        </w:rPr>
        <w:t xml:space="preserve">Recommendation: </w:t>
      </w:r>
      <w:r>
        <w:t xml:space="preserve">pursue Boundary A (product-scoped) in writing with ATMTA. It is the most defensible, the most controllable, and the one your ledger can prove cleanly. It also keeps non-IP SPS revenue (e.g., betting products under separate compliance tracks) entirely outside the royalty base. If ATMTA pushes toward B, define an explicit allocation rule for shared/blended sponsorships (Section 2.3).</w:t>
      </w:r>
    </w:p>
    <w:p>
      <w:pPr>
        <w:pStyle w:val="Heading2"/>
      </w:pPr>
      <w:r>
        <w:t xml:space="preserve">1.2 Ledger-level tagging requirement</w:t>
      </w:r>
    </w:p>
    <w:p>
      <w:pPr>
        <w:spacing w:after="120"/>
      </w:pPr>
      <w:r>
        <w:t xml:space="preserve">Whichever boundary is agreed, every revenue event must be tagged at entry with an IP-attribution flag so the counter is computed from data, never estimated. Add to the revenue ledger:</w:t>
      </w:r>
    </w:p>
    <w:p>
      <w:pPr>
        <w:pStyle w:val="ListParagraph"/>
        <w:numPr>
          <w:ilvl w:val="0"/>
          <w:numId w:val="2"/>
        </w:numPr>
        <w:spacing w:after="60"/>
      </w:pPr>
      <w:r>
        <w:rPr>
          <w:rFonts w:ascii="Consolas" w:cs="Consolas" w:eastAsia="Consolas" w:hAnsi="Consolas"/>
          <w:sz w:val="20"/>
          <w:szCs w:val="20"/>
        </w:rPr>
        <w:t xml:space="preserve">ip_attributable</w:t>
      </w:r>
      <w:r>
        <w:t xml:space="preserve"> (boolean) — does this revenue count toward the ATMTA boundary?</w:t>
      </w:r>
    </w:p>
    <w:p>
      <w:pPr>
        <w:pStyle w:val="ListParagraph"/>
        <w:numPr>
          <w:ilvl w:val="0"/>
          <w:numId w:val="2"/>
        </w:numPr>
        <w:spacing w:after="60"/>
      </w:pPr>
      <w:r>
        <w:rPr>
          <w:rFonts w:ascii="Consolas" w:cs="Consolas" w:eastAsia="Consolas" w:hAnsi="Consolas"/>
          <w:sz w:val="20"/>
          <w:szCs w:val="20"/>
        </w:rPr>
        <w:t xml:space="preserve">attribution_basis</w:t>
      </w:r>
      <w:r>
        <w:t xml:space="preserve"> (enum) — game_entry | game_sponsorship | broadcast_ad | clip_license | merch | other</w:t>
      </w:r>
    </w:p>
    <w:p>
      <w:pPr>
        <w:pStyle w:val="ListParagraph"/>
        <w:numPr>
          <w:ilvl w:val="0"/>
          <w:numId w:val="2"/>
        </w:numPr>
        <w:spacing w:after="60"/>
      </w:pPr>
      <w:r>
        <w:rPr>
          <w:rFonts w:ascii="Consolas" w:cs="Consolas" w:eastAsia="Consolas" w:hAnsi="Consolas"/>
          <w:sz w:val="20"/>
          <w:szCs w:val="20"/>
        </w:rPr>
        <w:t xml:space="preserve">allocation_pct</w:t>
      </w:r>
      <w:r>
        <w:t xml:space="preserve"> (numeric, default 100) — for blended items, the % attributed to IP activity</w:t>
      </w:r>
    </w:p>
    <w:p>
      <w:pPr>
        <w:pStyle w:val="ListParagraph"/>
        <w:numPr>
          <w:ilvl w:val="0"/>
          <w:numId w:val="2"/>
        </w:numPr>
        <w:spacing w:after="60"/>
      </w:pPr>
      <w:r>
        <w:rPr>
          <w:rFonts w:ascii="Consolas" w:cs="Consolas" w:eastAsia="Consolas" w:hAnsi="Consolas"/>
          <w:sz w:val="20"/>
          <w:szCs w:val="20"/>
        </w:rPr>
        <w:t xml:space="preserve">revenue_type</w:t>
      </w:r>
      <w:r>
        <w:t xml:space="preserve"> (enum) — gross_inflow vs. the cost categories that net it down (see Section 2)</w:t>
      </w:r>
    </w:p>
    <w:p>
      <w:r>
        <w:br w:type="page"/>
      </w:r>
    </w:p>
    <w:p>
      <w:pPr>
        <w:pStyle w:val="Heading1"/>
      </w:pPr>
      <w:r>
        <w:t xml:space="preserve">2. Definitions to Lock With ATMTA (in writing)</w:t>
      </w:r>
    </w:p>
    <w:p>
      <w:pPr>
        <w:spacing w:after="120"/>
      </w:pPr>
      <w:r>
        <w:rPr>
          <w:b/>
          <w:bCs/>
        </w:rPr>
        <w:t xml:space="preserve">This is the action-forcing section. </w:t>
      </w:r>
      <w:r>
        <w:t xml:space="preserve">Each item below is a question that must be answered in writing by ATMTA + GC before the counter can be trusted near the threshold. Send these as a definitional confirmation memo. Until answered, the counter runs on the conservative assumptions noted, flagged as provisional.</w:t>
      </w:r>
    </w:p>
    <w:p>
      <w:pPr>
        <w:pStyle w:val="Heading2"/>
      </w:pPr>
      <w:r>
        <w:t xml:space="preserve">2.1 "Gross earnings" (the $1M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Question to resolve</w:t>
            </w:r>
          </w:p>
        </w:tc>
        <w:tc>
          <w:tcPr>
            <w:tcW w:type="dxa" w:w="416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Conservative default until answered</w:t>
            </w:r>
          </w:p>
        </w:tc>
      </w:tr>
      <w:tr>
        <w:tc>
          <w:tcPr>
            <w:tcW w:type="dxa" w:w="5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Gross of attributable revenue only, or all SPS revenue?</w:t>
            </w:r>
          </w:p>
        </w:tc>
        <w:tc>
          <w:tcPr>
            <w:tcW w:type="dxa" w:w="4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Product-scoped (Boundary A) — IP game revenue only</w:t>
            </w:r>
          </w:p>
        </w:tc>
      </w:tr>
      <w:tr>
        <w:tc>
          <w:tcPr>
            <w:tcW w:type="dxa" w:w="5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Recognized when earned (accrual) or when received (cash)?</w:t>
            </w:r>
          </w:p>
        </w:tc>
        <w:tc>
          <w:tcPr>
            <w:tcW w:type="dxa" w:w="41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Accrual — counts when earned, consistent with GAAP reporting</w:t>
            </w:r>
          </w:p>
        </w:tc>
      </w:tr>
      <w:tr>
        <w:tc>
          <w:tcPr>
            <w:tcW w:type="dxa" w:w="5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Are refunds/chargebacks netted out of gross?</w:t>
            </w:r>
          </w:p>
        </w:tc>
        <w:tc>
          <w:tcPr>
            <w:tcW w:type="dxa" w:w="4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Yes — gross is net of refunds and chargebacks</w:t>
            </w:r>
          </w:p>
        </w:tc>
      </w:tr>
      <w:tr>
        <w:tc>
          <w:tcPr>
            <w:tcW w:type="dxa" w:w="5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Do non-cash inflows (token/NFT consideration) count, at what valuation?</w:t>
            </w:r>
          </w:p>
        </w:tc>
        <w:tc>
          <w:tcPr>
            <w:tcW w:type="dxa" w:w="41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Yes, at fair USD value on receipt date</w:t>
            </w:r>
          </w:p>
        </w:tc>
      </w:tr>
      <w:tr>
        <w:tc>
          <w:tcPr>
            <w:tcW w:type="dxa" w:w="5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Cumulative since inception, or per-period reset?</w:t>
            </w:r>
          </w:p>
        </w:tc>
        <w:tc>
          <w:tcPr>
            <w:tcW w:type="dxa" w:w="4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Cumulative since first IP-using dollar; never resets</w:t>
            </w:r>
          </w:p>
        </w:tc>
      </w:tr>
      <w:tr>
        <w:tc>
          <w:tcPr>
            <w:tcW w:type="dxa" w:w="5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Is the threshold $1M of gross, confirmed (not net)?</w:t>
            </w:r>
          </w:p>
        </w:tc>
        <w:tc>
          <w:tcPr>
            <w:tcW w:type="dxa" w:w="41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Yes — trigger is gross; 5% base is net</w:t>
            </w:r>
          </w:p>
        </w:tc>
      </w:tr>
    </w:tbl>
    <w:p>
      <w:pPr>
        <w:pStyle w:val="Heading2"/>
      </w:pPr>
      <w:r>
        <w:t xml:space="preserve">2.2 "Net revenue" (the 5% base)</w:t>
      </w:r>
    </w:p>
    <w:p>
      <w:pPr>
        <w:spacing w:after="120"/>
      </w:pPr>
      <w:r>
        <w:t xml:space="preserve">Net-revenue definitions are where rev-share disputes are won or lost. The deduction stack must be enumerated and agreed. Proposed stack, each line to be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4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Candidate deduction</w:t>
            </w:r>
          </w:p>
        </w:tc>
        <w:tc>
          <w:tcPr>
            <w:tcW w:type="dxa" w:w="17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Include in net calc?</w:t>
            </w:r>
          </w:p>
        </w:tc>
        <w:tc>
          <w:tcPr>
            <w:tcW w:type="dxa" w:w="446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Notes / position to take</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Payment processing / gateway fees</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Yes</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Direct cost of collecting revenue</w:t>
            </w:r>
          </w:p>
        </w:tc>
      </w:tr>
      <w:tr>
        <w:tc>
          <w:tcPr>
            <w:tcW w:type="dxa" w:w="3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Platform / app-store fees (if any)</w:t>
            </w:r>
          </w:p>
        </w:tc>
        <w:tc>
          <w:tcPr>
            <w:tcW w:type="dxa" w:w="17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Yes</w:t>
            </w:r>
          </w:p>
        </w:tc>
        <w:tc>
          <w:tcPr>
            <w:tcW w:type="dxa" w:w="44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Third-party take off the top</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Prize payouts to players</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Yes</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Pass-through; never SPS earnings</w:t>
            </w:r>
          </w:p>
        </w:tc>
      </w:tr>
      <w:tr>
        <w:tc>
          <w:tcPr>
            <w:tcW w:type="dxa" w:w="3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Refunds &amp; chargebacks</w:t>
            </w:r>
          </w:p>
        </w:tc>
        <w:tc>
          <w:tcPr>
            <w:tcW w:type="dxa" w:w="17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Yes</w:t>
            </w:r>
          </w:p>
        </w:tc>
        <w:tc>
          <w:tcPr>
            <w:tcW w:type="dxa" w:w="44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Already removed at gross; do not double-count</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Sponsor servicing / fulfillment costs</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Negotiate</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Direct costs of delivering a sponsorship</w:t>
            </w:r>
          </w:p>
        </w:tc>
      </w:tr>
      <w:tr>
        <w:tc>
          <w:tcPr>
            <w:tcW w:type="dxa" w:w="3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Infrastructure / hosting attributable to game</w:t>
            </w:r>
          </w:p>
        </w:tc>
        <w:tc>
          <w:tcPr>
            <w:tcW w:type="dxa" w:w="17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Negotiate</w:t>
            </w:r>
          </w:p>
        </w:tc>
        <w:tc>
          <w:tcPr>
            <w:tcW w:type="dxa" w:w="44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Allocable share only; needs an allocation rule</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Taxes collected/remitted (e.g., VAT)</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Yes</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Never SPS revenue</w:t>
            </w:r>
          </w:p>
        </w:tc>
      </w:tr>
      <w:tr>
        <w:tc>
          <w:tcPr>
            <w:tcW w:type="dxa" w:w="3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Marketing / CAC</w:t>
            </w:r>
          </w:p>
        </w:tc>
        <w:tc>
          <w:tcPr>
            <w:tcW w:type="dxa" w:w="17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Likely no</w:t>
            </w:r>
          </w:p>
        </w:tc>
        <w:tc>
          <w:tcPr>
            <w:tcW w:type="dxa" w:w="44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ATMTA will resist; usually excluded from 'net revenue'</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General overhead / salaries</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Not a 'net revenue' deduction; this is net income territory</w:t>
            </w:r>
          </w:p>
        </w:tc>
      </w:tr>
    </w:tbl>
    <w:p>
      <w:pPr>
        <w:spacing w:after="120"/>
      </w:pPr>
      <w:r>
        <w:rPr>
          <w:b/>
          <w:bCs/>
        </w:rPr>
        <w:t xml:space="preserve">Key distinction to hold the line on: </w:t>
      </w:r>
      <w:r>
        <w:t xml:space="preserve">"net revenue" is revenue minus direct cost-of-revenue items — NOT net income. Resist any drift toward letting the 5% be computed on a number inflated by excluding ordinary operating costs, but equally do not let it be computed on gross dressed up as net. The agreed deduction stack, in writing, is the whole ballgame.</w:t>
      </w:r>
    </w:p>
    <w:p>
      <w:pPr>
        <w:pStyle w:val="Heading2"/>
      </w:pPr>
      <w:r>
        <w:t xml:space="preserve">2.3 Allocation rule for blended revenue</w:t>
      </w:r>
    </w:p>
    <w:p>
      <w:pPr>
        <w:spacing w:after="120"/>
      </w:pPr>
      <w:r>
        <w:t xml:space="preserve">If a sponsorship or stream covers both IP and non-IP content (e.g., a sponsor logo shown across a broadcast that includes both Phoenix Racer and a non-IP betting segment), an allocation rule decides how much counts. Propose a documented, consistent basis:</w:t>
      </w:r>
    </w:p>
    <w:p>
      <w:pPr>
        <w:pStyle w:val="ListParagraph"/>
        <w:numPr>
          <w:ilvl w:val="0"/>
          <w:numId w:val="2"/>
        </w:numPr>
        <w:spacing w:after="60"/>
      </w:pPr>
      <w:r>
        <w:t xml:space="preserve">Time-on-screen or segment-duration allocation for broadcast sponsorships.</w:t>
      </w:r>
    </w:p>
    <w:p>
      <w:pPr>
        <w:pStyle w:val="ListParagraph"/>
        <w:numPr>
          <w:ilvl w:val="0"/>
          <w:numId w:val="2"/>
        </w:numPr>
        <w:spacing w:after="60"/>
      </w:pPr>
      <w:r>
        <w:t xml:space="preserve">Impressions/placement allocation for ad inventory.</w:t>
      </w:r>
    </w:p>
    <w:p>
      <w:pPr>
        <w:pStyle w:val="ListParagraph"/>
        <w:numPr>
          <w:ilvl w:val="0"/>
          <w:numId w:val="2"/>
        </w:numPr>
        <w:spacing w:after="60"/>
      </w:pPr>
      <w:r>
        <w:t xml:space="preserve">Explicit contract line-item split where the sponsor agreement itemizes.</w:t>
      </w:r>
    </w:p>
    <w:p>
      <w:pPr>
        <w:spacing w:after="120"/>
      </w:pPr>
      <w:r>
        <w:rPr>
          <w:b/>
          <w:bCs/>
        </w:rPr>
        <w:t xml:space="preserve">Principle: </w:t>
      </w:r>
      <w:r>
        <w:t xml:space="preserve">pick one defensible basis, document it, apply it consistently. Inconsistent allocation is the thing an auditor or counterparty challenges.</w:t>
      </w:r>
    </w:p>
    <w:p>
      <w:pPr>
        <w:pStyle w:val="Heading2"/>
      </w:pPr>
      <w:r>
        <w:t xml:space="preserve">2.4 Revocation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Question</w:t>
            </w:r>
          </w:p>
        </w:tc>
        <w:tc>
          <w:tcPr>
            <w:tcW w:type="dxa" w:w="516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Why it matters</w:t>
            </w:r>
          </w:p>
        </w:tc>
      </w:tr>
      <w:t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What is the advance-notice period (days)?</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Sets minimum migration runway for asset-swap</w:t>
            </w:r>
          </w:p>
        </w:tc>
      </w:tr>
      <w:tr>
        <w:tc>
          <w:tcPr>
            <w:tcW w:type="dxa" w:w="4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Does revocation affect already-earned/accrued royalties?</w:t>
            </w:r>
          </w:p>
        </w:tc>
        <w:tc>
          <w:tcPr>
            <w:tcW w:type="dxa" w:w="51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Confirms whether obligations survive termination</w:t>
            </w:r>
          </w:p>
        </w:tc>
      </w:tr>
      <w:t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Does a wind-down/sunset right exist for in-flight tournaments?</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Avoids stranding a live prize event mid-bracket</w:t>
            </w:r>
          </w:p>
        </w:tc>
      </w:tr>
      <w:tr>
        <w:tc>
          <w:tcPr>
            <w:tcW w:type="dxa" w:w="4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Any cure period if revocation is for cause?</w:t>
            </w:r>
          </w:p>
        </w:tc>
        <w:tc>
          <w:tcPr>
            <w:tcW w:type="dxa" w:w="51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Affects whether a fixable breach ends the grant</w:t>
            </w:r>
          </w:p>
        </w:tc>
      </w:tr>
    </w:tbl>
    <w:p>
      <w:r>
        <w:br w:type="page"/>
      </w:r>
    </w:p>
    <w:p>
      <w:pPr>
        <w:pStyle w:val="Heading1"/>
      </w:pPr>
      <w:r>
        <w:t xml:space="preserve">3. The Royalty Counter &amp; Ledger Mechanics</w:t>
      </w:r>
    </w:p>
    <w:p>
      <w:pPr>
        <w:pStyle w:val="Heading2"/>
      </w:pPr>
      <w:r>
        <w:t xml:space="preserve">3.1 Two running figures, always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2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Counter</w:t>
            </w:r>
          </w:p>
        </w:tc>
        <w:tc>
          <w:tcPr>
            <w:tcW w:type="dxa" w:w="49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Definition</w:t>
            </w:r>
          </w:p>
        </w:tc>
        <w:tc>
          <w:tcPr>
            <w:tcW w:type="dxa" w:w="226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Updates</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Cumulative Gross (CG)</w:t>
            </w:r>
          </w:p>
        </w:tc>
        <w:tc>
          <w:tcPr>
            <w:tcW w:type="dxa" w:w="4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Running sum of IP-attributable gross earnings since inception</w:t>
            </w:r>
          </w:p>
        </w:tc>
        <w:tc>
          <w:tcPr>
            <w:tcW w:type="dxa" w:w="22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 every attributable revenue event</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Royalty Accrued (RA)</w:t>
            </w:r>
          </w:p>
        </w:tc>
        <w:tc>
          <w:tcPr>
            <w:tcW w:type="dxa" w:w="49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Sum of 5% × attributable net revenue earned after CG first exceeded $1M</w:t>
            </w:r>
          </w:p>
        </w:tc>
        <w:tc>
          <w:tcPr>
            <w:tcW w:type="dxa" w:w="22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On every post-threshold revenue close</w:t>
            </w:r>
          </w:p>
        </w:tc>
      </w:tr>
    </w:tbl>
    <w:p>
      <w:pPr>
        <w:spacing w:after="120"/>
      </w:pPr>
      <w:r>
        <w:rPr>
          <w:b/>
          <w:bCs/>
        </w:rPr>
        <w:t xml:space="preserve">Threshold-crossing logic. </w:t>
      </w:r>
      <w:r>
        <w:t xml:space="preserve">The royalty applies to net revenue earned after the trigger. The clean, defensible rule: the dollar that crosses $1M is the boundary; revenue recognized after CG &gt; $1,000,000 is royalty-bearing. Revenue recognized before is not. If a single period's revenue straddles the line, split it pro-rata at the crossing point and only the post-crossing portion is royalty-bearing. Confirm this straddle treatment with ATMTA (Section 2.1).</w:t>
      </w:r>
    </w:p>
    <w:p>
      <w:pPr>
        <w:pStyle w:val="Heading2"/>
      </w:pPr>
      <w:r>
        <w:t xml:space="preserve">3.2 Append-only royalty ledger</w:t>
      </w:r>
    </w:p>
    <w:p>
      <w:pPr>
        <w:spacing w:after="120"/>
      </w:pPr>
      <w:r>
        <w:rPr>
          <w:b/>
          <w:bCs/>
        </w:rPr>
        <w:t xml:space="preserve">Mirror the credit-ledger pattern from the game design: </w:t>
      </w:r>
      <w:r>
        <w:t xml:space="preserve">the royalty ledger is append-only. The accrued balance is SUM(delta), never a mutable field — so it cannot be silently edited and is reconstructable from primary records at any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Column</w:t>
            </w:r>
          </w:p>
        </w:tc>
        <w:tc>
          <w:tcPr>
            <w:tcW w:type="dxa" w:w="15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Type</w:t>
            </w:r>
          </w:p>
        </w:tc>
        <w:tc>
          <w:tcPr>
            <w:tcW w:type="dxa" w:w="566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uuid</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Ledger entry key</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event_date</w:t>
            </w:r>
          </w:p>
        </w:tc>
        <w:tc>
          <w:tcPr>
            <w:tcW w:type="dxa" w:w="15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timestamptz</w:t>
            </w:r>
          </w:p>
        </w:tc>
        <w:tc>
          <w:tcPr>
            <w:tcW w:type="dxa" w:w="56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When the underlying revenue was recognized</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revenue_event_id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uuid</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FK to the source revenue ledger row</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gross_amount</w:t>
            </w:r>
          </w:p>
        </w:tc>
        <w:tc>
          <w:tcPr>
            <w:tcW w:type="dxa" w:w="15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numeric</w:t>
            </w:r>
          </w:p>
        </w:tc>
        <w:tc>
          <w:tcPr>
            <w:tcW w:type="dxa" w:w="56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Attributable gross for this event</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net_amount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numeric</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Attributable net after agreed deduction stack</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cg_before / cg_after</w:t>
            </w:r>
          </w:p>
        </w:tc>
        <w:tc>
          <w:tcPr>
            <w:tcW w:type="dxa" w:w="15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numeric</w:t>
            </w:r>
          </w:p>
        </w:tc>
        <w:tc>
          <w:tcPr>
            <w:tcW w:type="dxa" w:w="56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Cumulative gross before/after this event</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royalty_bearing_net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numeric</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Portion of net subject to 5% (post-threshold only)</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royalty_delta</w:t>
            </w:r>
          </w:p>
        </w:tc>
        <w:tc>
          <w:tcPr>
            <w:tcW w:type="dxa" w:w="15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numeric</w:t>
            </w:r>
          </w:p>
        </w:tc>
        <w:tc>
          <w:tcPr>
            <w:tcW w:type="dxa" w:w="56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5% × royalty_bearing_net (the accrual for this event)</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status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enum</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accrued | invoiced | paid | adjusted</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note</w:t>
            </w:r>
          </w:p>
        </w:tc>
        <w:tc>
          <w:tcPr>
            <w:tcW w:type="dxa" w:w="15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text</w:t>
            </w:r>
          </w:p>
        </w:tc>
        <w:tc>
          <w:tcPr>
            <w:tcW w:type="dxa" w:w="56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Allocation basis, straddle split, adjustments</w:t>
            </w:r>
          </w:p>
        </w:tc>
      </w:tr>
    </w:tbl>
    <w:p>
      <w:pPr>
        <w:pStyle w:val="Heading2"/>
      </w:pPr>
      <w:r>
        <w:t xml:space="preserve">3.3 Worked example (straddle period)</w:t>
      </w:r>
    </w:p>
    <w:p>
      <w:pPr>
        <w:spacing w:after="120"/>
      </w:pPr>
      <w:r>
        <w:rPr>
          <w:b/>
          <w:bCs/>
        </w:rPr>
        <w:t xml:space="preserve">Setup: </w:t>
      </w:r>
      <w:r>
        <w:t xml:space="preserve">CG stands at $980,000. A monthly close adds $60,000 attributable gross / $52,000 attributable net.</w:t>
      </w:r>
    </w:p>
    <w:p>
      <w:pPr>
        <w:pStyle w:val="ListParagraph"/>
        <w:numPr>
          <w:ilvl w:val="0"/>
          <w:numId w:val="3"/>
        </w:numPr>
        <w:spacing w:after="60"/>
      </w:pPr>
      <w:r>
        <w:t xml:space="preserve">CG crosses $1M inside this period. Pre-crossing gross room = $1,000,000 − $980,000 = $20,000.</w:t>
      </w:r>
    </w:p>
    <w:p>
      <w:pPr>
        <w:pStyle w:val="ListParagraph"/>
        <w:numPr>
          <w:ilvl w:val="0"/>
          <w:numId w:val="3"/>
        </w:numPr>
        <w:spacing w:after="60"/>
      </w:pPr>
      <w:r>
        <w:t xml:space="preserve">Pre-crossing share = 20,000 / 60,000 = 33.3%. Post-crossing share = 66.7%.</w:t>
      </w:r>
    </w:p>
    <w:p>
      <w:pPr>
        <w:pStyle w:val="ListParagraph"/>
        <w:numPr>
          <w:ilvl w:val="0"/>
          <w:numId w:val="3"/>
        </w:numPr>
        <w:spacing w:after="60"/>
      </w:pPr>
      <w:r>
        <w:t xml:space="preserve">Royalty-bearing net = 66.7% × $52,000 = $34,667.</w:t>
      </w:r>
    </w:p>
    <w:p>
      <w:pPr>
        <w:pStyle w:val="ListParagraph"/>
        <w:numPr>
          <w:ilvl w:val="0"/>
          <w:numId w:val="3"/>
        </w:numPr>
        <w:spacing w:after="60"/>
      </w:pPr>
      <w:r>
        <w:t xml:space="preserve">Royalty accrued this period = 5% × $34,667 = $1,733.</w:t>
      </w:r>
    </w:p>
    <w:p>
      <w:pPr>
        <w:pStyle w:val="ListParagraph"/>
        <w:numPr>
          <w:ilvl w:val="0"/>
          <w:numId w:val="3"/>
        </w:numPr>
        <w:spacing w:after="60"/>
      </w:pPr>
      <w:r>
        <w:rPr>
          <w:b/>
          <w:bCs/>
        </w:rPr>
        <w:t xml:space="preserve">CG after = $1,040,000; RA = $1,733.</w:t>
      </w:r>
      <w:r>
        <w:t xml:space="preserve"> Every subsequent period is fully royalty-bearing.</w:t>
      </w:r>
    </w:p>
    <w:p>
      <w:r>
        <w:br w:type="page"/>
      </w:r>
    </w:p>
    <w:p>
      <w:pPr>
        <w:pStyle w:val="Heading1"/>
      </w:pPr>
      <w:r>
        <w:t xml:space="preserve">4. Accounting &amp; Cash Treatment</w:t>
      </w:r>
    </w:p>
    <w:p>
      <w:pPr>
        <w:pStyle w:val="ListParagraph"/>
        <w:numPr>
          <w:ilvl w:val="0"/>
          <w:numId w:val="2"/>
        </w:numPr>
        <w:spacing w:after="60"/>
      </w:pPr>
      <w:r>
        <w:rPr>
          <w:b/>
          <w:bCs/>
        </w:rPr>
        <w:t xml:space="preserve">Accrual vs. payment: </w:t>
      </w:r>
      <w:r>
        <w:t xml:space="preserve">royalty accrues as the underlying revenue is recognized (matching), and is carried as a liability until invoiced/paid per the grant's payment terms. Pre-threshold, accrued royalty is $0 but the CG counter still reports.</w:t>
      </w:r>
    </w:p>
    <w:p>
      <w:pPr>
        <w:pStyle w:val="ListParagraph"/>
        <w:numPr>
          <w:ilvl w:val="0"/>
          <w:numId w:val="2"/>
        </w:numPr>
        <w:spacing w:after="60"/>
      </w:pPr>
      <w:r>
        <w:rPr>
          <w:b/>
          <w:bCs/>
        </w:rPr>
        <w:t xml:space="preserve">Balance-sheet treatment: </w:t>
      </w:r>
      <w:r>
        <w:t xml:space="preserve">post-threshold accrued-but-unpaid royalty sits as a current liability ('Royalty payable — ATMTA'). This keeps gross margin honest in the post-threshold regime.</w:t>
      </w:r>
    </w:p>
    <w:p>
      <w:pPr>
        <w:pStyle w:val="ListParagraph"/>
        <w:numPr>
          <w:ilvl w:val="0"/>
          <w:numId w:val="2"/>
        </w:numPr>
        <w:spacing w:after="60"/>
      </w:pPr>
      <w:r>
        <w:rPr>
          <w:b/>
          <w:bCs/>
        </w:rPr>
        <w:t xml:space="preserve">Contribution margin impact: </w:t>
      </w:r>
      <w:r>
        <w:t xml:space="preserve">above the threshold, the 5% is a direct cost of revenue on IP-attributable lines. Per the CFO contribution-margin framework, fold it into cost-of-revenue for those product lines so per-line margin reflects reality.</w:t>
      </w:r>
    </w:p>
    <w:p>
      <w:pPr>
        <w:pStyle w:val="ListParagraph"/>
        <w:numPr>
          <w:ilvl w:val="0"/>
          <w:numId w:val="2"/>
        </w:numPr>
        <w:spacing w:after="60"/>
      </w:pPr>
      <w:r>
        <w:rPr>
          <w:b/>
          <w:bCs/>
        </w:rPr>
        <w:t xml:space="preserve">Reserve before the line: </w:t>
      </w:r>
      <w:r>
        <w:t xml:space="preserve">optional but prudent — begin reserving for the royalty as CG approaches ~$800K (80% of trigger) so the first post-threshold period isn't a margin surprise. A soft reserve, not an accrued liability.</w:t>
      </w:r>
    </w:p>
    <w:p>
      <w:pPr>
        <w:pStyle w:val="Heading2"/>
      </w:pPr>
      <w:r>
        <w:t xml:space="preserve">4.1 Dual-regime unit economics</w:t>
      </w:r>
    </w:p>
    <w:p>
      <w:pPr>
        <w:spacing w:after="120"/>
      </w:pPr>
      <w:r>
        <w:t xml:space="preserve">All pricing, sponsor-packaging, and LTV math must carry two regimes so margins are never overstated in a deck: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Regime</w:t>
            </w:r>
          </w:p>
        </w:tc>
        <w:tc>
          <w:tcPr>
            <w:tcW w:type="dxa" w:w="22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Royalty</w:t>
            </w:r>
          </w:p>
        </w:tc>
        <w:tc>
          <w:tcPr>
            <w:tcW w:type="dxa" w:w="526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Effect on IP-line economics</w:t>
            </w:r>
          </w:p>
        </w:tc>
      </w:tr>
      <w:tr>
        <w:tc>
          <w:tcPr>
            <w:tcW w:type="dxa" w:w="1900"/>
            <w:tcBorders>
              <w:top w:val="single" w:color="CCCCCC" w:sz="1"/>
              <w:left w:val="single" w:color="CCCCCC" w:sz="1"/>
              <w:bottom w:val="single" w:color="CCCCCC" w:sz="1"/>
              <w:right w:val="single" w:color="CCCCCC" w:sz="1"/>
            </w:tcBorders>
            <w:shd w:fill="E8F3EC" w:val="clear"/>
            <w:tcMar>
              <w:top w:type="dxa" w:w="60"/>
              <w:left w:type="dxa" w:w="110"/>
              <w:bottom w:type="dxa" w:w="60"/>
              <w:right w:type="dxa" w:w="110"/>
            </w:tcMar>
          </w:tcPr>
          <w:p>
            <w:pPr>
              <w:spacing w:after="0"/>
            </w:pPr>
            <w:r>
              <w:t xml:space="preserve">Pre-$1M</w:t>
            </w:r>
          </w:p>
        </w:tc>
        <w:tc>
          <w:tcPr>
            <w:tcW w:type="dxa" w:w="2200"/>
            <w:tcBorders>
              <w:top w:val="single" w:color="CCCCCC" w:sz="1"/>
              <w:left w:val="single" w:color="CCCCCC" w:sz="1"/>
              <w:bottom w:val="single" w:color="CCCCCC" w:sz="1"/>
              <w:right w:val="single" w:color="CCCCCC" w:sz="1"/>
            </w:tcBorders>
            <w:shd w:fill="E8F3EC" w:val="clear"/>
            <w:tcMar>
              <w:top w:type="dxa" w:w="60"/>
              <w:left w:type="dxa" w:w="110"/>
              <w:bottom w:type="dxa" w:w="60"/>
              <w:right w:type="dxa" w:w="110"/>
            </w:tcMar>
          </w:tcPr>
          <w:p>
            <w:pPr>
              <w:spacing w:after="0"/>
            </w:pPr>
            <w:r>
              <w:t xml:space="preserve">0%</w:t>
            </w:r>
          </w:p>
        </w:tc>
        <w:tc>
          <w:tcPr>
            <w:tcW w:type="dxa" w:w="5260"/>
            <w:tcBorders>
              <w:top w:val="single" w:color="CCCCCC" w:sz="1"/>
              <w:left w:val="single" w:color="CCCCCC" w:sz="1"/>
              <w:bottom w:val="single" w:color="CCCCCC" w:sz="1"/>
              <w:right w:val="single" w:color="CCCCCC" w:sz="1"/>
            </w:tcBorders>
            <w:shd w:fill="E8F3EC" w:val="clear"/>
            <w:tcMar>
              <w:top w:type="dxa" w:w="60"/>
              <w:left w:type="dxa" w:w="110"/>
              <w:bottom w:type="dxa" w:w="60"/>
              <w:right w:type="dxa" w:w="110"/>
            </w:tcMar>
          </w:tcPr>
          <w:p>
            <w:pPr>
              <w:spacing w:after="0"/>
            </w:pPr>
            <w:r>
              <w:t xml:space="preserve">Full margin; no royalty drag</w:t>
            </w:r>
          </w:p>
        </w:tc>
      </w:tr>
      <w:tr>
        <w:tc>
          <w:tcPr>
            <w:tcW w:type="dxa" w:w="19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Post-$1M</w:t>
            </w:r>
          </w:p>
        </w:tc>
        <w:tc>
          <w:tcPr>
            <w:tcW w:type="dxa" w:w="2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5% of net</w:t>
            </w:r>
          </w:p>
        </w:tc>
        <w:tc>
          <w:tcPr>
            <w:tcW w:type="dxa" w:w="52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5% comes off net on every attributable dollar; bake into pricing floors</w:t>
            </w:r>
          </w:p>
        </w:tc>
      </w:tr>
    </w:tbl>
    <w:p>
      <w:pPr>
        <w:spacing w:after="120"/>
      </w:pPr>
      <w:r>
        <w:rPr>
          <w:b/>
          <w:bCs/>
        </w:rPr>
        <w:t xml:space="preserve">Practical guidance: </w:t>
      </w:r>
      <w:r>
        <w:t xml:space="preserve">when building sponsor packages or entry-fee pricing intended to live past the $1M mark, price against the post-threshold margin. At your projected scale the 5% is small in absolute terms, but pricing on the pre-threshold margin and then crossing the line silently erodes contribution margin exactly when volume is highest.</w:t>
      </w:r>
    </w:p>
    <w:p>
      <w:r>
        <w:br w:type="page"/>
      </w:r>
    </w:p>
    <w:p>
      <w:pPr>
        <w:pStyle w:val="Heading1"/>
      </w:pPr>
      <w:r>
        <w:t xml:space="preserve">5. Reporting, Alerts &amp; Governance Hooks</w:t>
      </w:r>
    </w:p>
    <w:p>
      <w:pPr>
        <w:pStyle w:val="Heading2"/>
      </w:pPr>
      <w:r>
        <w:t xml:space="preserve">5.1 Where it lives in the CFO layer</w:t>
      </w:r>
    </w:p>
    <w:p>
      <w:pPr>
        <w:pStyle w:val="ListParagraph"/>
        <w:numPr>
          <w:ilvl w:val="0"/>
          <w:numId w:val="2"/>
        </w:numPr>
        <w:spacing w:after="60"/>
      </w:pPr>
      <w:r>
        <w:rPr>
          <w:b/>
          <w:bCs/>
        </w:rPr>
        <w:t xml:space="preserve">New tracked liability: </w:t>
      </w:r>
      <w:r>
        <w:t xml:space="preserve">'Royalty payable — ATMTA' added to the monthly close (P&amp;L cost-of-revenue line + balance-sheet liability once post-threshold).</w:t>
      </w:r>
    </w:p>
    <w:p>
      <w:pPr>
        <w:pStyle w:val="ListParagraph"/>
        <w:numPr>
          <w:ilvl w:val="0"/>
          <w:numId w:val="2"/>
        </w:numPr>
        <w:spacing w:after="60"/>
      </w:pPr>
      <w:r>
        <w:rPr>
          <w:b/>
          <w:bCs/>
        </w:rPr>
        <w:t xml:space="preserve">New dashboard tile: </w:t>
      </w:r>
      <w:r>
        <w:t xml:space="preserve">CG progress to $1M (% to trigger) + RA balance, surfaced in the weekly revenue snapshot and the BCC unified dashboard.</w:t>
      </w:r>
    </w:p>
    <w:p>
      <w:pPr>
        <w:pStyle w:val="ListParagraph"/>
        <w:numPr>
          <w:ilvl w:val="0"/>
          <w:numId w:val="2"/>
        </w:numPr>
        <w:spacing w:after="60"/>
      </w:pPr>
      <w:r>
        <w:rPr>
          <w:b/>
          <w:bCs/>
        </w:rPr>
        <w:t xml:space="preserve">Decision Register entry: </w:t>
      </w:r>
      <w:r>
        <w:t xml:space="preserve">FIN-2026-ROY-001 records the grant terms, the agreed definitions (once locked), and the tracking methodology, so the obligation is canonical and not tribal knowledge.</w:t>
      </w:r>
    </w:p>
    <w:p>
      <w:pPr>
        <w:pStyle w:val="Heading2"/>
      </w:pPr>
      <w:r>
        <w:t xml:space="preserve">5.2 Threshold alert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60"/>
      </w:tblGrid>
      <w:tr>
        <w:trPr>
          <w:tblHeader/>
        </w:trPr>
        <w:tc>
          <w:tcPr>
            <w:tcW w:type="dxa" w:w="19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CG level</w:t>
            </w:r>
          </w:p>
        </w:tc>
        <w:tc>
          <w:tcPr>
            <w:tcW w:type="dxa" w:w="29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Alert</w:t>
            </w:r>
          </w:p>
        </w:tc>
        <w:tc>
          <w:tcPr>
            <w:tcW w:type="dxa" w:w="456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Action</w:t>
            </w:r>
          </w:p>
        </w:tc>
      </w:tr>
      <w:tr>
        <w:tc>
          <w:tcPr>
            <w:tcW w:type="dxa" w:w="1900"/>
            <w:tcBorders>
              <w:top w:val="single" w:color="CCCCCC" w:sz="1"/>
              <w:left w:val="single" w:color="CCCCCC" w:sz="1"/>
              <w:bottom w:val="single" w:color="CCCCCC" w:sz="1"/>
              <w:right w:val="single" w:color="CCCCCC" w:sz="1"/>
            </w:tcBorders>
            <w:shd w:fill="FBE9E7" w:val="clear"/>
            <w:tcMar>
              <w:top w:type="dxa" w:w="60"/>
              <w:left w:type="dxa" w:w="110"/>
              <w:bottom w:type="dxa" w:w="60"/>
              <w:right w:type="dxa" w:w="110"/>
            </w:tcMar>
          </w:tcPr>
          <w:p>
            <w:pPr>
              <w:spacing w:after="0"/>
            </w:pPr>
            <w:r>
              <w:t xml:space="preserve">≥ $800K (80%)</w:t>
            </w:r>
          </w:p>
        </w:tc>
        <w:tc>
          <w:tcPr>
            <w:tcW w:type="dxa" w:w="2900"/>
            <w:tcBorders>
              <w:top w:val="single" w:color="CCCCCC" w:sz="1"/>
              <w:left w:val="single" w:color="CCCCCC" w:sz="1"/>
              <w:bottom w:val="single" w:color="CCCCCC" w:sz="1"/>
              <w:right w:val="single" w:color="CCCCCC" w:sz="1"/>
            </w:tcBorders>
            <w:shd w:fill="FBE9E7" w:val="clear"/>
            <w:tcMar>
              <w:top w:type="dxa" w:w="60"/>
              <w:left w:type="dxa" w:w="110"/>
              <w:bottom w:type="dxa" w:w="60"/>
              <w:right w:type="dxa" w:w="110"/>
            </w:tcMar>
          </w:tcPr>
          <w:p>
            <w:pPr>
              <w:spacing w:after="0"/>
            </w:pPr>
            <w:r>
              <w:t xml:space="preserve">YELLOW — approaching trigger</w:t>
            </w:r>
          </w:p>
        </w:tc>
        <w:tc>
          <w:tcPr>
            <w:tcW w:type="dxa" w:w="4560"/>
            <w:tcBorders>
              <w:top w:val="single" w:color="CCCCCC" w:sz="1"/>
              <w:left w:val="single" w:color="CCCCCC" w:sz="1"/>
              <w:bottom w:val="single" w:color="CCCCCC" w:sz="1"/>
              <w:right w:val="single" w:color="CCCCCC" w:sz="1"/>
            </w:tcBorders>
            <w:shd w:fill="FBE9E7" w:val="clear"/>
            <w:tcMar>
              <w:top w:type="dxa" w:w="60"/>
              <w:left w:type="dxa" w:w="110"/>
              <w:bottom w:type="dxa" w:w="60"/>
              <w:right w:type="dxa" w:w="110"/>
            </w:tcMar>
          </w:tcPr>
          <w:p>
            <w:pPr>
              <w:spacing w:after="0"/>
            </w:pPr>
            <w:r>
              <w:t xml:space="preserve">Confirm definitions locked; begin soft reserve; verify deduction stack agreed</w:t>
            </w:r>
          </w:p>
        </w:tc>
      </w:tr>
      <w:tr>
        <w:tc>
          <w:tcPr>
            <w:tcW w:type="dxa" w:w="19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 $950K (95%)</w:t>
            </w:r>
          </w:p>
        </w:tc>
        <w:tc>
          <w:tcPr>
            <w:tcW w:type="dxa" w:w="29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ORANGE — imminent</w:t>
            </w:r>
          </w:p>
        </w:tc>
        <w:tc>
          <w:tcPr>
            <w:tcW w:type="dxa" w:w="45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Pre-stage first royalty invoice process; notify GC + Founder</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&gt; $1M (crossed)</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TRIGGERED</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Switch IP lines to post-threshold regime; begin accruing; first royalty statement to ATMTA</w:t>
            </w:r>
          </w:p>
        </w:tc>
      </w:tr>
    </w:tbl>
    <w:p>
      <w:pPr>
        <w:pStyle w:val="Heading2"/>
      </w:pPr>
      <w:r>
        <w:t xml:space="preserve">5.3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6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Report</w:t>
            </w:r>
          </w:p>
        </w:tc>
        <w:tc>
          <w:tcPr>
            <w:tcW w:type="dxa" w:w="23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Frequency</w:t>
            </w:r>
          </w:p>
        </w:tc>
        <w:tc>
          <w:tcPr>
            <w:tcW w:type="dxa" w:w="466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Contents</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CG/RA snapshot</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Weekly (Mon)</w:t>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 to trigger, RA balance — into revenue snapshot</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Royalty reconciliation</w:t>
            </w:r>
          </w:p>
        </w:tc>
        <w:tc>
          <w:tcPr>
            <w:tcW w:type="dxa" w:w="23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Monthly close</w:t>
            </w:r>
          </w:p>
        </w:tc>
        <w:tc>
          <w:tcPr>
            <w:tcW w:type="dxa" w:w="46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Ledger tie-out: revenue events → accrued royalty</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ATMTA royalty statement</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Post-threshold, per grant terms</w:t>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Net revenue base, 5% calc, payment — auditable</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Definition-status review</w:t>
            </w:r>
          </w:p>
        </w:tc>
        <w:tc>
          <w:tcPr>
            <w:tcW w:type="dxa" w:w="23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Until locked, then annually</w:t>
            </w:r>
          </w:p>
        </w:tc>
        <w:tc>
          <w:tcPr>
            <w:tcW w:type="dxa" w:w="46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Confirms all Section 2 items remain agreed in writing</w:t>
            </w:r>
          </w:p>
        </w:tc>
      </w:tr>
    </w:tbl>
    <w:p>
      <w:pPr>
        <w:pStyle w:val="Heading2"/>
      </w:pPr>
      <w:r>
        <w:t xml:space="preserve">5.4 Governance classification</w:t>
      </w:r>
    </w:p>
    <w:p>
      <w:pPr>
        <w:pStyle w:val="ListParagraph"/>
        <w:numPr>
          <w:ilvl w:val="0"/>
          <w:numId w:val="2"/>
        </w:numPr>
        <w:spacing w:after="60"/>
      </w:pPr>
      <w:r>
        <w:rPr>
          <w:b/>
          <w:bCs/>
        </w:rPr>
        <w:t xml:space="preserve">Type 1 (CFO autonomous): </w:t>
      </w:r>
      <w:r>
        <w:t xml:space="preserve">running the counter, weekly snapshots, monthly reconciliation, threshold alerts.</w:t>
      </w:r>
    </w:p>
    <w:p>
      <w:pPr>
        <w:pStyle w:val="ListParagraph"/>
        <w:numPr>
          <w:ilvl w:val="0"/>
          <w:numId w:val="2"/>
        </w:numPr>
        <w:spacing w:after="60"/>
      </w:pPr>
      <w:r>
        <w:rPr>
          <w:b/>
          <w:bCs/>
        </w:rPr>
        <w:t xml:space="preserve">Type 2 / Three-Gate: </w:t>
      </w:r>
      <w:r>
        <w:t xml:space="preserve">locking the gross/net definitions and the deduction stack with ATMTA — financial + legal implications, so CFO (Gate 1) + GC (Gate 2) both required. Route as a Three-Gate review.</w:t>
      </w:r>
    </w:p>
    <w:p>
      <w:pPr>
        <w:pStyle w:val="ListParagraph"/>
        <w:numPr>
          <w:ilvl w:val="0"/>
          <w:numId w:val="2"/>
        </w:numPr>
        <w:spacing w:after="60"/>
      </w:pPr>
      <w:r>
        <w:rPr>
          <w:b/>
          <w:bCs/>
        </w:rPr>
        <w:t xml:space="preserve">Type 4 (Founder): </w:t>
      </w:r>
      <w:r>
        <w:t xml:space="preserve">any renegotiation of the rate, threshold, or scope; any response to a revocation notice.</w:t>
      </w:r>
    </w:p>
    <w:p>
      <w:r>
        <w:br w:type="page"/>
      </w:r>
    </w:p>
    <w:p>
      <w:pPr>
        <w:pStyle w:val="Heading1"/>
      </w:pPr>
      <w:r>
        <w:t xml:space="preserve">6. Implementation Checklist</w:t>
      </w:r>
    </w:p>
    <w:p>
      <w:pPr>
        <w:spacing w:after="120"/>
      </w:pPr>
      <w:r>
        <w:t xml:space="preserve">Buildable as a module on the existing Supabase + CFO stack. Ordered so the obligation is provable before it's ever owed.</w:t>
      </w:r>
    </w:p>
    <w:p>
      <w:pPr>
        <w:pStyle w:val="ListParagraph"/>
        <w:numPr>
          <w:ilvl w:val="0"/>
          <w:numId w:val="3"/>
        </w:numPr>
        <w:spacing w:after="60"/>
      </w:pPr>
      <w:r>
        <w:rPr>
          <w:b/>
          <w:bCs/>
        </w:rPr>
        <w:t xml:space="preserve">Lock definitions (GC + ATMTA): </w:t>
      </w:r>
      <w:r>
        <w:t xml:space="preserve">send the Section 2 confirmation memo; get gross-earnings scope, net-revenue deduction stack, allocation rule, and revocation mechanics in writing. Blocks trustworthy tracking.</w:t>
      </w:r>
    </w:p>
    <w:p>
      <w:pPr>
        <w:pStyle w:val="ListParagraph"/>
        <w:numPr>
          <w:ilvl w:val="0"/>
          <w:numId w:val="3"/>
        </w:numPr>
        <w:spacing w:after="60"/>
      </w:pPr>
      <w:r>
        <w:rPr>
          <w:b/>
          <w:bCs/>
        </w:rPr>
        <w:t xml:space="preserve">Register the decision: </w:t>
      </w:r>
      <w:r>
        <w:t xml:space="preserve">create FIN-2026-ROY-001 in the Decision Register with grant terms + agreed definitions.</w:t>
      </w:r>
    </w:p>
    <w:p>
      <w:pPr>
        <w:pStyle w:val="ListParagraph"/>
        <w:numPr>
          <w:ilvl w:val="0"/>
          <w:numId w:val="3"/>
        </w:numPr>
        <w:spacing w:after="60"/>
      </w:pPr>
      <w:r>
        <w:rPr>
          <w:b/>
          <w:bCs/>
        </w:rPr>
        <w:t xml:space="preserve">Add ledger tagging: </w:t>
      </w:r>
      <w:r>
        <w:t xml:space="preserve">extend the revenue ledger with ip_attributable, attribution_basis, allocation_pct, revenue_type.</w:t>
      </w:r>
    </w:p>
    <w:p>
      <w:pPr>
        <w:pStyle w:val="ListParagraph"/>
        <w:numPr>
          <w:ilvl w:val="0"/>
          <w:numId w:val="3"/>
        </w:numPr>
        <w:spacing w:after="60"/>
      </w:pPr>
      <w:r>
        <w:rPr>
          <w:b/>
          <w:bCs/>
        </w:rPr>
        <w:t xml:space="preserve">Build the royalty ledger: </w:t>
      </w:r>
      <w:r>
        <w:t xml:space="preserve">append-only table per Section 3.2; CG and RA computed as sums, never stored mutably.</w:t>
      </w:r>
    </w:p>
    <w:p>
      <w:pPr>
        <w:pStyle w:val="ListParagraph"/>
        <w:numPr>
          <w:ilvl w:val="0"/>
          <w:numId w:val="3"/>
        </w:numPr>
        <w:spacing w:after="60"/>
      </w:pPr>
      <w:r>
        <w:rPr>
          <w:b/>
          <w:bCs/>
        </w:rPr>
        <w:t xml:space="preserve">Wire the counter: </w:t>
      </w:r>
      <w:r>
        <w:t xml:space="preserve">on each attributable revenue event, write a royalty-ledger entry with straddle logic at the $1M crossing.</w:t>
      </w:r>
    </w:p>
    <w:p>
      <w:pPr>
        <w:pStyle w:val="ListParagraph"/>
        <w:numPr>
          <w:ilvl w:val="0"/>
          <w:numId w:val="3"/>
        </w:numPr>
        <w:spacing w:after="60"/>
      </w:pPr>
      <w:r>
        <w:rPr>
          <w:b/>
          <w:bCs/>
        </w:rPr>
        <w:t xml:space="preserve">Dashboard + alerts: </w:t>
      </w:r>
      <w:r>
        <w:t xml:space="preserve">CG-to-$1M tile, RA balance, and the 80/95/100% alert ladder into weekly snapshot + BCC dashboard.</w:t>
      </w:r>
    </w:p>
    <w:p>
      <w:pPr>
        <w:pStyle w:val="ListParagraph"/>
        <w:numPr>
          <w:ilvl w:val="0"/>
          <w:numId w:val="3"/>
        </w:numPr>
        <w:spacing w:after="60"/>
      </w:pPr>
      <w:r>
        <w:rPr>
          <w:b/>
          <w:bCs/>
        </w:rPr>
        <w:t xml:space="preserve">Accounting integration: </w:t>
      </w:r>
      <w:r>
        <w:t xml:space="preserve">add the ATMTA royalty line to monthly close and the post-threshold balance-sheet liability.</w:t>
      </w:r>
    </w:p>
    <w:p>
      <w:pPr>
        <w:pStyle w:val="ListParagraph"/>
        <w:numPr>
          <w:ilvl w:val="0"/>
          <w:numId w:val="3"/>
        </w:numPr>
        <w:spacing w:after="60"/>
      </w:pPr>
      <w:r>
        <w:rPr>
          <w:b/>
          <w:bCs/>
        </w:rPr>
        <w:t xml:space="preserve">Dual-regime pricing: </w:t>
      </w:r>
      <w:r>
        <w:t xml:space="preserve">update sponsor-package and entry-fee models to carry pre/post-$1M margin.</w:t>
      </w:r>
    </w:p>
    <w:p>
      <w:pPr>
        <w:spacing w:after="80"/>
      </w:pPr>
      <w:r>
        <w:t xml:space="preserve"/>
      </w:r>
    </w:p>
    <w:p>
      <w:pPr>
        <w:pBdr>
          <w:top w:val="single" w:color="E8610A" w:sz="12" w:space="6"/>
        </w:pBdr>
        <w:spacing w:after="60" w:before="200"/>
      </w:pPr>
      <w:r>
        <w:rPr>
          <w:b/>
          <w:bCs/>
          <w:color w:val="0D1B2A"/>
          <w:sz w:val="26"/>
          <w:szCs w:val="26"/>
        </w:rPr>
        <w:t xml:space="preserve">The One Thing That Cannot Wait</w:t>
      </w:r>
    </w:p>
    <w:p>
      <w:pPr>
        <w:spacing w:after="120"/>
      </w:pPr>
      <w:r>
        <w:rPr>
          <w:b/>
          <w:bCs/>
        </w:rPr>
        <w:t xml:space="preserve">Lock the gross-earnings boundary and the net-revenue deduction stack with ATMTA in writing now — while you are far below the threshold and the conversation is friendly. </w:t>
      </w:r>
      <w:r>
        <w:t xml:space="preserve">Every other part of this system is straightforward engineering. The definitions are the only part that becomes adversarial if left until the money is real, and they are the only part you cannot fix unilaterally later. Get them in writing while there is nothing at stake.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888888"/>
        <w:sz w:val="16"/>
        <w:szCs w:val="16"/>
      </w:rPr>
      <w:t xml:space="preserve">Confidential — Draft v1.0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SPS — ATMTA Royalty Tracking &amp; Governance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1B2A" w:sz="8" w:space="4"/>
      </w:pBdr>
      <w:spacing w:after="160" w:before="280"/>
      <w:outlineLvl w:val="0"/>
    </w:pPr>
    <w:rPr>
      <w:rFonts w:ascii="Arial" w:cs="Arial" w:eastAsia="Arial" w:hAnsi="Arial"/>
      <w:b/>
      <w:bCs/>
      <w:color w:val="E8610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D1B2A"/>
      <w:sz w:val="25"/>
      <w:szCs w:val="25"/>
    </w:rPr>
  </w:style>
  <w:style w:type="paragraph" w:styleId="Heading3">
    <w:name w:val="Heading 3"/>
    <w:basedOn w:val="Normal"/>
    <w:next w:val="Normal"/>
    <w:qFormat/>
    <w:pPr>
      <w:spacing w:after="80" w:before="140"/>
      <w:outlineLvl w:val="2"/>
    </w:pPr>
    <w:rPr>
      <w:rFonts w:ascii="Arial" w:cs="Arial" w:eastAsia="Arial" w:hAnsi="Arial"/>
      <w:b/>
      <w:bCs/>
      <w:color w:val="1B2D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ATMTA IP Royalty — Tracking &amp; Governance Specification</dc:title>
  <dc:creator>Super Phoenix Sports Inc.</dc:creator>
  <cp:lastModifiedBy>Un-named</cp:lastModifiedBy>
  <cp:revision>1</cp:revision>
  <dcterms:created xsi:type="dcterms:W3CDTF">2026-06-12T20:25:26.316Z</dcterms:created>
  <dcterms:modified xsi:type="dcterms:W3CDTF">2026-06-12T20:25:26.329Z</dcterms:modified>
</cp:coreProperties>
</file>

<file path=docProps/custom.xml><?xml version="1.0" encoding="utf-8"?>
<Properties xmlns="http://schemas.openxmlformats.org/officeDocument/2006/custom-properties" xmlns:vt="http://schemas.openxmlformats.org/officeDocument/2006/docPropsVTypes"/>
</file>