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rPr>
          <w:b/>
          <w:bCs/>
          <w:color w:val="0D1B2A"/>
          <w:sz w:val="54"/>
          <w:szCs w:val="54"/>
        </w:rPr>
        <w:t xml:space="preserve">SUPER PHOENIX SPORTS</w:t>
      </w:r>
    </w:p>
    <w:p>
      <w:pPr>
        <w:pBdr>
          <w:bottom w:val="single" w:color="E8610A" w:sz="18" w:space="6"/>
        </w:pBdr>
        <w:spacing w:after="36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rPr>
          <w:b/>
          <w:bCs/>
          <w:color w:val="E8610A"/>
          <w:sz w:val="38"/>
          <w:szCs w:val="38"/>
        </w:rPr>
        <w:t xml:space="preserve">Phoenix Racer — Appendix A: Cost &amp; Procurement</w:t>
      </w:r>
    </w:p>
    <w:p>
      <w:pPr>
        <w:spacing w:after="500"/>
      </w:pPr>
      <w:r>
        <w:rPr>
          <w:i/>
          <w:iCs/>
          <w:color w:val="444444"/>
          <w:sz w:val="24"/>
          <w:szCs w:val="24"/>
        </w:rPr>
        <w:t xml:space="preserve">Companion to the Phoenix Racer End-to-End Build Specification v2.0. Itemizes every account, license, and subscription required to build and launch — separated into existing stack, free/open-source, and net-new spend — phased against the build timeline.</w:t>
      </w:r>
    </w:p>
    <w:p>
      <w:pPr>
        <w:spacing w:after="60"/>
      </w:pPr>
      <w:r>
        <w:rPr>
          <w:color w:val="0D1B2A"/>
          <w:sz w:val="22"/>
          <w:szCs w:val="22"/>
        </w:rPr>
        <w:t xml:space="preserve">Owner: CFO (Capital Allocation Framework applies)</w:t>
      </w:r>
    </w:p>
    <w:p>
      <w:pPr>
        <w:spacing w:after="60"/>
      </w:pPr>
      <w:r>
        <w:rPr>
          <w:color w:val="0D1B2A"/>
          <w:sz w:val="22"/>
          <w:szCs w:val="22"/>
        </w:rPr>
        <w:t xml:space="preserve">Parent document: Phoenix Racer Build Spec v2.0</w:t>
      </w:r>
    </w:p>
    <w:p>
      <w:pPr>
        <w:spacing w:after="60"/>
      </w:pPr>
      <w:r>
        <w:rPr>
          <w:color w:val="0D1B2A"/>
          <w:sz w:val="22"/>
          <w:szCs w:val="22"/>
        </w:rPr>
        <w:t xml:space="preserve">Date: June 12, 2026  |  Status: v1.0</w:t>
      </w:r>
    </w:p>
    <w:p>
      <w:r>
        <w:br w:type="page"/>
      </w:r>
    </w:p>
    <w:p>
      <w:pPr>
        <w:pStyle w:val="Heading1"/>
      </w:pPr>
      <w:r>
        <w:t xml:space="preserve">A.1 Headline Position</w:t>
      </w:r>
    </w:p>
    <w:p>
      <w:pPr>
        <w:spacing w:after="120"/>
      </w:pPr>
      <w:r>
        <w:rPr>
          <w:b/>
          <w:bCs/>
        </w:rPr>
        <w:t xml:space="preserve">Net-new recurring spend to launch Phase 1 is effectively $0. </w:t>
      </w:r>
      <w:r>
        <w:t xml:space="preserve">The game is architected to ride on infrastructure SPS already runs (Supabase, Inngest, web hosting, wallet adapter) and on free, MIT-licensed game technology (Phaser 3, Colyseus). The only genuinely new recurring cost arrives at Phase 2 (multiplayer hosting, ~$15/mo or a small self-hosted node), and the only material one-time cost is art production — which can approach $0 if sprites are rendered programmatically from the licensed Star Atlas GLTF assets.</w:t>
      </w:r>
    </w:p>
    <w:p>
      <w:pPr>
        <w:spacing w:after="120"/>
      </w:pPr>
      <w:r>
        <w:rPr>
          <w:b/>
          <w:bCs/>
        </w:rPr>
        <w:t xml:space="preserve">No new procurement decision in this appendix exceeds the $500 Capital Allocation review threshold </w:t>
      </w:r>
      <w:r>
        <w:t xml:space="preserve">except (potentially) contracted art polish, which is itemized in A.5 with a decision frame. Nothing here approaches the $5,000 Three-Gate contract threshold.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Net-new recurring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Net-new one-time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Phase 0–1 (solo launch)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$0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$0–art budget (A.5)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Phase 2 (multiplayer)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~$15/mo (or self-host compute)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$0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Phase 3 (tournaments)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Possible Supabase tier bump (~$25/mo if not already on Pro)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$0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Optional adds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Transactional email, analytics SaaS — only if/when wanted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Mobile store accounts only if Capacitor path taken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A.2 Already in the SPS Stack — No New Spend</w:t>
      </w:r>
    </w:p>
    <w:p>
      <w:pPr>
        <w:spacing w:after="120"/>
      </w:pPr>
      <w:r>
        <w:t xml:space="preserve">These services are assumed live under existing SPS subscriptions. The game adds load to them but requires no new account or contract. Verify current plan tiers as noted.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2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Role in this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Action required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Supabase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Auth, Postgres (namespaced game_* tables), RLS, Realtime, Edge Functions — the shared SPS instance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Verify current tier + limits vs. expected tournament concurrency (A.6)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Inngest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Tournament scheduling, settlement, recap jobs (Phase 3)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None — existing adoption covers it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SPS web hosting / domain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Game served as a module under the SPS domain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None — no new host, no subdomain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Solana wallet adapter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Wallet linkage for optional eligibility gating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None — open-source, already integrated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Anthropic / Claude Code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Primary build tool for scaffolding, feel-tuning, schema, wiring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None — existing subscription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GitHub (or current repo host)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Game module lives in the SPS monorepo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None</w:t>
            </w:r>
          </w:p>
        </w:tc>
      </w:tr>
    </w:tbl>
    <w:p>
      <w:pPr>
        <w:pStyle w:val="Heading1"/>
      </w:pPr>
      <w:r>
        <w:t xml:space="preserve">A.3 Net-New but Free / Open-Source — No Subscription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43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License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Phaser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MIT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2D arcade game engine (client)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Colyseus framework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MIT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Authoritative multiplayer rooms (Phase 2) — self-hostable on any Node infrastructure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$0 (framework)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TypeScript / Vite / React tooling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OSS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Already standard in the SPS app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Headless sim runtime (Node)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OSS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Server-side re-simulation for result verification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$0 (runs on existing compute)</w:t>
            </w:r>
          </w:p>
        </w:tc>
      </w:tr>
    </w:tbl>
    <w:p>
      <w:pPr>
        <w:spacing w:after="120"/>
      </w:pPr>
      <w:r>
        <w:rPr>
          <w:b/>
          <w:bCs/>
        </w:rPr>
        <w:t xml:space="preserve">Note on Colyseus: </w:t>
      </w:r>
      <w:r>
        <w:t xml:space="preserve">the framework itself is free and MIT-licensed; only the optional managed hosting (Colyseus Cloud) carries a fee. The build can defer that decision entirely until Phase 2.</w:t>
      </w:r>
    </w:p>
    <w:p>
      <w:r>
        <w:br w:type="page"/>
      </w:r>
    </w:p>
    <w:p>
      <w:pPr>
        <w:pStyle w:val="Heading1"/>
      </w:pPr>
      <w:r>
        <w:t xml:space="preserve">A.4 Net-New Paid Items — Phased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2000"/>
        <w:gridCol w:w="26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Phase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Est. cost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Decision frame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Colyseus Cloud (managed multiplayer hosting)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From ~$15/mo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Buy if founder time &gt; DevOps savings; skip if self-hosting a small Node 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Self-hosted multiplayer compute (alternative)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~$5–$20/mo VPS/container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Cheaper, more ops burden; fine at early CCV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Supabase tier bump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Phase 3 (or earlier under load)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~$25/mo (Pro) + usage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Only if not already on Pro; driven by Realtime connections + DB load at tournaments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Transactional email (optional)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Free tiers exist; ~$10–$20/mo at volume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Tournament reminders / lifecycle email; can defer or use free tier initially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Analytics SaaS (optional)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$0–$30/mo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Funnel events can be instrumented in own DB first; buy only if dashboarding need outgrows that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Apple / Google developer accounts (conditional)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Only if Capacitor mobile path taken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$99/yr (Apple) + $25 one-time (Google)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Spec recommends web/PWA first; do NOT procure unless the mobile-app path is explicitly chosen</w:t>
            </w:r>
          </w:p>
        </w:tc>
      </w:tr>
    </w:tbl>
    <w:p>
      <w:pPr>
        <w:spacing w:after="120"/>
      </w:pPr>
      <w:r>
        <w:rPr>
          <w:b/>
          <w:bCs/>
        </w:rPr>
        <w:t xml:space="preserve">Procurement guidance: </w:t>
      </w:r>
      <w:r>
        <w:t xml:space="preserve">every item above is reversible (monthly, cancellable) except the art spend in A.5. Per the Capital Allocation Framework, bias holds — these are exactly the reversible, measurable-ROI commitments to prefer. Nothing requires an annual contract.</w:t>
      </w:r>
    </w:p>
    <w:p>
      <w:pPr>
        <w:pStyle w:val="Heading1"/>
      </w:pPr>
      <w:r>
        <w:t xml:space="preserve">A.5 The One Material Cost: Art Production</w:t>
      </w:r>
    </w:p>
    <w:p>
      <w:pPr>
        <w:spacing w:after="120"/>
      </w:pPr>
      <w:r>
        <w:rPr>
          <w:b/>
          <w:bCs/>
        </w:rPr>
        <w:t xml:space="preserve">This is a one-time content lift, not a subscription </w:t>
      </w:r>
      <w:r>
        <w:t xml:space="preserve">— and the ATMTA license materially reduces it, because you are adapting existing licensed 3D assets rather than commissioning originals. Three tiers, in ascending cost: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000"/>
        <w:gridCol w:w="1500"/>
        <w:gridCol w:w="17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Approach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Est. cost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Trade-off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1. Programmatic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Render 8-directional sprite sheets from licensed GLTFs via scripted pipeline (Blender headless / three.js render-to-texture) — Claude Code can build the 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~$0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Founder time; output is faithful but unpolished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2. Programmatic + contracted polish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Tier 1 pipeline output, then a 2D artist cleans silhouettes, adds effects (thrust, boost, damage states), UI icons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~$500–$2,500 one-time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Crosses the $500 review threshold → one-page Capital Allocation memo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3. Full contracted art 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Artist produces full sprite sets, track art, UI theme from licensed source material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~$2,500–$8,000 one-time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Approaching Three-Gate territory at the top end; only justified post-traction</w:t>
            </w:r>
          </w:p>
        </w:tc>
      </w:tr>
    </w:tbl>
    <w:p>
      <w:pPr>
        <w:spacing w:after="120"/>
      </w:pPr>
      <w:r>
        <w:rPr>
          <w:b/>
          <w:bCs/>
        </w:rPr>
        <w:t xml:space="preserve">Recommendation: </w:t>
      </w:r>
      <w:r>
        <w:t xml:space="preserve">start at Tier 1 for the Phase 1 launch — it is consistent with the validation-signal capital philosophy (spend to learn, not to polish). Move to Tier 2 only after GATE-FEEL passes and early retention data justifies cosmetic investment. Tier 3 is a post-traction decision, not a launch requirement.</w:t>
      </w:r>
    </w:p>
    <w:p>
      <w:r>
        <w:br w:type="page"/>
      </w:r>
    </w:p>
    <w:p>
      <w:pPr>
        <w:pStyle w:val="Heading1"/>
      </w:pPr>
      <w:r>
        <w:t xml:space="preserve">A.6 Pre-Launch Verification Checklist</w:t>
      </w:r>
    </w:p>
    <w:p>
      <w:pPr>
        <w:spacing w:after="120"/>
      </w:pPr>
      <w:r>
        <w:t xml:space="preserve">Items to confirm on existing accounts before relying on them — no purchases, just verification: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Supabase plan + limits: </w:t>
      </w:r>
      <w:r>
        <w:t xml:space="preserve">confirm current tier; check Realtime concurrent-connection limits, DB compute, and Edge Function quotas against expected first-tournament concurrency. The one existing service that could need an upgrade under live-event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Inngest plan: </w:t>
      </w:r>
      <w:r>
        <w:t xml:space="preserve">confirm job-volume headroom for tournament scheduling/settlement cadence.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Hosting bandwidth: </w:t>
      </w:r>
      <w:r>
        <w:t xml:space="preserve">the Phaser bundle + sprite assets add page weight; confirm the SPS host's bandwidth/CDN posture is adequate.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Domain/TLS: </w:t>
      </w:r>
      <w:r>
        <w:t xml:space="preserve">nothing new needed — confirm the /race route deploys cleanly under the existing cert.</w:t>
      </w:r>
    </w:p>
    <w:p>
      <w:pPr>
        <w:pStyle w:val="Heading1"/>
      </w:pPr>
      <w:r>
        <w:t xml:space="preserve">A.7 Spend-by-Phase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2200"/>
        <w:gridCol w:w="21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New accounts to 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New recurring $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New one-time $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Phase 0 (wk 0–1)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$0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$0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Phase 1 (wk 1–4)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$0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$0 (Tier 1 art) — up to ~$2.5K if Tier 2 elected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Phase 2 (wk 4–8)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Colyseus Cloud (optional) or VPS provider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~$15/mo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$0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Phase 3 (wk 8–12)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Transactional email provider (optional)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$0–$45/mo total stack delta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$0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E8610A" w:sz="12" w:space="6"/>
        </w:pBdr>
        <w:spacing w:after="60" w:before="200"/>
      </w:pPr>
      <w:r>
        <w:rPr>
          <w:b/>
          <w:bCs/>
          <w:color w:val="0D1B2A"/>
          <w:sz w:val="26"/>
          <w:szCs w:val="26"/>
        </w:rPr>
        <w:t xml:space="preserve">Bottom Line</w:t>
      </w:r>
    </w:p>
    <w:p>
      <w:pPr>
        <w:spacing w:after="120"/>
      </w:pPr>
      <w:r>
        <w:rPr>
          <w:b/>
          <w:bCs/>
        </w:rPr>
        <w:t xml:space="preserve">Total worst-case new spend through a Phase 3 tournament launch: roughly $45/month recurring plus a discretionary art budget of $0–$2,500. </w:t>
      </w:r>
      <w:r>
        <w:t xml:space="preserve">There is no procurement blocker anywhere on the critical path — the constraint on this build is founder time and feel-tuning iteration, not capital. The royalty obligation (5% net above $1M gross) is a revenue-side term tracked separately in the ATMTA Royalty Tracking Spec and involves no upfront procurement.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888888"/>
        <w:sz w:val="16"/>
        <w:szCs w:val="16"/>
      </w:rPr>
      <w:t xml:space="preserve">Confidential — v1.0 —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SPS — Phoenix Racer Appendix A: Cost &amp; Procurement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D1B2A" w:sz="8" w:space="4"/>
      </w:pBdr>
      <w:spacing w:after="160" w:before="280"/>
      <w:outlineLvl w:val="0"/>
    </w:pPr>
    <w:rPr>
      <w:rFonts w:ascii="Arial" w:cs="Arial" w:eastAsia="Arial" w:hAnsi="Arial"/>
      <w:b/>
      <w:bCs/>
      <w:color w:val="E8610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D1B2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Phoenix Racer — Appendix A: Cost &amp; Procurement</dc:title>
  <dc:creator>Super Phoenix Sports Inc.</dc:creator>
  <cp:lastModifiedBy>Un-named</cp:lastModifiedBy>
  <cp:revision>1</cp:revision>
  <dcterms:created xsi:type="dcterms:W3CDTF">2026-06-12T21:24:59.529Z</dcterms:created>
  <dcterms:modified xsi:type="dcterms:W3CDTF">2026-06-12T21:24:59.542Z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