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ans CJK SC" w:hAnsi="Noto Sans CJK SC" w:eastAsia="Noto Sans CJK SC"/>
          <w:b/>
          <w:color w:val="1F4E79"/>
          <w:sz w:val="52"/>
        </w:rPr>
        <w:t>Codex Quota Keeper 合规与风控调研报告</w:t>
      </w:r>
    </w:p>
    <w:p>
      <w:pPr>
        <w:jc w:val="center"/>
      </w:pPr>
      <w:r>
        <w:rPr>
          <w:rFonts w:ascii="Noto Sans CJK SC" w:hAnsi="Noto Sans CJK SC" w:eastAsia="Noto Sans CJK SC"/>
          <w:color w:val="505050"/>
          <w:sz w:val="26"/>
        </w:rPr>
        <w:t>自动额度监控、Windows 计划任务、多电脑协调与 AutoAnchor 风险评估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9"/>
              </w:rPr>
              <w:t>项目</w:t>
            </w:r>
          </w:p>
        </w:tc>
        <w:tc>
          <w:tcPr>
            <w:tcW w:type="dxa" w:w="504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9"/>
              </w:rPr>
              <w:t>Codex Quota Keeper（Windows）</w:t>
            </w:r>
          </w:p>
        </w:tc>
      </w:tr>
      <w:tr>
        <w:tc>
          <w:tcPr>
            <w:tcW w:type="dxa" w:w="5040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9"/>
              </w:rPr>
              <w:t>文档版本</w:t>
            </w:r>
          </w:p>
        </w:tc>
        <w:tc>
          <w:tcPr>
            <w:tcW w:type="dxa" w:w="504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9"/>
              </w:rPr>
              <w:t>v0.1 设计基线</w:t>
            </w:r>
          </w:p>
        </w:tc>
      </w:tr>
      <w:tr>
        <w:tc>
          <w:tcPr>
            <w:tcW w:type="dxa" w:w="5040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9"/>
              </w:rPr>
              <w:t>调研日期</w:t>
            </w:r>
          </w:p>
        </w:tc>
        <w:tc>
          <w:tcPr>
            <w:tcW w:type="dxa" w:w="504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9"/>
              </w:rPr>
              <w:t>2026-08-30</w:t>
            </w:r>
          </w:p>
        </w:tc>
      </w:tr>
      <w:tr>
        <w:tc>
          <w:tcPr>
            <w:tcW w:type="dxa" w:w="5040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9"/>
              </w:rPr>
              <w:t>设计原则</w:t>
            </w:r>
          </w:p>
        </w:tc>
        <w:tc>
          <w:tcPr>
            <w:tcW w:type="dxa" w:w="504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r>
              <w:rPr>
                <w:rFonts w:ascii="Noto Sans CJK SC" w:hAnsi="Noto Sans CJK SC" w:eastAsia="Noto Sans CJK SC"/>
                <w:sz w:val="19"/>
              </w:rPr>
              <w:t>官方能力优先 / 零常驻 UI / 单主机执行 / 可审计 / 默认保守合规</w:t>
            </w:r>
          </w:p>
        </w:tc>
      </w:tr>
    </w:tbl>
    <w:p>
      <w:r>
        <w:br w:type="page"/>
      </w:r>
    </w:p>
    <w:p>
      <w:pPr>
        <w:pStyle w:val="Heading1"/>
      </w:pPr>
      <w:r>
        <w:t>1. 结论摘要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CE4D6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b/>
              </w:rPr>
              <w:t>核心结论：</w:t>
            </w:r>
            <w:r>
              <w:t>无法对“检测额度重置后自动发送无业务意义的最小 Prompt、仅用于提前锚定下一轮额度窗口”给出“100% 合规、零风控”的保证。OpenAI 当前《使用条款》禁止规避任何速率限制或其他限制条件；官方虽然支持 Codex 自动化与后台工作，但没有公开文档明确批准“quota keepalive/AutoAnchor”这一特定用途。</w:t>
            </w:r>
          </w:p>
        </w:tc>
      </w:tr>
    </w:tbl>
    <w:p/>
    <w:p>
      <w:pPr>
        <w:spacing w:after="100" w:line="276" w:lineRule="auto"/>
      </w:pPr>
      <w:r>
        <w:t>建议把项目设计为双模式：默认 MonitorOnly，只读取账户额度、记录状态、做多电脑互斥；实验模式 AutoAnchor 默认关闭，由用户明确开启。若账户安全优先，应长期停留在 MonitorOnly。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/>
                <w:sz w:val="18"/>
              </w:rPr>
              <w:t>功能</w:t>
            </w:r>
          </w:p>
        </w:tc>
        <w:tc>
          <w:tcPr>
            <w:tcW w:type="dxa" w:w="3360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/>
                <w:sz w:val="18"/>
              </w:rPr>
              <w:t>风险等级</w:t>
            </w:r>
          </w:p>
        </w:tc>
        <w:tc>
          <w:tcPr>
            <w:tcW w:type="dxa" w:w="3360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/>
                <w:sz w:val="18"/>
              </w:rPr>
              <w:t>建议</w:t>
            </w:r>
          </w:p>
        </w:tc>
      </w:tr>
      <w:tr>
        <w:tc>
          <w:tcPr>
            <w:tcW w:type="dxa" w:w="336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account/rateLimits/read 读取额度</w:t>
            </w:r>
          </w:p>
        </w:tc>
        <w:tc>
          <w:tcPr>
            <w:tcW w:type="dxa" w:w="336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低</w:t>
            </w:r>
          </w:p>
        </w:tc>
        <w:tc>
          <w:tcPr>
            <w:tcW w:type="dxa" w:w="336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使用官方 Codex app-server；合理轮询；不抓网页</w:t>
            </w:r>
          </w:p>
        </w:tc>
      </w:tr>
      <w:tr>
        <w:tc>
          <w:tcPr>
            <w:tcW w:type="dxa" w:w="336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Windows Task Scheduler 定时启动查询</w:t>
            </w:r>
          </w:p>
        </w:tc>
        <w:tc>
          <w:tcPr>
            <w:tcW w:type="dxa" w:w="336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低</w:t>
            </w:r>
          </w:p>
        </w:tc>
        <w:tc>
          <w:tcPr>
            <w:tcW w:type="dxa" w:w="336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非模型调用；默认 10–15 分钟；失败退避</w:t>
            </w:r>
          </w:p>
        </w:tc>
      </w:tr>
      <w:tr>
        <w:tc>
          <w:tcPr>
            <w:tcW w:type="dxa" w:w="336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本地/Private GitHub 日志</w:t>
            </w:r>
          </w:p>
        </w:tc>
        <w:tc>
          <w:tcPr>
            <w:tcW w:type="dxa" w:w="336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低</w:t>
            </w:r>
          </w:p>
        </w:tc>
        <w:tc>
          <w:tcPr>
            <w:tcW w:type="dxa" w:w="336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不上传 auth.json、token、原始会话</w:t>
            </w:r>
          </w:p>
        </w:tc>
      </w:tr>
      <w:tr>
        <w:tc>
          <w:tcPr>
            <w:tcW w:type="dxa" w:w="336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同一用户多台个人电脑安装</w:t>
            </w:r>
          </w:p>
        </w:tc>
        <w:tc>
          <w:tcPr>
            <w:tcW w:type="dxa" w:w="336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低～中</w:t>
            </w:r>
          </w:p>
        </w:tc>
        <w:tc>
          <w:tcPr>
            <w:tcW w:type="dxa" w:w="336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不等同账号共享；仍建议只允许单 Leader 执行</w:t>
            </w:r>
          </w:p>
        </w:tc>
      </w:tr>
      <w:tr>
        <w:tc>
          <w:tcPr>
            <w:tcW w:type="dxa" w:w="336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多电脑同时高频查询/同时 AutoAnchor</w:t>
            </w:r>
          </w:p>
        </w:tc>
        <w:tc>
          <w:tcPr>
            <w:tcW w:type="dxa" w:w="336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中</w:t>
            </w:r>
          </w:p>
        </w:tc>
        <w:tc>
          <w:tcPr>
            <w:tcW w:type="dxa" w:w="336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避免；使用分布式租约</w:t>
            </w:r>
          </w:p>
        </w:tc>
      </w:tr>
      <w:tr>
        <w:tc>
          <w:tcPr>
            <w:tcW w:type="dxa" w:w="336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reset 后自动发送“OK”以改变窗口锚点</w:t>
            </w:r>
          </w:p>
        </w:tc>
        <w:tc>
          <w:tcPr>
            <w:tcW w:type="dxa" w:w="336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中～高（解释风险）</w:t>
            </w:r>
          </w:p>
        </w:tc>
        <w:tc>
          <w:tcPr>
            <w:tcW w:type="dxa" w:w="336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默认关闭；无官方明确许可；不能承诺不会触发风控</w:t>
            </w:r>
          </w:p>
        </w:tc>
      </w:tr>
      <w:tr>
        <w:tc>
          <w:tcPr>
            <w:tcW w:type="dxa" w:w="336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绕过限制、切换身份/账号、伪造设备、规避服务端限流</w:t>
            </w:r>
          </w:p>
        </w:tc>
        <w:tc>
          <w:tcPr>
            <w:tcW w:type="dxa" w:w="336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高/不可接受</w:t>
            </w:r>
          </w:p>
        </w:tc>
        <w:tc>
          <w:tcPr>
            <w:tcW w:type="dxa" w:w="336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不设计、不实现</w:t>
            </w:r>
          </w:p>
        </w:tc>
      </w:tr>
    </w:tbl>
    <w:p/>
    <w:p>
      <w:pPr>
        <w:pStyle w:val="Heading1"/>
      </w:pPr>
      <w:r>
        <w:t>2. 官方政策边界</w:t>
      </w:r>
    </w:p>
    <w:p>
      <w:pPr>
        <w:spacing w:after="100" w:line="276" w:lineRule="auto"/>
      </w:pPr>
      <w:r>
        <w:t>OpenAI 当前消费者《Terms of Use》明确列出：不得干扰或破坏服务，包括规避任何 rate limits/restrictions 或绕过保护措施。该条款是本项目评估 AutoAnchor 风险时最重要的政策依据。</w:t>
      </w:r>
    </w:p>
    <w:p>
      <w:pPr>
        <w:spacing w:after="100" w:line="276" w:lineRule="auto"/>
      </w:pPr>
      <w:r>
        <w:t>另一方面，OpenAI 官方 Codex 产品公开支持 Automations / always-on background work，说明“自动化调用 Codex”本身并非天然违规。风险取决于自动化的目的和行为：做真实重复工程任务与专门操纵额度窗口不是同一件事。</w:t>
      </w:r>
    </w:p>
    <w:p>
      <w:pPr>
        <w:spacing w:after="100" w:line="276" w:lineRule="auto"/>
      </w:pPr>
      <w:r>
        <w:t>因此应区分：①自动化是被支持的产品能力；②“为了规避或改变限制机制而制造合成请求”没有被官方明确批准，并可能落入“circumvent restrictions”的解释范围。</w:t>
      </w:r>
    </w:p>
    <w:p>
      <w:pPr>
        <w:pStyle w:val="Heading1"/>
      </w:pPr>
      <w:r>
        <w:t>3. 技术能力与合规能力不是一回事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/>
                <w:sz w:val="18"/>
              </w:rPr>
              <w:t>证据</w:t>
            </w:r>
          </w:p>
        </w:tc>
        <w:tc>
          <w:tcPr>
            <w:tcW w:type="dxa" w:w="3360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/>
                <w:sz w:val="18"/>
              </w:rPr>
              <w:t>能证明什么</w:t>
            </w:r>
          </w:p>
        </w:tc>
        <w:tc>
          <w:tcPr>
            <w:tcW w:type="dxa" w:w="3360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b/>
                <w:sz w:val="18"/>
              </w:rPr>
              <w:t>不能证明什么</w:t>
            </w:r>
          </w:p>
        </w:tc>
      </w:tr>
      <w:tr>
        <w:tc>
          <w:tcPr>
            <w:tcW w:type="dxa" w:w="336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Codex app-server 文档提供 account/rateLimits/read</w:t>
            </w:r>
          </w:p>
        </w:tc>
        <w:tc>
          <w:tcPr>
            <w:tcW w:type="dxa" w:w="336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官方客户端协议确实能读取 rate limit 状态</w:t>
            </w:r>
          </w:p>
        </w:tc>
        <w:tc>
          <w:tcPr>
            <w:tcW w:type="dxa" w:w="336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不代表允许高频抓取或利用数据操纵窗口</w:t>
            </w:r>
          </w:p>
        </w:tc>
      </w:tr>
      <w:tr>
        <w:tc>
          <w:tcPr>
            <w:tcW w:type="dxa" w:w="336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Codex 官方宣传支持 Automations</w:t>
            </w:r>
          </w:p>
        </w:tc>
        <w:tc>
          <w:tcPr>
            <w:tcW w:type="dxa" w:w="336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允许合理后台自动化工作流</w:t>
            </w:r>
          </w:p>
        </w:tc>
        <w:tc>
          <w:tcPr>
            <w:tcW w:type="dxa" w:w="336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不等于批准 quota keepalive</w:t>
            </w:r>
          </w:p>
        </w:tc>
      </w:tr>
      <w:tr>
        <w:tc>
          <w:tcPr>
            <w:tcW w:type="dxa" w:w="336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GitHub #39444 在 Windows Task Scheduler 无人值守运行 codex exec</w:t>
            </w:r>
          </w:p>
        </w:tc>
        <w:tc>
          <w:tcPr>
            <w:tcW w:type="dxa" w:w="336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技术上可后台执行并计入同一账户额度</w:t>
            </w:r>
          </w:p>
        </w:tc>
        <w:tc>
          <w:tcPr>
            <w:tcW w:type="dxa" w:w="336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Issue 是用户报告，不是 OpenAI 合规背书</w:t>
            </w:r>
          </w:p>
        </w:tc>
      </w:tr>
      <w:tr>
        <w:tc>
          <w:tcPr>
            <w:tcW w:type="dxa" w:w="336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GitHub #28246 描述 first-use anchoring 并提到 keepalive 激励</w:t>
            </w:r>
          </w:p>
        </w:tc>
        <w:tc>
          <w:tcPr>
            <w:tcW w:type="dxa" w:w="336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社区确实观察到这一行为</w:t>
            </w:r>
          </w:p>
        </w:tc>
        <w:tc>
          <w:tcPr>
            <w:tcW w:type="dxa" w:w="3360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rFonts w:ascii="Noto Sans CJK SC" w:hAnsi="Noto Sans CJK SC" w:eastAsia="Noto Sans CJK SC"/>
                <w:sz w:val="17"/>
              </w:rPr>
              <w:t>Issue 仍是社区报告，不能作为许可依据</w:t>
            </w:r>
          </w:p>
        </w:tc>
      </w:tr>
    </w:tbl>
    <w:p/>
    <w:p>
      <w:pPr>
        <w:pStyle w:val="Heading1"/>
      </w:pPr>
      <w:r>
        <w:t>4. 风控触发因素分析</w:t>
      </w:r>
    </w:p>
    <w:p>
      <w:pPr>
        <w:pStyle w:val="ListBullet"/>
        <w:spacing w:after="40"/>
      </w:pPr>
      <w:r>
        <w:t>请求频率异常：例如每分钟甚至更高频率重复启动 app-server 或模型请求。</w:t>
      </w:r>
    </w:p>
    <w:p>
      <w:pPr>
        <w:pStyle w:val="ListBullet"/>
        <w:spacing w:after="40"/>
      </w:pPr>
      <w:r>
        <w:t>合成流量特征明显：长时间固定 Prompt、固定周期、无真实任务价值。</w:t>
      </w:r>
    </w:p>
    <w:p>
      <w:pPr>
        <w:pStyle w:val="ListBullet"/>
        <w:spacing w:after="40"/>
      </w:pPr>
      <w:r>
        <w:t>多设备并发：多台电脑在同一秒或同一窗口重复发送相同 keepalive。</w:t>
      </w:r>
    </w:p>
    <w:p>
      <w:pPr>
        <w:pStyle w:val="ListBullet"/>
        <w:spacing w:after="40"/>
      </w:pPr>
      <w:r>
        <w:t>失败后无退避：服务端返回 429/认证错误后仍持续重试。</w:t>
      </w:r>
    </w:p>
    <w:p>
      <w:pPr>
        <w:pStyle w:val="ListBullet"/>
        <w:spacing w:after="40"/>
      </w:pPr>
      <w:r>
        <w:t>使用未公开网页接口、抓取页面、复制 Cookie、伪造客户端或设备身份。</w:t>
      </w:r>
    </w:p>
    <w:p>
      <w:pPr>
        <w:pStyle w:val="ListBullet"/>
        <w:spacing w:after="40"/>
      </w:pPr>
      <w:r>
        <w:t>上传认证文件到 GitHub、云盘或共享位置，造成凭证暴露或账号共享风险。</w:t>
      </w:r>
    </w:p>
    <w:p>
      <w:pPr>
        <w:pStyle w:val="Heading1"/>
      </w:pPr>
      <w:r>
        <w:t>5. 建议的合规优先配置</w:t>
      </w:r>
    </w:p>
    <w:p>
      <w:pPr>
        <w:pStyle w:val="CodeBlock"/>
      </w:pPr>
      <w:r>
        <w:t>{</w:t>
      </w:r>
    </w:p>
    <w:p>
      <w:pPr>
        <w:pStyle w:val="CodeBlock"/>
      </w:pPr>
      <w:r>
        <w:t xml:space="preserve">  "mode": "MonitorOnly",</w:t>
      </w:r>
    </w:p>
    <w:p>
      <w:pPr>
        <w:pStyle w:val="CodeBlock"/>
      </w:pPr>
      <w:r>
        <w:t xml:space="preserve">  "pollIntervalMinutes": 15,</w:t>
      </w:r>
    </w:p>
    <w:p>
      <w:pPr>
        <w:pStyle w:val="CodeBlock"/>
      </w:pPr>
      <w:r>
        <w:t xml:space="preserve">  "minimumPollIntervalMinutes": 5,</w:t>
      </w:r>
    </w:p>
    <w:p>
      <w:pPr>
        <w:pStyle w:val="CodeBlock"/>
      </w:pPr>
      <w:r>
        <w:t xml:space="preserve">  "autoAnchor": false,</w:t>
      </w:r>
    </w:p>
    <w:p>
      <w:pPr>
        <w:pStyle w:val="CodeBlock"/>
      </w:pPr>
      <w:r>
        <w:t xml:space="preserve">  "singleLeader": true,</w:t>
      </w:r>
    </w:p>
    <w:p>
      <w:pPr>
        <w:pStyle w:val="CodeBlock"/>
      </w:pPr>
      <w:r>
        <w:t xml:space="preserve">  "backoff": { "on429Minutes": 60, "onAuthErrorMinutes": 120 },</w:t>
      </w:r>
    </w:p>
    <w:p>
      <w:pPr>
        <w:pStyle w:val="CodeBlock"/>
      </w:pPr>
      <w:r>
        <w:t xml:space="preserve">  "github": { "enabled": true, "privateRepositoryRequired": true }</w:t>
      </w:r>
    </w:p>
    <w:p>
      <w:pPr>
        <w:pStyle w:val="CodeBlock"/>
      </w:pPr>
      <w:r>
        <w:t>}</w:t>
      </w:r>
    </w:p>
    <w:p>
      <w:pPr>
        <w:spacing w:after="100" w:line="276" w:lineRule="auto"/>
      </w:pPr>
      <w:r>
        <w:t>推荐把 5 分钟设为程序允许的最低值，但默认 15 分钟。MonitorOnly 不产生模型任务，只读取官方 app-server 状态；如果未来 OpenAI 文档明确允许某种自动 reset/anchor 机制，再考虑把 AutoAnchor 提升为稳定功能。</w:t>
      </w:r>
    </w:p>
    <w:p>
      <w:pPr>
        <w:pStyle w:val="Heading1"/>
      </w:pPr>
      <w:r>
        <w:t>6. AutoAnchor 的发布策略</w:t>
      </w:r>
    </w:p>
    <w:p>
      <w:pPr>
        <w:pStyle w:val="ListNumber"/>
        <w:spacing w:after="40"/>
      </w:pPr>
      <w:r>
        <w:t>代码层面保留接口，但默认关闭；安装器不得自动开启。</w:t>
      </w:r>
    </w:p>
    <w:p>
      <w:pPr>
        <w:pStyle w:val="ListNumber"/>
        <w:spacing w:after="40"/>
      </w:pPr>
      <w:r>
        <w:t>首次开启必须显示明确说明：这是实验性行为，官方未明确背书，可能改变额度窗口且会消耗额度。</w:t>
      </w:r>
    </w:p>
    <w:p>
      <w:pPr>
        <w:pStyle w:val="ListNumber"/>
        <w:spacing w:after="40"/>
      </w:pPr>
      <w:r>
        <w:t>必须有单机/多机幂等锁：同一 reset event 最多触发一次。</w:t>
      </w:r>
    </w:p>
    <w:p>
      <w:pPr>
        <w:pStyle w:val="ListNumber"/>
        <w:spacing w:after="40"/>
      </w:pPr>
      <w:r>
        <w:t>必须设置每日触发上限与最短间隔，避免异常状态形成无限循环。</w:t>
      </w:r>
    </w:p>
    <w:p>
      <w:pPr>
        <w:pStyle w:val="ListNumber"/>
        <w:spacing w:after="40"/>
      </w:pPr>
      <w:r>
        <w:t>遇到 429、usage-limit、认证异常、未知 rateLimit 数据结构时立刻 fail closed，不再调用模型。</w:t>
      </w:r>
    </w:p>
    <w:p>
      <w:pPr>
        <w:pStyle w:val="ListNumber"/>
        <w:spacing w:after="40"/>
      </w:pPr>
      <w:r>
        <w:t>日志记录 before/after 快照，便于证明程序行为和快速停用。</w:t>
      </w:r>
    </w:p>
    <w:p>
      <w:pPr>
        <w:pStyle w:val="Heading1"/>
      </w:pPr>
      <w:r>
        <w:t>7. 多电脑是否违规</w:t>
      </w:r>
    </w:p>
    <w:p>
      <w:pPr>
        <w:spacing w:after="100" w:line="276" w:lineRule="auto"/>
      </w:pPr>
      <w:r>
        <w:t>当前公开条款重点禁止账号凭据共享给其他用户，而不是禁止同一用户在多台个人设备登录。仅从公开条款看，“同一个人自己的多台电脑”并不等价于账号共享；但多设备并发自动化会增加异常流量与误触发风险，所以本设计仍强制单 Leader。若设备由不同用户使用，则不能复用同一个人账户凭据。</w:t>
      </w:r>
    </w:p>
    <w:p>
      <w:pPr>
        <w:pStyle w:val="Heading1"/>
      </w:pPr>
      <w:r>
        <w:t>8. 最终建议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2F0D9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b/>
              </w:rPr>
              <w:t>推荐上线范围：</w:t>
            </w:r>
            <w:r>
              <w:t>V1 只上线 MonitorOnly + 单 Leader + 状态查询 + GitHub 审计日志。AutoAnchor 作为 V2 实验功能保留在配置里但默认 false。这样即使以后决定永远不启用 AutoAnchor，V1 本身仍然是一个有价值的 Codex 配额状态/历史工具。</w:t>
            </w:r>
          </w:p>
        </w:tc>
      </w:tr>
    </w:tbl>
    <w:p/>
    <w:p>
      <w:pPr>
        <w:pStyle w:val="Heading1"/>
      </w:pPr>
      <w:r>
        <w:t>参考资料</w:t>
      </w:r>
    </w:p>
    <w:p>
      <w:pPr>
        <w:pStyle w:val="SmallNote"/>
      </w:pPr>
      <w:r>
        <w:t>OpenAI Terms of Use — https://openai.com/policies/terms-of-use/</w:t>
      </w:r>
    </w:p>
    <w:p>
      <w:pPr>
        <w:pStyle w:val="SmallNote"/>
      </w:pPr>
      <w:r>
        <w:t>OpenAI Codex app-server README — https://github.com/openai/codex/blob/main/codex-rs/app-server/README.md</w:t>
      </w:r>
    </w:p>
    <w:p>
      <w:pPr>
        <w:pStyle w:val="SmallNote"/>
      </w:pPr>
      <w:r>
        <w:t>Using Codex with your ChatGPT plan — https://help.openai.com/en/articles/11369540-using-codex-with-your-chatgpt-plan</w:t>
      </w:r>
    </w:p>
    <w:p>
      <w:pPr>
        <w:pStyle w:val="SmallNote"/>
      </w:pPr>
      <w:r>
        <w:t>How banked Codex resets work — https://help.openai.com/en/articles/20001498-how-banked-codex-resets-work</w:t>
      </w:r>
    </w:p>
    <w:p>
      <w:pPr>
        <w:pStyle w:val="SmallNote"/>
      </w:pPr>
      <w:r>
        <w:t>Introducing the Codex app — https://openai.com/index/introducing-the-codex-app/</w:t>
      </w:r>
    </w:p>
    <w:p>
      <w:pPr>
        <w:pStyle w:val="SmallNote"/>
      </w:pPr>
      <w:r>
        <w:t>Codex issue #39444 — unattended Task Scheduler exec — https://github.com/openai/codex/issues/39444</w:t>
      </w:r>
    </w:p>
    <w:p>
      <w:pPr>
        <w:pStyle w:val="SmallNote"/>
      </w:pPr>
      <w:r>
        <w:t>Codex issue #28246 — quota window first-use anchoring report — https://github.com/openai/codex/issues/28246</w:t>
      </w:r>
    </w:p>
    <w:p>
      <w:pPr>
        <w:pStyle w:val="SmallNote"/>
      </w:pPr>
      <w:r>
        <w:t>upstream-ray/codex-usage-monitor — https://github.com/upstream-ray/codex-usage-monitor</w:t>
      </w:r>
    </w:p>
    <w:p>
      <w:pPr>
        <w:pStyle w:val="SmallNote"/>
      </w:pPr>
      <w:r>
        <w:t>D1NOOO/codex-usage-monitor — https://github.com/D1NOOO/codex-usage-monitor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color w:val="787878"/>
        <w:sz w:val="16"/>
      </w:rPr>
      <w:t xml:space="preserve">第 </w:t>
      <w:fldChar w:fldCharType="begin"/>
      <w:instrText xml:space="preserve"> PAGE </w:instrText>
      <w:fldChar w:fldCharType="end"/>
    </w:r>
    <w:r>
      <w:rPr>
        <w:rFonts w:ascii="Noto Sans CJK SC" w:hAnsi="Noto Sans CJK SC" w:eastAsia="Noto Sans CJK SC"/>
        <w:color w:val="787878"/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SC" w:hAnsi="Noto Sans CJK SC" w:eastAsia="Noto Sans CJK SC"/>
        <w:color w:val="787878"/>
        <w:sz w:val="16"/>
      </w:rPr>
      <w:t>Codex Quota Keeper · 设计文档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79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F559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0404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after="60"/>
      <w:ind w:left="360"/>
    </w:pPr>
    <w:rPr>
      <w:rFonts w:ascii="Noto Sans Mono CJK SC" w:hAnsi="Noto Sans Mono CJK SC" w:eastAsia="Noto Sans Mono CJK SC"/>
      <w:sz w:val="17"/>
    </w:rPr>
  </w:style>
  <w:style w:type="paragraph" w:customStyle="1" w:styleId="SmallNote">
    <w:name w:val="SmallNote"/>
    <w:rPr>
      <w:rFonts w:ascii="Noto Sans CJK SC" w:hAnsi="Noto Sans CJK SC" w:eastAsia="Noto Sans CJK SC"/>
      <w:color w:val="5A5A5A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