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92D61" w14:textId="77777777" w:rsidR="003559A2" w:rsidRPr="00102CC2" w:rsidRDefault="00000000">
      <w:pPr>
        <w:pStyle w:val="BodyA"/>
        <w:spacing w:before="62"/>
        <w:jc w:val="center"/>
        <w:rPr>
          <w:rFonts w:cs="Times New Roman"/>
          <w:b/>
          <w:bCs/>
          <w:color w:val="000000" w:themeColor="text1"/>
          <w:sz w:val="24"/>
          <w:szCs w:val="24"/>
          <w:lang w:val="en-US"/>
        </w:rPr>
      </w:pPr>
      <w:r w:rsidRPr="00102CC2">
        <w:rPr>
          <w:rFonts w:cs="Times New Roman"/>
          <w:b/>
          <w:bCs/>
          <w:color w:val="000000" w:themeColor="text1"/>
          <w:sz w:val="24"/>
          <w:szCs w:val="24"/>
          <w:lang w:val="en-US"/>
        </w:rPr>
        <w:t>IN THE UNITED STATES PATENT AND TRADEMARK OFFICE</w:t>
      </w:r>
    </w:p>
    <w:p w14:paraId="2D00AD73" w14:textId="77777777" w:rsidR="000D4443" w:rsidRPr="00102CC2" w:rsidRDefault="000D4443">
      <w:pPr>
        <w:pStyle w:val="BodyText"/>
        <w:spacing w:before="4"/>
        <w:ind w:left="0"/>
        <w:rPr>
          <w:rFonts w:cs="Times New Roman"/>
          <w:b/>
          <w:bCs/>
          <w:color w:val="000000" w:themeColor="text1"/>
        </w:rPr>
      </w:pPr>
    </w:p>
    <w:p w14:paraId="73893384" w14:textId="77777777" w:rsidR="005B26EC" w:rsidRPr="00102CC2" w:rsidRDefault="005B26EC" w:rsidP="00B32BE0">
      <w:pPr>
        <w:pStyle w:val="BodyText"/>
        <w:spacing w:before="3"/>
        <w:ind w:left="0"/>
        <w:rPr>
          <w:rStyle w:val="NoneA"/>
          <w:rFonts w:cs="Times New Roman"/>
          <w:color w:val="000000" w:themeColor="text1"/>
        </w:rPr>
      </w:pPr>
      <w:r w:rsidRPr="00102CC2">
        <w:rPr>
          <w:rStyle w:val="NoneA"/>
          <w:rFonts w:cs="Times New Roman"/>
          <w:color w:val="000000" w:themeColor="text1"/>
        </w:rPr>
        <w:t xml:space="preserve">[USPTO Examining Attorney] </w:t>
      </w:r>
    </w:p>
    <w:p w14:paraId="718A33A7" w14:textId="77777777" w:rsidR="005B26EC" w:rsidRPr="00102CC2" w:rsidRDefault="005B26EC" w:rsidP="00B32BE0">
      <w:pPr>
        <w:pStyle w:val="BodyText"/>
        <w:spacing w:before="3"/>
        <w:ind w:left="0"/>
        <w:rPr>
          <w:rStyle w:val="NoneA"/>
          <w:rFonts w:cs="Times New Roman"/>
          <w:color w:val="000000" w:themeColor="text1"/>
        </w:rPr>
      </w:pPr>
      <w:r w:rsidRPr="00102CC2">
        <w:rPr>
          <w:rStyle w:val="NoneA"/>
          <w:rFonts w:cs="Times New Roman"/>
          <w:color w:val="000000" w:themeColor="text1"/>
        </w:rPr>
        <w:t xml:space="preserve">[Law Office Assigned] </w:t>
      </w:r>
    </w:p>
    <w:p w14:paraId="45C791CA" w14:textId="77777777" w:rsidR="00B32BE0" w:rsidRDefault="005B26EC" w:rsidP="00B32BE0">
      <w:pPr>
        <w:pStyle w:val="BodyText"/>
        <w:spacing w:before="3"/>
        <w:ind w:left="0"/>
        <w:rPr>
          <w:rStyle w:val="NoneA"/>
          <w:rFonts w:cs="Times New Roman"/>
          <w:color w:val="000000" w:themeColor="text1"/>
        </w:rPr>
      </w:pPr>
      <w:r w:rsidRPr="00102CC2">
        <w:rPr>
          <w:rStyle w:val="NoneA"/>
          <w:rFonts w:cs="Times New Roman"/>
          <w:color w:val="000000" w:themeColor="text1"/>
        </w:rPr>
        <w:t xml:space="preserve">[USPTO Examining Attorney’s Phone Number] </w:t>
      </w:r>
    </w:p>
    <w:p w14:paraId="4C408358" w14:textId="22EEFF5F" w:rsidR="003559A2" w:rsidRPr="00102CC2" w:rsidRDefault="005B26EC" w:rsidP="00B32BE0">
      <w:pPr>
        <w:pStyle w:val="BodyText"/>
        <w:spacing w:before="3"/>
        <w:ind w:left="0"/>
        <w:rPr>
          <w:rStyle w:val="NoneA"/>
          <w:rFonts w:cs="Times New Roman"/>
          <w:color w:val="000000" w:themeColor="text1"/>
        </w:rPr>
      </w:pPr>
      <w:r w:rsidRPr="00102CC2">
        <w:rPr>
          <w:rStyle w:val="NoneA"/>
          <w:rFonts w:cs="Times New Roman"/>
          <w:color w:val="000000" w:themeColor="text1"/>
        </w:rPr>
        <w:t>[USPTO Examining Attorney’s Email]</w:t>
      </w:r>
    </w:p>
    <w:p w14:paraId="2E682045" w14:textId="77777777" w:rsidR="00B32BE0" w:rsidRDefault="00B32BE0" w:rsidP="00B32BE0">
      <w:pPr>
        <w:pStyle w:val="BodyText"/>
        <w:tabs>
          <w:tab w:val="left" w:pos="860"/>
          <w:tab w:val="left" w:pos="3021"/>
        </w:tabs>
        <w:spacing w:before="90" w:line="275" w:lineRule="exact"/>
        <w:ind w:left="0"/>
        <w:rPr>
          <w:rStyle w:val="NoneA"/>
          <w:rFonts w:cs="Times New Roman"/>
          <w:color w:val="000000" w:themeColor="text1"/>
        </w:rPr>
      </w:pPr>
    </w:p>
    <w:p w14:paraId="61FB9352" w14:textId="1430C7A7" w:rsidR="003559A2" w:rsidRPr="00102CC2" w:rsidRDefault="00000000" w:rsidP="00B32BE0">
      <w:pPr>
        <w:pStyle w:val="BodyText"/>
        <w:tabs>
          <w:tab w:val="left" w:pos="860"/>
          <w:tab w:val="left" w:pos="3021"/>
        </w:tabs>
        <w:spacing w:before="90" w:line="275" w:lineRule="exact"/>
        <w:ind w:left="0"/>
        <w:rPr>
          <w:rFonts w:cs="Times New Roman"/>
          <w:color w:val="000000" w:themeColor="text1"/>
        </w:rPr>
      </w:pPr>
      <w:r w:rsidRPr="00102CC2">
        <w:rPr>
          <w:rStyle w:val="NoneA"/>
          <w:rFonts w:cs="Times New Roman"/>
          <w:color w:val="000000" w:themeColor="text1"/>
        </w:rPr>
        <w:t>RE:</w:t>
      </w:r>
      <w:r w:rsidRPr="00102CC2">
        <w:rPr>
          <w:rStyle w:val="NoneA"/>
          <w:rFonts w:cs="Times New Roman"/>
          <w:color w:val="000000" w:themeColor="text1"/>
        </w:rPr>
        <w:tab/>
        <w:t>Serial</w:t>
      </w:r>
      <w:r w:rsidRPr="00102CC2">
        <w:rPr>
          <w:rStyle w:val="None"/>
          <w:rFonts w:cs="Times New Roman"/>
          <w:color w:val="000000" w:themeColor="text1"/>
        </w:rPr>
        <w:t xml:space="preserve"> </w:t>
      </w:r>
      <w:r w:rsidRPr="00102CC2">
        <w:rPr>
          <w:rStyle w:val="NoneA"/>
          <w:rFonts w:cs="Times New Roman"/>
          <w:color w:val="000000" w:themeColor="text1"/>
        </w:rPr>
        <w:t>No.:</w:t>
      </w:r>
      <w:r w:rsidRPr="00102CC2">
        <w:rPr>
          <w:rStyle w:val="NoneA"/>
          <w:rFonts w:cs="Times New Roman"/>
          <w:color w:val="000000" w:themeColor="text1"/>
        </w:rPr>
        <w:tab/>
      </w:r>
      <w:r w:rsidRPr="00102CC2">
        <w:rPr>
          <w:rStyle w:val="None"/>
          <w:rFonts w:cs="Times New Roman"/>
          <w:color w:val="000000" w:themeColor="text1"/>
          <w:u w:color="FF0000"/>
        </w:rPr>
        <w:t>[Application Serial Number]</w:t>
      </w:r>
    </w:p>
    <w:p w14:paraId="0B4F8E27" w14:textId="53E9DB26" w:rsidR="003559A2" w:rsidRPr="00102CC2" w:rsidRDefault="00000000">
      <w:pPr>
        <w:pStyle w:val="BodyText"/>
        <w:tabs>
          <w:tab w:val="left" w:pos="860"/>
          <w:tab w:val="left" w:pos="3021"/>
        </w:tabs>
        <w:spacing w:before="90" w:line="275" w:lineRule="exact"/>
        <w:rPr>
          <w:rFonts w:cs="Times New Roman"/>
          <w:color w:val="000000" w:themeColor="text1"/>
        </w:rPr>
      </w:pPr>
      <w:r w:rsidRPr="00102CC2">
        <w:rPr>
          <w:rStyle w:val="NoneA"/>
          <w:rFonts w:cs="Times New Roman"/>
          <w:color w:val="000000" w:themeColor="text1"/>
        </w:rPr>
        <w:tab/>
        <w:t>Mark:</w:t>
      </w:r>
      <w:r w:rsidRPr="00102CC2">
        <w:rPr>
          <w:rStyle w:val="NoneA"/>
          <w:rFonts w:cs="Times New Roman"/>
          <w:color w:val="000000" w:themeColor="text1"/>
        </w:rPr>
        <w:tab/>
      </w:r>
      <w:r w:rsidRPr="00102CC2">
        <w:rPr>
          <w:rStyle w:val="None"/>
          <w:rFonts w:cs="Times New Roman"/>
          <w:color w:val="000000" w:themeColor="text1"/>
          <w:u w:color="FF0000"/>
        </w:rPr>
        <w:t>[Applicant’s Mark]</w:t>
      </w:r>
    </w:p>
    <w:p w14:paraId="060D2E16" w14:textId="20069B29" w:rsidR="003559A2" w:rsidRPr="00102CC2" w:rsidRDefault="00000000">
      <w:pPr>
        <w:pStyle w:val="BodyText"/>
        <w:tabs>
          <w:tab w:val="left" w:pos="3021"/>
        </w:tabs>
        <w:spacing w:before="2" w:after="17" w:line="242" w:lineRule="auto"/>
        <w:ind w:left="861" w:right="10"/>
        <w:rPr>
          <w:rFonts w:cs="Times New Roman"/>
          <w:color w:val="000000" w:themeColor="text1"/>
        </w:rPr>
      </w:pPr>
      <w:r w:rsidRPr="00102CC2">
        <w:rPr>
          <w:rStyle w:val="NoneA"/>
          <w:rFonts w:cs="Times New Roman"/>
          <w:color w:val="000000" w:themeColor="text1"/>
        </w:rPr>
        <w:t>Applicant:</w:t>
      </w:r>
      <w:r w:rsidRPr="00102CC2">
        <w:rPr>
          <w:rStyle w:val="NoneA"/>
          <w:rFonts w:cs="Times New Roman"/>
          <w:color w:val="000000" w:themeColor="text1"/>
        </w:rPr>
        <w:tab/>
      </w:r>
      <w:r w:rsidRPr="00102CC2">
        <w:rPr>
          <w:rStyle w:val="None"/>
          <w:rFonts w:cs="Times New Roman"/>
          <w:color w:val="000000" w:themeColor="text1"/>
          <w:u w:color="FF0000"/>
        </w:rPr>
        <w:t>[Applicant]</w:t>
      </w:r>
    </w:p>
    <w:p w14:paraId="42ADB325" w14:textId="67549CAC" w:rsidR="003559A2" w:rsidRPr="00102CC2" w:rsidRDefault="00000000">
      <w:pPr>
        <w:pStyle w:val="BodyText"/>
        <w:tabs>
          <w:tab w:val="left" w:pos="3021"/>
        </w:tabs>
        <w:spacing w:before="2" w:after="17" w:line="242" w:lineRule="auto"/>
        <w:ind w:left="861" w:right="1630"/>
        <w:rPr>
          <w:rFonts w:cs="Times New Roman"/>
          <w:color w:val="000000" w:themeColor="text1"/>
        </w:rPr>
      </w:pPr>
      <w:r w:rsidRPr="00102CC2">
        <w:rPr>
          <w:rStyle w:val="NoneA"/>
          <w:rFonts w:cs="Times New Roman"/>
          <w:color w:val="000000" w:themeColor="text1"/>
        </w:rPr>
        <w:t>Action</w:t>
      </w:r>
      <w:r w:rsidRPr="00102CC2">
        <w:rPr>
          <w:rStyle w:val="None"/>
          <w:rFonts w:cs="Times New Roman"/>
          <w:color w:val="000000" w:themeColor="text1"/>
        </w:rPr>
        <w:t xml:space="preserve"> </w:t>
      </w:r>
      <w:r w:rsidRPr="00102CC2">
        <w:rPr>
          <w:rStyle w:val="NoneA"/>
          <w:rFonts w:cs="Times New Roman"/>
          <w:color w:val="000000" w:themeColor="text1"/>
        </w:rPr>
        <w:t>of:</w:t>
      </w:r>
      <w:r w:rsidRPr="00102CC2">
        <w:rPr>
          <w:rStyle w:val="NoneA"/>
          <w:rFonts w:cs="Times New Roman"/>
          <w:color w:val="000000" w:themeColor="text1"/>
        </w:rPr>
        <w:tab/>
      </w:r>
      <w:r w:rsidRPr="00102CC2">
        <w:rPr>
          <w:rStyle w:val="None"/>
          <w:rFonts w:cs="Times New Roman"/>
          <w:color w:val="000000" w:themeColor="text1"/>
          <w:u w:color="FF0000"/>
        </w:rPr>
        <w:t>[Sent Date of Office Action]</w:t>
      </w:r>
    </w:p>
    <w:p w14:paraId="1CBE7247" w14:textId="77777777" w:rsidR="003559A2" w:rsidRPr="00102CC2" w:rsidRDefault="00000000">
      <w:pPr>
        <w:pStyle w:val="BodyText"/>
        <w:spacing w:line="30" w:lineRule="exact"/>
        <w:ind w:left="96"/>
        <w:rPr>
          <w:rStyle w:val="None"/>
          <w:rFonts w:cs="Times New Roman"/>
          <w:color w:val="000000" w:themeColor="text1"/>
        </w:rPr>
      </w:pPr>
      <w:r w:rsidRPr="00102CC2">
        <w:rPr>
          <w:rStyle w:val="None"/>
          <w:rFonts w:cs="Times New Roman"/>
          <w:noProof/>
          <w:color w:val="000000" w:themeColor="text1"/>
        </w:rPr>
        <mc:AlternateContent>
          <mc:Choice Requires="wps">
            <w:drawing>
              <wp:inline distT="0" distB="0" distL="0" distR="0" wp14:anchorId="72AA8647" wp14:editId="12EE5645">
                <wp:extent cx="5982338" cy="0"/>
                <wp:effectExtent l="0" t="0" r="0" b="0"/>
                <wp:docPr id="1073741827" name="officeArt object" descr="Line 5"/>
                <wp:cNvGraphicFramePr/>
                <a:graphic xmlns:a="http://schemas.openxmlformats.org/drawingml/2006/main">
                  <a:graphicData uri="http://schemas.microsoft.com/office/word/2010/wordprocessingShape">
                    <wps:wsp>
                      <wps:cNvCnPr/>
                      <wps:spPr>
                        <a:xfrm>
                          <a:off x="0" y="0"/>
                          <a:ext cx="5982338" cy="0"/>
                        </a:xfrm>
                        <a:prstGeom prst="line">
                          <a:avLst/>
                        </a:prstGeom>
                        <a:noFill/>
                        <a:ln w="18288" cap="flat">
                          <a:solidFill>
                            <a:srgbClr val="000000"/>
                          </a:solidFill>
                          <a:prstDash val="solid"/>
                          <a:round/>
                        </a:ln>
                        <a:effectLst/>
                      </wps:spPr>
                      <wps:bodyPr/>
                    </wps:wsp>
                  </a:graphicData>
                </a:graphic>
              </wp:inline>
            </w:drawing>
          </mc:Choice>
          <mc:Fallback>
            <w:pict>
              <v:line w14:anchorId="03C2821C" id="officeArt object" o:spid="_x0000_s1026" alt="Line 5" style="visibility:visible;mso-wrap-style:square;mso-left-percent:-10001;mso-top-percent:-10001;mso-position-horizontal:absolute;mso-position-horizontal-relative:char;mso-position-vertical:absolute;mso-position-vertical-relative:line;mso-left-percent:-10001;mso-top-percent:-10001" from="0,0" to="471.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" strokeweight="1.44pt">
                <w10:anchorlock/>
              </v:line>
            </w:pict>
          </mc:Fallback>
        </mc:AlternateContent>
      </w:r>
    </w:p>
    <w:p w14:paraId="5132CD7B" w14:textId="77777777" w:rsidR="003559A2" w:rsidRPr="00102CC2" w:rsidRDefault="003559A2">
      <w:pPr>
        <w:pStyle w:val="BodyText"/>
        <w:spacing w:before="1"/>
        <w:ind w:left="0"/>
        <w:rPr>
          <w:rStyle w:val="NoneA"/>
          <w:rFonts w:cs="Times New Roman"/>
          <w:color w:val="000000" w:themeColor="text1"/>
        </w:rPr>
      </w:pPr>
    </w:p>
    <w:p w14:paraId="2501D0A9" w14:textId="77777777" w:rsidR="003559A2" w:rsidRPr="00102CC2" w:rsidRDefault="00000000">
      <w:pPr>
        <w:pStyle w:val="Heading"/>
        <w:spacing w:before="90"/>
        <w:ind w:left="0"/>
        <w:jc w:val="center"/>
        <w:rPr>
          <w:rStyle w:val="None"/>
          <w:rFonts w:cs="Times New Roman"/>
          <w:color w:val="000000" w:themeColor="text1"/>
          <w:u w:val="none"/>
        </w:rPr>
      </w:pPr>
      <w:r w:rsidRPr="00102CC2">
        <w:rPr>
          <w:rStyle w:val="None"/>
          <w:rFonts w:cs="Times New Roman"/>
          <w:b w:val="0"/>
          <w:bCs w:val="0"/>
          <w:color w:val="000000" w:themeColor="text1"/>
          <w:u w:val="thick"/>
        </w:rPr>
        <w:t xml:space="preserve"> </w:t>
      </w:r>
      <w:r w:rsidRPr="00102CC2">
        <w:rPr>
          <w:rStyle w:val="None"/>
          <w:rFonts w:cs="Times New Roman"/>
          <w:color w:val="000000" w:themeColor="text1"/>
          <w:u w:val="thick"/>
        </w:rPr>
        <w:t>APPLICANT</w:t>
      </w:r>
      <w:r w:rsidRPr="00102CC2">
        <w:rPr>
          <w:rStyle w:val="None"/>
          <w:rFonts w:cs="Times New Roman"/>
          <w:b w:val="0"/>
          <w:bCs w:val="0"/>
          <w:color w:val="000000" w:themeColor="text1"/>
          <w:u w:val="thick"/>
          <w:rtl/>
        </w:rPr>
        <w:t>’</w:t>
      </w:r>
      <w:r w:rsidRPr="00102CC2">
        <w:rPr>
          <w:rStyle w:val="None"/>
          <w:rFonts w:cs="Times New Roman"/>
          <w:color w:val="000000" w:themeColor="text1"/>
          <w:u w:val="thick"/>
        </w:rPr>
        <w:t>S RESPONSE TO OFFICE ACTION</w:t>
      </w:r>
    </w:p>
    <w:p w14:paraId="51AEA93A" w14:textId="77777777" w:rsidR="003559A2" w:rsidRPr="00102CC2" w:rsidRDefault="003559A2" w:rsidP="00264A9D">
      <w:pPr>
        <w:pStyle w:val="BodyText"/>
        <w:spacing w:before="3" w:line="360" w:lineRule="auto"/>
        <w:ind w:left="0"/>
        <w:rPr>
          <w:rStyle w:val="None"/>
          <w:rFonts w:cs="Times New Roman"/>
          <w:b/>
          <w:bCs/>
          <w:color w:val="000000" w:themeColor="text1"/>
        </w:rPr>
      </w:pPr>
    </w:p>
    <w:p w14:paraId="349EFB00" w14:textId="05B636A7" w:rsidR="003559A2" w:rsidRPr="00102CC2" w:rsidRDefault="00000000" w:rsidP="00264A9D">
      <w:pPr>
        <w:pStyle w:val="BodyText"/>
        <w:tabs>
          <w:tab w:val="left" w:pos="3021"/>
        </w:tabs>
        <w:spacing w:before="2" w:after="17" w:line="360" w:lineRule="auto"/>
        <w:ind w:left="0" w:right="10" w:firstLine="720"/>
        <w:rPr>
          <w:rFonts w:cs="Times New Roman"/>
          <w:color w:val="000000" w:themeColor="text1"/>
        </w:rPr>
      </w:pPr>
      <w:r>
        <w:t>Applicant, HAYSTACK BURGERS &amp; BARLEY (hereinafter “Applicant”), respectfully submits the following response to the Office Action, regarding the above referenced application:</w:t>
      </w:r>
    </w:p>
    <w:p w14:paraId="520FFC2D" w14:textId="77777777" w:rsidR="003559A2" w:rsidRPr="00102CC2" w:rsidRDefault="003559A2">
      <w:pPr>
        <w:pStyle w:val="BodyText"/>
        <w:spacing w:before="4"/>
        <w:ind w:left="0"/>
        <w:rPr>
          <w:rStyle w:val="NoneA"/>
          <w:rFonts w:cs="Times New Roman"/>
          <w:color w:val="000000" w:themeColor="text1"/>
        </w:rPr>
      </w:pPr>
    </w:p>
    <w:p w14:paraId="4A4A27A2" w14:textId="77777777" w:rsidR="003559A2" w:rsidRPr="00102CC2" w:rsidRDefault="00000000">
      <w:pPr>
        <w:pStyle w:val="Heading"/>
        <w:spacing w:line="259" w:lineRule="auto"/>
        <w:ind w:left="4102" w:hanging="3539"/>
        <w:rPr>
          <w:rStyle w:val="None"/>
          <w:rFonts w:cs="Times New Roman"/>
          <w:color w:val="000000" w:themeColor="text1"/>
          <w:u w:val="none"/>
        </w:rPr>
      </w:pPr>
      <w:r w:rsidRPr="00102CC2">
        <w:rPr>
          <w:rStyle w:val="None"/>
          <w:rFonts w:cs="Times New Roman"/>
          <w:color w:val="000000" w:themeColor="text1"/>
          <w:u w:val="thick"/>
          <w:lang w:val="de-DE"/>
        </w:rPr>
        <w:t xml:space="preserve">ARGUMENT AGAINST REFUSAL UNDER </w:t>
      </w:r>
      <w:r w:rsidRPr="00102CC2">
        <w:rPr>
          <w:rStyle w:val="None"/>
          <w:rFonts w:cs="Times New Roman"/>
          <w:color w:val="000000" w:themeColor="text1"/>
          <w:u w:val="thick"/>
        </w:rPr>
        <w:t>§ 2(d) LIKELIHOOD OF</w:t>
      </w:r>
      <w:r w:rsidRPr="00102CC2">
        <w:rPr>
          <w:rStyle w:val="None"/>
          <w:rFonts w:cs="Times New Roman"/>
          <w:color w:val="000000" w:themeColor="text1"/>
          <w:u w:val="none"/>
        </w:rPr>
        <w:t xml:space="preserve"> </w:t>
      </w:r>
      <w:r w:rsidRPr="00102CC2">
        <w:rPr>
          <w:rStyle w:val="None"/>
          <w:rFonts w:cs="Times New Roman"/>
          <w:color w:val="000000" w:themeColor="text1"/>
          <w:u w:val="thick"/>
        </w:rPr>
        <w:t>CONFUSION</w:t>
      </w:r>
    </w:p>
    <w:p w14:paraId="19DF512A" w14:textId="3597C2FB" w:rsidR="003559A2" w:rsidRPr="00102CC2" w:rsidRDefault="00000000" w:rsidP="00264A9D">
      <w:pPr>
        <w:pStyle w:val="BodyText"/>
        <w:spacing w:before="163" w:line="360" w:lineRule="auto"/>
        <w:ind w:left="0" w:right="10" w:firstLine="720"/>
        <w:rPr>
          <w:rFonts w:cs="Times New Roman"/>
          <w:color w:val="000000" w:themeColor="text1"/>
        </w:rPr>
      </w:pPr>
      <w:r w:rsidRPr="00102CC2">
        <w:rPr>
          <w:rStyle w:val="NoneA"/>
          <w:rFonts w:cs="Times New Roman"/>
          <w:color w:val="000000" w:themeColor="text1"/>
        </w:rPr>
        <w:t xml:space="preserve">The Examining Attorney preliminarily refused registration of Applicant’s word mark because of the mark in U.S. Registration No. </w:t>
      </w:r>
      <w:r w:rsidRPr="00102CC2">
        <w:rPr>
          <w:rStyle w:val="None"/>
          <w:rFonts w:cs="Times New Roman"/>
          <w:color w:val="000000" w:themeColor="text1"/>
          <w:u w:color="FF0000"/>
        </w:rPr>
        <w:t xml:space="preserve">[U.S. Registration No.]. </w:t>
      </w:r>
    </w:p>
    <w:tbl>
      <w:tblPr>
        <w:tblW w:w="9450"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84"/>
        <w:gridCol w:w="2899"/>
        <w:gridCol w:w="4267"/>
      </w:tblGrid>
      <w:tr w:rsidR="00094B01" w:rsidRPr="00102CC2" w14:paraId="6192BB23" w14:textId="77777777" w:rsidTr="00264A9D">
        <w:trPr>
          <w:trHeight w:val="370"/>
        </w:trPr>
        <w:tc>
          <w:tcPr>
            <w:tcW w:w="228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396D89" w14:textId="77777777" w:rsidR="003559A2" w:rsidRPr="00102CC2" w:rsidRDefault="00000000">
            <w:pPr>
              <w:pStyle w:val="BodyA"/>
              <w:widowControl/>
              <w:rPr>
                <w:rFonts w:cs="Times New Roman"/>
                <w:color w:val="000000" w:themeColor="text1"/>
                <w:sz w:val="24"/>
                <w:szCs w:val="24"/>
              </w:rPr>
            </w:pPr>
            <w:r w:rsidRPr="00102CC2">
              <w:rPr>
                <w:rStyle w:val="None"/>
                <w:rFonts w:cs="Times New Roman"/>
                <w:color w:val="000000" w:themeColor="text1"/>
                <w:sz w:val="24"/>
                <w:szCs w:val="24"/>
                <w:lang w:val="en-US"/>
              </w:rPr>
              <w:t> </w:t>
            </w:r>
          </w:p>
        </w:tc>
        <w:tc>
          <w:tcPr>
            <w:tcW w:w="28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12BD9DD" w14:textId="77777777" w:rsidR="003559A2" w:rsidRPr="00102CC2" w:rsidRDefault="00000000">
            <w:pPr>
              <w:pStyle w:val="BodyA"/>
              <w:widowControl/>
              <w:rPr>
                <w:rFonts w:cs="Times New Roman"/>
                <w:color w:val="000000" w:themeColor="text1"/>
                <w:sz w:val="24"/>
                <w:szCs w:val="24"/>
              </w:rPr>
            </w:pPr>
            <w:r w:rsidRPr="00102CC2">
              <w:rPr>
                <w:rStyle w:val="None"/>
                <w:rFonts w:cs="Times New Roman"/>
                <w:color w:val="000000" w:themeColor="text1"/>
                <w:sz w:val="24"/>
                <w:szCs w:val="24"/>
                <w:lang w:val="en-US"/>
              </w:rPr>
              <w:t>Our mark</w:t>
            </w:r>
          </w:p>
        </w:tc>
        <w:tc>
          <w:tcPr>
            <w:tcW w:w="426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A51DCDB" w14:textId="77777777" w:rsidR="003559A2" w:rsidRPr="00102CC2" w:rsidRDefault="00000000">
            <w:pPr>
              <w:pStyle w:val="BodyA"/>
              <w:widowControl/>
              <w:rPr>
                <w:rFonts w:cs="Times New Roman"/>
                <w:color w:val="000000" w:themeColor="text1"/>
                <w:sz w:val="24"/>
                <w:szCs w:val="24"/>
              </w:rPr>
            </w:pPr>
            <w:r w:rsidRPr="00102CC2">
              <w:rPr>
                <w:rStyle w:val="None"/>
                <w:rFonts w:cs="Times New Roman"/>
                <w:color w:val="000000" w:themeColor="text1"/>
                <w:sz w:val="24"/>
                <w:szCs w:val="24"/>
                <w:lang w:val="en-US"/>
              </w:rPr>
              <w:t>The mark cited by the examiner</w:t>
            </w:r>
          </w:p>
        </w:tc>
      </w:tr>
      <w:tr w:rsidR="00094B01" w:rsidRPr="00102CC2" w14:paraId="7CE44717" w14:textId="77777777" w:rsidTr="00264A9D">
        <w:trPr>
          <w:trHeight w:val="2368"/>
        </w:trPr>
        <w:tc>
          <w:tcPr>
            <w:tcW w:w="228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22180A" w14:textId="77777777" w:rsidR="003559A2" w:rsidRPr="00102CC2" w:rsidRDefault="00000000">
            <w:pPr>
              <w:pStyle w:val="BodyA"/>
              <w:widowControl/>
              <w:rPr>
                <w:rFonts w:cs="Times New Roman"/>
                <w:color w:val="000000" w:themeColor="text1"/>
                <w:sz w:val="24"/>
                <w:szCs w:val="24"/>
              </w:rPr>
            </w:pPr>
            <w:r w:rsidRPr="00102CC2">
              <w:rPr>
                <w:rStyle w:val="None"/>
                <w:rFonts w:cs="Times New Roman"/>
                <w:color w:val="000000" w:themeColor="text1"/>
                <w:sz w:val="24"/>
                <w:szCs w:val="24"/>
                <w:lang w:val="en-US"/>
              </w:rPr>
              <w:t>Mark</w:t>
            </w:r>
          </w:p>
        </w:tc>
        <w:tc>
          <w:tcPr>
            <w:tcW w:w="28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5D3DFB" w14:textId="102132AF" w:rsidR="003559A2" w:rsidRPr="00102CC2" w:rsidRDefault="00491340">
            <w:pPr>
              <w:pStyle w:val="BodyA"/>
              <w:widowControl/>
              <w:rPr>
                <w:rFonts w:cs="Times New Roman"/>
                <w:color w:val="000000" w:themeColor="text1"/>
                <w:sz w:val="24"/>
                <w:szCs w:val="24"/>
              </w:rPr>
            </w:pPr>
            <w:r>
              <w:t>HAYSTACK BURGERS &amp; BARLEY</w:t>
            </w:r>
          </w:p>
        </w:tc>
        <w:tc>
          <w:tcPr>
            <w:tcW w:w="426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3CEBAE3" w14:textId="19F00A30" w:rsidR="003559A2" w:rsidRPr="00714DA9" w:rsidRDefault="00714DA9" w:rsidP="00714DA9">
            <w:pPr>
              <w:pStyle w:val="BodyA"/>
              <w:rPr>
                <w:color w:val="000000" w:themeColor="text1"/>
                <w:u w:color="FF0000"/>
              </w:rPr>
            </w:pPr>
            <w:r>
              <w:t>BURGERS</w:t>
            </w:r>
            <w:r>
              <w:rPr>
                <w:sz w:val="24"/>
              </w:rPr>
              <w:t xml:space="preserve"> </w:t>
            </w:r>
            <w:r>
              <w:t xml:space="preserve">&amp; BARLEY </w:t>
            </w:r>
          </w:p>
        </w:tc>
      </w:tr>
      <w:tr w:rsidR="00094B01" w:rsidRPr="00102CC2" w14:paraId="646E67BB" w14:textId="77777777" w:rsidTr="00264A9D">
        <w:trPr>
          <w:trHeight w:val="2770"/>
        </w:trPr>
        <w:tc>
          <w:tcPr>
            <w:tcW w:w="228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C883923" w14:textId="77777777" w:rsidR="003559A2" w:rsidRPr="00102CC2" w:rsidRDefault="00000000">
            <w:pPr>
              <w:pStyle w:val="BodyA"/>
              <w:widowControl/>
              <w:rPr>
                <w:rFonts w:cs="Times New Roman"/>
                <w:color w:val="000000" w:themeColor="text1"/>
                <w:sz w:val="24"/>
                <w:szCs w:val="24"/>
              </w:rPr>
            </w:pPr>
            <w:r w:rsidRPr="00102CC2">
              <w:rPr>
                <w:rStyle w:val="None"/>
                <w:rFonts w:cs="Times New Roman"/>
                <w:color w:val="000000" w:themeColor="text1"/>
                <w:sz w:val="24"/>
                <w:szCs w:val="24"/>
                <w:lang w:val="en-US"/>
              </w:rPr>
              <w:t>Goods/Services</w:t>
            </w:r>
          </w:p>
        </w:tc>
        <w:tc>
          <w:tcPr>
            <w:tcW w:w="28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36DB31B" w14:textId="77777777" w:rsidR="0025086B" w:rsidRPr="0025086B" w:rsidRDefault="0025086B" w:rsidP="0025086B">
            <w:pPr>
              <w:pStyle w:val="BodyA"/>
              <w:rPr>
                <w:color w:val="000000" w:themeColor="text1"/>
                <w:u w:color="FF0000"/>
              </w:rPr>
            </w:pPr>
            <w:r w:rsidRPr="0025086B">
              <w:rPr>
                <w:color w:val="000000" w:themeColor="text1"/>
                <w:u w:color="FF0000"/>
              </w:rPr>
              <w:t>full-service restaurant</w:t>
            </w:r>
          </w:p>
          <w:p w14:paraId="4334AB94" w14:textId="7DE999AF" w:rsidR="003559A2" w:rsidRPr="003271B9" w:rsidRDefault="003559A2" w:rsidP="003271B9">
            <w:pPr>
              <w:pStyle w:val="BodyA"/>
              <w:rPr>
                <w:color w:val="000000" w:themeColor="text1"/>
                <w:u w:color="FF0000"/>
                <w:lang w:val="en-US"/>
              </w:rPr>
            </w:pPr>
          </w:p>
        </w:tc>
        <w:tc>
          <w:tcPr>
            <w:tcW w:w="426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B1A8BB5" w14:textId="03C71CB1" w:rsidR="003559A2" w:rsidRPr="00102CC2" w:rsidRDefault="00714DA9">
            <w:pPr>
              <w:pStyle w:val="BodyA"/>
              <w:widowControl/>
              <w:rPr>
                <w:rFonts w:cs="Times New Roman"/>
                <w:color w:val="000000" w:themeColor="text1"/>
                <w:sz w:val="24"/>
                <w:szCs w:val="24"/>
              </w:rPr>
            </w:pPr>
            <w:r>
              <w:t>Re</w:t>
            </w:r>
            <w:r>
              <w:rPr>
                <w:sz w:val="24"/>
              </w:rPr>
              <w:t>s</w:t>
            </w:r>
            <w:r>
              <w:t>taurant and bar services</w:t>
            </w:r>
          </w:p>
        </w:tc>
      </w:tr>
    </w:tbl>
    <w:p w14:paraId="65A06BC6" w14:textId="5518FC90" w:rsidR="003559A2" w:rsidRPr="00102CC2" w:rsidRDefault="00E024A2" w:rsidP="00264A9D">
      <w:pPr>
        <w:pStyle w:val="Heading"/>
        <w:spacing w:before="162"/>
        <w:ind w:left="140" w:hanging="140"/>
        <w:rPr>
          <w:rStyle w:val="None"/>
          <w:rFonts w:cs="Times New Roman"/>
          <w:color w:val="000000" w:themeColor="text1"/>
          <w:u w:val="none"/>
        </w:rPr>
      </w:pPr>
      <w:r w:rsidRPr="00102CC2">
        <w:rPr>
          <w:rStyle w:val="None"/>
          <w:rFonts w:cs="Times New Roman"/>
          <w:color w:val="000000" w:themeColor="text1"/>
          <w:u w:val="thick"/>
        </w:rPr>
        <w:lastRenderedPageBreak/>
        <w:t>Legal Standard</w:t>
      </w:r>
    </w:p>
    <w:p w14:paraId="56536C56" w14:textId="77777777" w:rsidR="003559A2" w:rsidRPr="00102CC2" w:rsidRDefault="003559A2">
      <w:pPr>
        <w:pStyle w:val="BodyText"/>
        <w:spacing w:before="10"/>
        <w:ind w:left="0"/>
        <w:rPr>
          <w:rStyle w:val="None"/>
          <w:rFonts w:cs="Times New Roman"/>
          <w:b/>
          <w:bCs/>
          <w:color w:val="000000" w:themeColor="text1"/>
        </w:rPr>
      </w:pPr>
    </w:p>
    <w:p w14:paraId="4872BCB4" w14:textId="77777777" w:rsidR="00D06CA8" w:rsidRPr="00102CC2" w:rsidRDefault="00D06CA8" w:rsidP="00767E09">
      <w:pPr>
        <w:pStyle w:val="BodyA"/>
        <w:spacing w:line="360" w:lineRule="auto"/>
        <w:ind w:firstLine="720"/>
        <w:rPr>
          <w:rStyle w:val="None"/>
          <w:rFonts w:cs="Times New Roman"/>
          <w:color w:val="000000" w:themeColor="text1"/>
          <w:sz w:val="24"/>
          <w:szCs w:val="24"/>
        </w:rPr>
      </w:pPr>
      <w:r w:rsidRPr="00102CC2">
        <w:rPr>
          <w:rStyle w:val="None"/>
          <w:rFonts w:cs="Times New Roman"/>
          <w:color w:val="000000" w:themeColor="text1"/>
          <w:sz w:val="24"/>
          <w:szCs w:val="24"/>
        </w:rPr>
        <w:t>The likelihood of confusion between two marks under Section 2 of the Lanham Act, 15</w:t>
      </w:r>
    </w:p>
    <w:p w14:paraId="67DDAB19" w14:textId="77777777" w:rsidR="00D06CA8" w:rsidRPr="00102CC2" w:rsidRDefault="00D06CA8" w:rsidP="00D06CA8">
      <w:pPr>
        <w:pStyle w:val="BodyA"/>
        <w:spacing w:line="360" w:lineRule="auto"/>
        <w:rPr>
          <w:rStyle w:val="None"/>
          <w:rFonts w:cs="Times New Roman"/>
          <w:color w:val="000000" w:themeColor="text1"/>
          <w:sz w:val="24"/>
          <w:szCs w:val="24"/>
        </w:rPr>
      </w:pPr>
      <w:r w:rsidRPr="00102CC2">
        <w:rPr>
          <w:rStyle w:val="None"/>
          <w:rFonts w:cs="Times New Roman"/>
          <w:color w:val="000000" w:themeColor="text1"/>
          <w:sz w:val="24"/>
          <w:szCs w:val="24"/>
        </w:rPr>
        <w:t xml:space="preserve">U.S.C. § 1052, is determined on a case by case basis, aided by the </w:t>
      </w:r>
      <w:r w:rsidRPr="00102CC2">
        <w:rPr>
          <w:rStyle w:val="None"/>
          <w:rFonts w:cs="Times New Roman"/>
          <w:i/>
          <w:iCs/>
          <w:color w:val="000000" w:themeColor="text1"/>
          <w:sz w:val="24"/>
          <w:szCs w:val="24"/>
        </w:rPr>
        <w:t>Du Pont</w:t>
      </w:r>
      <w:r w:rsidRPr="00102CC2">
        <w:rPr>
          <w:rStyle w:val="None"/>
          <w:rFonts w:cs="Times New Roman"/>
          <w:color w:val="000000" w:themeColor="text1"/>
          <w:sz w:val="24"/>
          <w:szCs w:val="24"/>
        </w:rPr>
        <w:t xml:space="preserve"> factors. The thirteen factors set forth in </w:t>
      </w:r>
      <w:r w:rsidRPr="00102CC2">
        <w:rPr>
          <w:rStyle w:val="None"/>
          <w:rFonts w:cs="Times New Roman"/>
          <w:i/>
          <w:iCs/>
          <w:color w:val="000000" w:themeColor="text1"/>
          <w:sz w:val="24"/>
          <w:szCs w:val="24"/>
        </w:rPr>
        <w:t>DuPont</w:t>
      </w:r>
      <w:r w:rsidRPr="00102CC2">
        <w:rPr>
          <w:rStyle w:val="None"/>
          <w:rFonts w:cs="Times New Roman"/>
          <w:color w:val="000000" w:themeColor="text1"/>
          <w:sz w:val="24"/>
          <w:szCs w:val="24"/>
        </w:rPr>
        <w:t xml:space="preserve"> are used to determine a likelihood of confusion between two marks, where available. These factors are:</w:t>
      </w:r>
    </w:p>
    <w:p w14:paraId="6202A65E" w14:textId="77777777" w:rsidR="00D06CA8" w:rsidRPr="00102CC2" w:rsidRDefault="00D06CA8" w:rsidP="00D06CA8">
      <w:pPr>
        <w:pStyle w:val="BodyA"/>
        <w:numPr>
          <w:ilvl w:val="0"/>
          <w:numId w:val="4"/>
        </w:numPr>
        <w:spacing w:line="360" w:lineRule="auto"/>
        <w:rPr>
          <w:rStyle w:val="None"/>
          <w:rFonts w:cs="Times New Roman"/>
          <w:color w:val="000000" w:themeColor="text1"/>
          <w:sz w:val="24"/>
          <w:szCs w:val="24"/>
        </w:rPr>
      </w:pPr>
      <w:r w:rsidRPr="00102CC2">
        <w:rPr>
          <w:rStyle w:val="None"/>
          <w:rFonts w:cs="Times New Roman"/>
          <w:color w:val="000000" w:themeColor="text1"/>
          <w:sz w:val="24"/>
          <w:szCs w:val="24"/>
        </w:rPr>
        <w:t>The similarity or dissimilarity of the marks in their entireties as to appearance, sound, connotation and commercial impression.</w:t>
      </w:r>
    </w:p>
    <w:p w14:paraId="1C273E4C" w14:textId="77777777" w:rsidR="00D06CA8" w:rsidRPr="00102CC2" w:rsidRDefault="00D06CA8" w:rsidP="00D06CA8">
      <w:pPr>
        <w:pStyle w:val="BodyA"/>
        <w:numPr>
          <w:ilvl w:val="0"/>
          <w:numId w:val="4"/>
        </w:numPr>
        <w:spacing w:line="360" w:lineRule="auto"/>
        <w:rPr>
          <w:rStyle w:val="None"/>
          <w:rFonts w:cs="Times New Roman"/>
          <w:color w:val="000000" w:themeColor="text1"/>
          <w:sz w:val="24"/>
          <w:szCs w:val="24"/>
        </w:rPr>
      </w:pPr>
      <w:r w:rsidRPr="00102CC2">
        <w:rPr>
          <w:rStyle w:val="None"/>
          <w:rFonts w:cs="Times New Roman"/>
          <w:color w:val="000000" w:themeColor="text1"/>
          <w:sz w:val="24"/>
          <w:szCs w:val="24"/>
        </w:rPr>
        <w:t>The similarity or dissimilarity and nature of the goods or services as described in an application or registration or in connection with which a prior mark is in use.</w:t>
      </w:r>
    </w:p>
    <w:p w14:paraId="1DEFBA42" w14:textId="77777777" w:rsidR="00D06CA8" w:rsidRPr="00102CC2" w:rsidRDefault="00D06CA8" w:rsidP="00D06CA8">
      <w:pPr>
        <w:pStyle w:val="BodyA"/>
        <w:numPr>
          <w:ilvl w:val="0"/>
          <w:numId w:val="4"/>
        </w:numPr>
        <w:spacing w:line="360" w:lineRule="auto"/>
        <w:rPr>
          <w:rStyle w:val="None"/>
          <w:rFonts w:cs="Times New Roman"/>
          <w:color w:val="000000" w:themeColor="text1"/>
          <w:sz w:val="24"/>
          <w:szCs w:val="24"/>
        </w:rPr>
      </w:pPr>
      <w:r w:rsidRPr="00102CC2">
        <w:rPr>
          <w:rStyle w:val="None"/>
          <w:rFonts w:cs="Times New Roman"/>
          <w:color w:val="000000" w:themeColor="text1"/>
          <w:sz w:val="24"/>
          <w:szCs w:val="24"/>
        </w:rPr>
        <w:t>The similarity or dissimilarity of established, likely-to-continue trade channels.</w:t>
      </w:r>
    </w:p>
    <w:p w14:paraId="6D80C222" w14:textId="77777777" w:rsidR="00D06CA8" w:rsidRPr="00102CC2" w:rsidRDefault="00D06CA8" w:rsidP="00D06CA8">
      <w:pPr>
        <w:pStyle w:val="BodyA"/>
        <w:numPr>
          <w:ilvl w:val="0"/>
          <w:numId w:val="4"/>
        </w:numPr>
        <w:spacing w:line="360" w:lineRule="auto"/>
        <w:rPr>
          <w:rStyle w:val="None"/>
          <w:rFonts w:cs="Times New Roman"/>
          <w:color w:val="000000" w:themeColor="text1"/>
          <w:sz w:val="24"/>
          <w:szCs w:val="24"/>
        </w:rPr>
      </w:pPr>
      <w:r w:rsidRPr="00102CC2">
        <w:rPr>
          <w:rStyle w:val="None"/>
          <w:rFonts w:cs="Times New Roman"/>
          <w:color w:val="000000" w:themeColor="text1"/>
          <w:sz w:val="24"/>
          <w:szCs w:val="24"/>
        </w:rPr>
        <w:t>The conditions under which and buyers to whom sales are made, i. e. “impulse” vs. careful, sophisticated purchasing.</w:t>
      </w:r>
    </w:p>
    <w:p w14:paraId="7ED12380" w14:textId="77777777" w:rsidR="00D06CA8" w:rsidRPr="00102CC2" w:rsidRDefault="00D06CA8" w:rsidP="00D06CA8">
      <w:pPr>
        <w:pStyle w:val="BodyA"/>
        <w:numPr>
          <w:ilvl w:val="0"/>
          <w:numId w:val="4"/>
        </w:numPr>
        <w:spacing w:line="360" w:lineRule="auto"/>
        <w:rPr>
          <w:rStyle w:val="None"/>
          <w:rFonts w:cs="Times New Roman"/>
          <w:color w:val="000000" w:themeColor="text1"/>
          <w:sz w:val="24"/>
          <w:szCs w:val="24"/>
        </w:rPr>
      </w:pPr>
      <w:r w:rsidRPr="00102CC2">
        <w:rPr>
          <w:rStyle w:val="None"/>
          <w:rFonts w:cs="Times New Roman"/>
          <w:color w:val="000000" w:themeColor="text1"/>
          <w:sz w:val="24"/>
          <w:szCs w:val="24"/>
        </w:rPr>
        <w:t>The fame of the prior mark (sales, advertising, length of use).</w:t>
      </w:r>
    </w:p>
    <w:p w14:paraId="130B191A" w14:textId="77777777" w:rsidR="00D06CA8" w:rsidRPr="00102CC2" w:rsidRDefault="00D06CA8" w:rsidP="00D06CA8">
      <w:pPr>
        <w:pStyle w:val="BodyA"/>
        <w:numPr>
          <w:ilvl w:val="0"/>
          <w:numId w:val="4"/>
        </w:numPr>
        <w:spacing w:line="360" w:lineRule="auto"/>
        <w:rPr>
          <w:rStyle w:val="None"/>
          <w:rFonts w:cs="Times New Roman"/>
          <w:color w:val="000000" w:themeColor="text1"/>
          <w:sz w:val="24"/>
          <w:szCs w:val="24"/>
        </w:rPr>
      </w:pPr>
      <w:r w:rsidRPr="00102CC2">
        <w:rPr>
          <w:rStyle w:val="None"/>
          <w:rFonts w:cs="Times New Roman"/>
          <w:color w:val="000000" w:themeColor="text1"/>
          <w:sz w:val="24"/>
          <w:szCs w:val="24"/>
        </w:rPr>
        <w:t>The number and nature of similar marks in use on similar goods.</w:t>
      </w:r>
    </w:p>
    <w:p w14:paraId="482A1121" w14:textId="77777777" w:rsidR="00D06CA8" w:rsidRPr="00102CC2" w:rsidRDefault="00D06CA8" w:rsidP="00D06CA8">
      <w:pPr>
        <w:pStyle w:val="BodyA"/>
        <w:numPr>
          <w:ilvl w:val="0"/>
          <w:numId w:val="4"/>
        </w:numPr>
        <w:spacing w:line="360" w:lineRule="auto"/>
        <w:rPr>
          <w:rStyle w:val="None"/>
          <w:rFonts w:cs="Times New Roman"/>
          <w:color w:val="000000" w:themeColor="text1"/>
          <w:sz w:val="24"/>
          <w:szCs w:val="24"/>
        </w:rPr>
      </w:pPr>
      <w:r w:rsidRPr="00102CC2">
        <w:rPr>
          <w:rStyle w:val="None"/>
          <w:rFonts w:cs="Times New Roman"/>
          <w:color w:val="000000" w:themeColor="text1"/>
          <w:sz w:val="24"/>
          <w:szCs w:val="24"/>
        </w:rPr>
        <w:t>The nature and extent of any actual confusion.</w:t>
      </w:r>
    </w:p>
    <w:p w14:paraId="5777BE59" w14:textId="77777777" w:rsidR="00D06CA8" w:rsidRPr="00102CC2" w:rsidRDefault="00D06CA8" w:rsidP="00D06CA8">
      <w:pPr>
        <w:pStyle w:val="BodyA"/>
        <w:numPr>
          <w:ilvl w:val="0"/>
          <w:numId w:val="4"/>
        </w:numPr>
        <w:spacing w:line="360" w:lineRule="auto"/>
        <w:rPr>
          <w:rStyle w:val="None"/>
          <w:rFonts w:cs="Times New Roman"/>
          <w:color w:val="000000" w:themeColor="text1"/>
          <w:sz w:val="24"/>
          <w:szCs w:val="24"/>
        </w:rPr>
      </w:pPr>
      <w:r w:rsidRPr="00102CC2">
        <w:rPr>
          <w:rStyle w:val="None"/>
          <w:rFonts w:cs="Times New Roman"/>
          <w:color w:val="000000" w:themeColor="text1"/>
          <w:sz w:val="24"/>
          <w:szCs w:val="24"/>
        </w:rPr>
        <w:t>The length of time during and conditions under which there has been concurrent use without evidence of actual confusion.</w:t>
      </w:r>
    </w:p>
    <w:p w14:paraId="0E7831D4" w14:textId="77777777" w:rsidR="00D06CA8" w:rsidRPr="00102CC2" w:rsidRDefault="00D06CA8" w:rsidP="00D06CA8">
      <w:pPr>
        <w:pStyle w:val="BodyA"/>
        <w:numPr>
          <w:ilvl w:val="0"/>
          <w:numId w:val="4"/>
        </w:numPr>
        <w:spacing w:line="360" w:lineRule="auto"/>
        <w:rPr>
          <w:rStyle w:val="None"/>
          <w:rFonts w:cs="Times New Roman"/>
          <w:color w:val="000000" w:themeColor="text1"/>
          <w:sz w:val="24"/>
          <w:szCs w:val="24"/>
        </w:rPr>
      </w:pPr>
      <w:r w:rsidRPr="00102CC2">
        <w:rPr>
          <w:rStyle w:val="None"/>
          <w:rFonts w:cs="Times New Roman"/>
          <w:color w:val="000000" w:themeColor="text1"/>
          <w:sz w:val="24"/>
          <w:szCs w:val="24"/>
        </w:rPr>
        <w:t>The variety of goods on which a mark is or is not used (house mark, “family” mark, product mark).</w:t>
      </w:r>
    </w:p>
    <w:p w14:paraId="4236F408" w14:textId="1E8975C1" w:rsidR="00D06CA8" w:rsidRPr="00102CC2" w:rsidRDefault="00D06CA8" w:rsidP="00D06CA8">
      <w:pPr>
        <w:pStyle w:val="BodyA"/>
        <w:numPr>
          <w:ilvl w:val="0"/>
          <w:numId w:val="4"/>
        </w:numPr>
        <w:spacing w:line="360" w:lineRule="auto"/>
        <w:rPr>
          <w:rStyle w:val="None"/>
          <w:rFonts w:cs="Times New Roman"/>
          <w:color w:val="000000" w:themeColor="text1"/>
          <w:sz w:val="24"/>
          <w:szCs w:val="24"/>
        </w:rPr>
      </w:pPr>
      <w:r w:rsidRPr="00102CC2">
        <w:rPr>
          <w:rStyle w:val="None"/>
          <w:rFonts w:cs="Times New Roman"/>
          <w:color w:val="000000" w:themeColor="text1"/>
          <w:sz w:val="24"/>
          <w:szCs w:val="24"/>
        </w:rPr>
        <w:t>The market interface between applicant and the owner of a prior mark.</w:t>
      </w:r>
    </w:p>
    <w:p w14:paraId="2F87ADAB" w14:textId="77777777" w:rsidR="00D06CA8" w:rsidRPr="00102CC2" w:rsidRDefault="00D06CA8" w:rsidP="00D06CA8">
      <w:pPr>
        <w:pStyle w:val="BodyA"/>
        <w:numPr>
          <w:ilvl w:val="0"/>
          <w:numId w:val="4"/>
        </w:numPr>
        <w:spacing w:line="360" w:lineRule="auto"/>
        <w:rPr>
          <w:rStyle w:val="None"/>
          <w:rFonts w:cs="Times New Roman"/>
          <w:color w:val="000000" w:themeColor="text1"/>
          <w:sz w:val="24"/>
          <w:szCs w:val="24"/>
        </w:rPr>
      </w:pPr>
      <w:r w:rsidRPr="00102CC2">
        <w:rPr>
          <w:rStyle w:val="None"/>
          <w:rFonts w:cs="Times New Roman"/>
          <w:color w:val="000000" w:themeColor="text1"/>
          <w:sz w:val="24"/>
          <w:szCs w:val="24"/>
        </w:rPr>
        <w:t>The extent to which applicant has a right to exclude others from use of its mark on its goods.</w:t>
      </w:r>
    </w:p>
    <w:p w14:paraId="3691869E" w14:textId="77777777" w:rsidR="00D06CA8" w:rsidRPr="00102CC2" w:rsidRDefault="00D06CA8" w:rsidP="00D06CA8">
      <w:pPr>
        <w:pStyle w:val="BodyA"/>
        <w:numPr>
          <w:ilvl w:val="0"/>
          <w:numId w:val="4"/>
        </w:numPr>
        <w:spacing w:line="360" w:lineRule="auto"/>
        <w:rPr>
          <w:rStyle w:val="None"/>
          <w:rFonts w:cs="Times New Roman"/>
          <w:color w:val="000000" w:themeColor="text1"/>
          <w:sz w:val="24"/>
          <w:szCs w:val="24"/>
        </w:rPr>
      </w:pPr>
      <w:r w:rsidRPr="00102CC2">
        <w:rPr>
          <w:rStyle w:val="None"/>
          <w:rFonts w:cs="Times New Roman"/>
          <w:color w:val="000000" w:themeColor="text1"/>
          <w:sz w:val="24"/>
          <w:szCs w:val="24"/>
        </w:rPr>
        <w:t>The extent of potential confusion, i. e., whether de minimis or substantial.</w:t>
      </w:r>
    </w:p>
    <w:p w14:paraId="667B98C4" w14:textId="44D19016" w:rsidR="00D06CA8" w:rsidRPr="00102CC2" w:rsidRDefault="00D06CA8" w:rsidP="00D06CA8">
      <w:pPr>
        <w:pStyle w:val="BodyA"/>
        <w:numPr>
          <w:ilvl w:val="0"/>
          <w:numId w:val="4"/>
        </w:numPr>
        <w:spacing w:line="360" w:lineRule="auto"/>
        <w:rPr>
          <w:rStyle w:val="None"/>
          <w:rFonts w:cs="Times New Roman"/>
          <w:color w:val="000000" w:themeColor="text1"/>
          <w:sz w:val="24"/>
          <w:szCs w:val="24"/>
        </w:rPr>
      </w:pPr>
      <w:r w:rsidRPr="00102CC2">
        <w:rPr>
          <w:rStyle w:val="None"/>
          <w:rFonts w:cs="Times New Roman"/>
          <w:color w:val="000000" w:themeColor="text1"/>
          <w:sz w:val="24"/>
          <w:szCs w:val="24"/>
        </w:rPr>
        <w:t>Any other established fact probative of the effect of use.</w:t>
      </w:r>
    </w:p>
    <w:p w14:paraId="08553B43" w14:textId="4ED26F22" w:rsidR="00D06CA8" w:rsidRPr="00102CC2" w:rsidRDefault="00D06CA8" w:rsidP="00895D77">
      <w:pPr>
        <w:pStyle w:val="BodyA"/>
        <w:spacing w:line="360" w:lineRule="auto"/>
        <w:ind w:firstLine="360"/>
        <w:rPr>
          <w:rStyle w:val="None"/>
          <w:rFonts w:cs="Times New Roman"/>
          <w:color w:val="000000" w:themeColor="text1"/>
          <w:sz w:val="24"/>
          <w:szCs w:val="24"/>
        </w:rPr>
      </w:pPr>
      <w:hyperlink r:id="rId7" w:history="1">
        <w:r w:rsidRPr="0050328F">
          <w:rPr>
            <w:rStyle w:val="Hyperlink"/>
            <w:rFonts w:cs="Times New Roman"/>
            <w:i/>
            <w:iCs/>
            <w:sz w:val="24"/>
            <w:szCs w:val="24"/>
          </w:rPr>
          <w:t>Application of E. I. DuPont DeNemours &amp; Co.</w:t>
        </w:r>
        <w:r w:rsidRPr="0050328F">
          <w:rPr>
            <w:rStyle w:val="Hyperlink"/>
            <w:rFonts w:cs="Times New Roman"/>
            <w:sz w:val="24"/>
            <w:szCs w:val="24"/>
          </w:rPr>
          <w:t>, 476 F.2d 1357, 1361</w:t>
        </w:r>
      </w:hyperlink>
      <w:r w:rsidRPr="00102CC2">
        <w:rPr>
          <w:rStyle w:val="None"/>
          <w:rFonts w:cs="Times New Roman"/>
          <w:color w:val="000000" w:themeColor="text1"/>
          <w:sz w:val="24"/>
          <w:szCs w:val="24"/>
        </w:rPr>
        <w:t xml:space="preserve"> (C.C.P.A. 1973).</w:t>
      </w:r>
      <w:r w:rsidRPr="00102CC2">
        <w:rPr>
          <w:rStyle w:val="None"/>
          <w:rFonts w:cs="Times New Roman"/>
          <w:color w:val="000000" w:themeColor="text1"/>
          <w:sz w:val="24"/>
          <w:szCs w:val="24"/>
        </w:rPr>
        <w:tab/>
      </w:r>
    </w:p>
    <w:p w14:paraId="228FF99F" w14:textId="77777777" w:rsidR="00D06CA8" w:rsidRPr="00102CC2" w:rsidRDefault="00D06CA8" w:rsidP="00D06CA8">
      <w:pPr>
        <w:pStyle w:val="BodyA"/>
        <w:spacing w:line="360" w:lineRule="auto"/>
        <w:rPr>
          <w:rStyle w:val="None"/>
          <w:rFonts w:cs="Times New Roman"/>
          <w:color w:val="000000" w:themeColor="text1"/>
          <w:sz w:val="24"/>
          <w:szCs w:val="24"/>
        </w:rPr>
      </w:pPr>
    </w:p>
    <w:p w14:paraId="63B79627" w14:textId="0B7A2A3F" w:rsidR="00E024A2" w:rsidRPr="00102CC2" w:rsidRDefault="00E024A2" w:rsidP="00264A9D">
      <w:pPr>
        <w:pStyle w:val="Heading"/>
        <w:spacing w:before="162"/>
        <w:ind w:left="140" w:hanging="140"/>
        <w:rPr>
          <w:rStyle w:val="None"/>
          <w:rFonts w:cs="Times New Roman"/>
          <w:color w:val="000000" w:themeColor="text1"/>
          <w:u w:val="none"/>
        </w:rPr>
      </w:pPr>
      <w:r w:rsidRPr="00102CC2">
        <w:rPr>
          <w:rStyle w:val="None"/>
          <w:rFonts w:cs="Times New Roman"/>
          <w:color w:val="000000" w:themeColor="text1"/>
          <w:u w:val="thick"/>
        </w:rPr>
        <w:t>Arguments</w:t>
      </w:r>
    </w:p>
    <w:p w14:paraId="068627F5" w14:textId="77777777" w:rsidR="00E024A2" w:rsidRPr="00102CC2" w:rsidRDefault="00E024A2" w:rsidP="00D06CA8">
      <w:pPr>
        <w:pStyle w:val="BodyA"/>
        <w:spacing w:line="360" w:lineRule="auto"/>
        <w:rPr>
          <w:rStyle w:val="None"/>
          <w:rFonts w:cs="Times New Roman"/>
          <w:color w:val="000000" w:themeColor="text1"/>
          <w:sz w:val="24"/>
          <w:szCs w:val="24"/>
        </w:rPr>
      </w:pPr>
    </w:p>
    <w:p w14:paraId="737D03BB" w14:textId="212A6C69" w:rsidR="003559A2" w:rsidRPr="00102CC2" w:rsidRDefault="00000000" w:rsidP="00EC73A2">
      <w:pPr>
        <w:pStyle w:val="BodyA"/>
        <w:spacing w:line="360" w:lineRule="auto"/>
        <w:ind w:firstLine="720"/>
        <w:rPr>
          <w:rStyle w:val="None"/>
          <w:rFonts w:cs="Times New Roman"/>
          <w:b/>
          <w:bCs/>
          <w:color w:val="000000" w:themeColor="text1"/>
          <w:sz w:val="24"/>
          <w:szCs w:val="24"/>
        </w:rPr>
      </w:pPr>
      <w:r>
        <w:rPr>
          <w:b/>
          <w:sz w:val="24"/>
        </w:rPr>
        <w:t>A.</w:t>
      </w:r>
      <w:r>
        <w:rPr>
          <w:sz w:val="24"/>
        </w:rPr>
        <w:t xml:space="preserve"> </w:t>
      </w:r>
      <w:r>
        <w:t>The dissimilarity of the marks in their entireties as to appearance, sound, connotation and commercial impression</w:t>
      </w:r>
    </w:p>
    <w:p w14:paraId="4EDC214E" w14:textId="27AF2118" w:rsidR="00536AD0" w:rsidRPr="00102CC2" w:rsidRDefault="00536AD0" w:rsidP="00536AD0">
      <w:pPr>
        <w:spacing w:line="360" w:lineRule="auto"/>
        <w:ind w:firstLine="720"/>
        <w:rPr>
          <w:rStyle w:val="NoneA"/>
          <w:color w:val="000000" w:themeColor="text1"/>
          <w:lang w:eastAsia="zh-CN"/>
        </w:rPr>
      </w:pPr>
    </w:p>
    <w:p w14:paraId="6DF69D5A" w14:textId="2AB6D012" w:rsidR="00536AD0" w:rsidRPr="00102CC2" w:rsidRDefault="00464B56" w:rsidP="00536AD0">
      <w:pPr>
        <w:spacing w:line="360" w:lineRule="auto"/>
        <w:ind w:firstLine="720"/>
        <w:rPr>
          <w:rStyle w:val="NoneA"/>
          <w:color w:val="000000" w:themeColor="text1"/>
          <w:lang w:eastAsia="zh-CN"/>
        </w:rPr>
      </w:pPr>
      <w:r>
        <w:lastRenderedPageBreak/>
        <w:t>The dissimilarity of the marks in their entireties as to appearance, sound, connotation and commercial impression is evident when comparing HAYSTACK BURGERS &amp; BARLEY to BURGERS &amp; BARLEY. The applicant's mark, HAYSTACK BURGERS &amp; BARLEY, contains the distinguishing term "HAYSTACK," which is neither generic nor descriptive of the services offered, creating a unique visual, auditory, and conceptual identity. The initial word "HAYSTACK" is phonetically distinct and infuses the mark with a rustic, artisanal quality, potentially invoking imagery related to farming or abundance, which is absent in the competing mark. Meanwhile, by starting simply with "BURGERS," the conflicting mark BURGERS &amp; BARLEY lacks such distinctive characteristics and carries a more straightforward impression centered on the food (burgers) and drink (barley). This foundational difference in the beginning of each mark alters the commercial impression under which consumers perceive and recall each brand, significantly reducing the likelihood of confusion.</w:t>
      </w:r>
    </w:p>
    <w:p w14:paraId="2B3494B3" w14:textId="77777777" w:rsidR="005C3953" w:rsidRPr="00102CC2" w:rsidRDefault="005C3953" w:rsidP="00536AD0">
      <w:pPr>
        <w:pStyle w:val="BodyA"/>
        <w:spacing w:line="360" w:lineRule="auto"/>
        <w:rPr>
          <w:rStyle w:val="None"/>
          <w:rFonts w:cs="Times New Roman"/>
          <w:color w:val="000000" w:themeColor="text1"/>
          <w:sz w:val="24"/>
          <w:szCs w:val="24"/>
          <w:shd w:val="clear" w:color="auto" w:fill="FFFF00"/>
          <w:lang w:val="en-US"/>
        </w:rPr>
      </w:pPr>
    </w:p>
    <w:p w14:paraId="4809766D" w14:textId="324D211F" w:rsidR="003559A2" w:rsidRDefault="003E3D5D">
      <w:pPr>
        <w:pStyle w:val="BodyA"/>
        <w:spacing w:line="360" w:lineRule="auto"/>
        <w:ind w:firstLine="720"/>
        <w:rPr>
          <w:rStyle w:val="None"/>
          <w:rFonts w:cs="Times New Roman"/>
          <w:b/>
          <w:bCs/>
          <w:color w:val="000000" w:themeColor="text1"/>
          <w:sz w:val="24"/>
          <w:szCs w:val="24"/>
          <w:lang w:val="en-US"/>
        </w:rPr>
      </w:pPr>
      <w:r>
        <w:rPr>
          <w:b/>
          <w:sz w:val="24"/>
        </w:rPr>
        <w:t xml:space="preserve">B. </w:t>
      </w:r>
      <w:r>
        <w:t>The dissimilarity and nature of the goods or services and trade channels of the two marks</w:t>
      </w:r>
    </w:p>
    <w:p w14:paraId="5F7EAA31" w14:textId="77777777" w:rsidR="003E3D5D" w:rsidRPr="00102CC2" w:rsidRDefault="003E3D5D">
      <w:pPr>
        <w:pStyle w:val="BodyA"/>
        <w:spacing w:line="360" w:lineRule="auto"/>
        <w:ind w:firstLine="720"/>
        <w:rPr>
          <w:rStyle w:val="None"/>
          <w:rFonts w:cs="Times New Roman"/>
          <w:b/>
          <w:bCs/>
          <w:color w:val="000000" w:themeColor="text1"/>
          <w:sz w:val="24"/>
          <w:szCs w:val="24"/>
          <w:lang w:val="en-US"/>
        </w:rPr>
      </w:pPr>
    </w:p>
    <w:p w14:paraId="2914E704" w14:textId="4D5F7C73" w:rsidR="000D4443" w:rsidRPr="00102CC2" w:rsidRDefault="00464B56" w:rsidP="00464B56">
      <w:pPr>
        <w:spacing w:line="360" w:lineRule="auto"/>
        <w:ind w:firstLine="720"/>
        <w:rPr>
          <w:rStyle w:val="NoneA"/>
          <w:color w:val="000000" w:themeColor="text1"/>
        </w:rPr>
      </w:pPr>
      <w:r>
        <w:t>Examining the dissimilarity and nature of the goods or services and trade channels, HAYSTACK BURGERS &amp; BARLEY and BURGERS &amp; BARLEY, while both operating in the realm of restaurant and bar services, cater to potentially different audience expectations and experiential promises due to their branding. HAYSTACK BURGERS &amp; BARLEY's emphasis on a full-service dining experience that includes a specific focus on artisanal food offerings (e.g., specialty burgers, sandwiches, and craft beer) contrasts with the broader scope suggested by BURGERS &amp; BARLEY. Although both establishments provide dine-in and take-out, the former's branding implies an elevated or niche dining theme, which can influence patron perception and inform trade channel strategies. Additionally, potential differences in ambiance, service style, and consumer marketing based on their respective brand identities help delineate the target customer groups and further minimize overlap in consumer base and subsequent confusion.</w:t>
      </w:r>
    </w:p>
    <w:p w14:paraId="3DA7AA5F" w14:textId="77777777" w:rsidR="005C3953" w:rsidRPr="00102CC2" w:rsidRDefault="005C3953" w:rsidP="00536AD0">
      <w:pPr>
        <w:pStyle w:val="BodyA"/>
        <w:spacing w:line="360" w:lineRule="auto"/>
        <w:rPr>
          <w:rFonts w:cs="Times New Roman"/>
          <w:color w:val="000000" w:themeColor="text1"/>
          <w:sz w:val="24"/>
          <w:szCs w:val="24"/>
          <w:shd w:val="clear" w:color="auto" w:fill="FFFF00"/>
          <w:lang w:val="en-US"/>
        </w:rPr>
      </w:pPr>
    </w:p>
    <w:p w14:paraId="7652C8DB" w14:textId="439F980F" w:rsidR="00536AD0" w:rsidRDefault="00000000" w:rsidP="003E3D5D">
      <w:pPr>
        <w:pStyle w:val="BodyA"/>
        <w:spacing w:line="360" w:lineRule="auto"/>
        <w:ind w:firstLine="720"/>
        <w:rPr>
          <w:rStyle w:val="None"/>
          <w:rFonts w:cs="Times New Roman"/>
          <w:b/>
          <w:bCs/>
          <w:color w:val="000000" w:themeColor="text1"/>
          <w:sz w:val="24"/>
          <w:szCs w:val="24"/>
          <w:lang w:val="en-US"/>
        </w:rPr>
      </w:pPr>
      <w:r w:rsidRPr="00102CC2">
        <w:rPr>
          <w:rStyle w:val="None"/>
          <w:rFonts w:cs="Times New Roman"/>
          <w:b/>
          <w:bCs/>
          <w:color w:val="000000" w:themeColor="text1"/>
          <w:sz w:val="24"/>
          <w:szCs w:val="24"/>
          <w:lang w:val="en-US"/>
        </w:rPr>
        <w:t xml:space="preserve">C. </w:t>
      </w:r>
      <w:r w:rsidR="00E5175F" w:rsidRPr="00102CC2">
        <w:rPr>
          <w:rStyle w:val="None"/>
          <w:rFonts w:cs="Times New Roman"/>
          <w:b/>
          <w:bCs/>
          <w:color w:val="000000" w:themeColor="text1"/>
          <w:sz w:val="24"/>
          <w:szCs w:val="24"/>
          <w:lang w:val="en-US"/>
        </w:rPr>
        <w:t xml:space="preserve">The conditions under which and buyers to whom sales are made, </w:t>
      </w:r>
      <w:proofErr w:type="spellStart"/>
      <w:r w:rsidR="00E5175F" w:rsidRPr="00102CC2">
        <w:rPr>
          <w:rStyle w:val="None"/>
          <w:rFonts w:cs="Times New Roman"/>
          <w:b/>
          <w:bCs/>
          <w:color w:val="000000" w:themeColor="text1"/>
          <w:sz w:val="24"/>
          <w:szCs w:val="24"/>
          <w:lang w:val="en-US"/>
        </w:rPr>
        <w:t>i</w:t>
      </w:r>
      <w:proofErr w:type="spellEnd"/>
      <w:r w:rsidR="00E5175F" w:rsidRPr="00102CC2">
        <w:rPr>
          <w:rStyle w:val="None"/>
          <w:rFonts w:cs="Times New Roman"/>
          <w:b/>
          <w:bCs/>
          <w:color w:val="000000" w:themeColor="text1"/>
          <w:sz w:val="24"/>
          <w:szCs w:val="24"/>
          <w:lang w:val="en-US"/>
        </w:rPr>
        <w:t>. e. “impulse” vs. careful, sophisticated purchasing.</w:t>
      </w:r>
    </w:p>
    <w:p w14:paraId="7F7D24D0" w14:textId="77777777" w:rsidR="003E3D5D" w:rsidRPr="003E3D5D" w:rsidRDefault="003E3D5D" w:rsidP="003E3D5D">
      <w:pPr>
        <w:pStyle w:val="BodyA"/>
        <w:spacing w:line="360" w:lineRule="auto"/>
        <w:ind w:firstLine="720"/>
        <w:rPr>
          <w:rStyle w:val="NoneA"/>
          <w:rFonts w:cs="Times New Roman"/>
          <w:b/>
          <w:bCs/>
          <w:color w:val="000000" w:themeColor="text1"/>
          <w:sz w:val="24"/>
          <w:szCs w:val="24"/>
          <w:lang w:val="en-US"/>
        </w:rPr>
      </w:pPr>
    </w:p>
    <w:p w14:paraId="093FD318" w14:textId="27AC2815" w:rsidR="005C3953" w:rsidRPr="00102CC2" w:rsidRDefault="00096827" w:rsidP="00094B01">
      <w:pPr>
        <w:spacing w:line="360" w:lineRule="auto"/>
        <w:ind w:firstLine="720"/>
        <w:rPr>
          <w:rStyle w:val="NoneA"/>
          <w:color w:val="000000" w:themeColor="text1"/>
        </w:rPr>
      </w:pPr>
      <w:r>
        <w:t xml:space="preserve">The conditions under which and buyers to whom sales are made, along with </w:t>
      </w:r>
      <w:r w:rsidR="00577F59">
        <w:t>the consideration</w:t>
      </w:r>
      <w:r>
        <w:t xml:space="preserve"> of sophisticated purchasing, argue against likely confusion between HAYSTACK </w:t>
      </w:r>
      <w:r>
        <w:lastRenderedPageBreak/>
        <w:t xml:space="preserve">BURGERS &amp; BARLEY and BURGERS &amp; BARLEY. The clientele engaging </w:t>
      </w:r>
      <w:proofErr w:type="gramStart"/>
      <w:r>
        <w:t>with</w:t>
      </w:r>
      <w:proofErr w:type="gramEnd"/>
      <w:r>
        <w:t xml:space="preserve"> these establishments are likely to be discerning consumers who make decisions based on specific dining preferences, culinary experiences, and brand loyalty. Especially in the craft or gourmet segments of the restaurant market, consumers often exhibit heightened brand awareness and are motivated by unique differentiators such as menu offerings, culinary reputation, and thematic ambiance. Even casual diners might recognize the implicit narrative or thematic branding associated with "HAYSTACK" and seek it out purposefully for its </w:t>
      </w:r>
      <w:proofErr w:type="gramStart"/>
      <w:r>
        <w:t>particular dining</w:t>
      </w:r>
      <w:proofErr w:type="gramEnd"/>
      <w:r>
        <w:t xml:space="preserve"> style or selection, thus employing a level of thoughtful selection that diminishes confusion potential amidst similar service categories. This informed consumer behavior under sophisticated purchasing contexts provides a strong barrier against the likelihood of mistaken identity between these two dining establishments.</w:t>
      </w:r>
    </w:p>
    <w:p w14:paraId="5652BE4A" w14:textId="77777777" w:rsidR="00094B01" w:rsidRPr="00102CC2" w:rsidRDefault="00094B01" w:rsidP="00FF1D19">
      <w:pPr>
        <w:spacing w:line="360" w:lineRule="auto"/>
        <w:rPr>
          <w:color w:val="000000" w:themeColor="text1"/>
        </w:rPr>
      </w:pPr>
    </w:p>
    <w:p w14:paraId="5B9AF4F6" w14:textId="5629E987" w:rsidR="00617820" w:rsidRPr="00102CC2" w:rsidRDefault="00617820" w:rsidP="00264A9D">
      <w:pPr>
        <w:pStyle w:val="Heading"/>
        <w:spacing w:before="162"/>
        <w:ind w:left="140" w:hanging="140"/>
        <w:rPr>
          <w:rStyle w:val="None"/>
          <w:rFonts w:cs="Times New Roman"/>
          <w:color w:val="000000" w:themeColor="text1"/>
          <w:u w:val="none"/>
        </w:rPr>
      </w:pPr>
      <w:r w:rsidRPr="00102CC2">
        <w:rPr>
          <w:rStyle w:val="None"/>
          <w:rFonts w:cs="Times New Roman"/>
          <w:color w:val="000000" w:themeColor="text1"/>
          <w:u w:val="thick"/>
        </w:rPr>
        <w:t>Conclusion</w:t>
      </w:r>
    </w:p>
    <w:p w14:paraId="56B05B4A" w14:textId="77777777" w:rsidR="003559A2" w:rsidRPr="00102CC2" w:rsidRDefault="003559A2">
      <w:pPr>
        <w:pStyle w:val="BodyText"/>
        <w:spacing w:before="1"/>
        <w:ind w:left="0"/>
        <w:rPr>
          <w:rStyle w:val="None"/>
          <w:rFonts w:cs="Times New Roman"/>
          <w:b/>
          <w:bCs/>
          <w:color w:val="000000" w:themeColor="text1"/>
        </w:rPr>
      </w:pPr>
    </w:p>
    <w:p w14:paraId="46AB0C46" w14:textId="417FDEFC" w:rsidR="003559A2" w:rsidRPr="00102CC2" w:rsidRDefault="00000000" w:rsidP="00264A9D">
      <w:pPr>
        <w:pStyle w:val="BodyText"/>
        <w:spacing w:line="360" w:lineRule="auto"/>
        <w:ind w:left="0" w:right="381" w:firstLine="720"/>
        <w:rPr>
          <w:rFonts w:cs="Times New Roman"/>
          <w:color w:val="000000" w:themeColor="text1"/>
        </w:rPr>
      </w:pPr>
      <w:r>
        <w:t>There is no likelihood of confusion between the Applicant’s mark HAYSTACK BURGERS &amp; BARLEY and the Cited Mark BURGERS &amp; BARLEY. Considering the foregoing arguments, Applicant respectfully requests that the Examining Attorney withdraw the refusal to register Applicant’s mark.</w:t>
      </w:r>
    </w:p>
    <w:p w14:paraId="2B02A841" w14:textId="77777777" w:rsidR="003559A2" w:rsidRPr="00102CC2" w:rsidRDefault="003559A2">
      <w:pPr>
        <w:pStyle w:val="BodyText"/>
        <w:ind w:left="0"/>
        <w:rPr>
          <w:rStyle w:val="NoneA"/>
          <w:rFonts w:cs="Times New Roman"/>
          <w:color w:val="000000" w:themeColor="text1"/>
        </w:rPr>
      </w:pPr>
    </w:p>
    <w:p w14:paraId="1FFDA2C0" w14:textId="62CC2BB6" w:rsidR="003559A2" w:rsidRPr="00102CC2" w:rsidRDefault="00000000">
      <w:pPr>
        <w:pStyle w:val="BodyText"/>
        <w:spacing w:before="5"/>
        <w:ind w:left="0"/>
        <w:rPr>
          <w:rFonts w:cs="Times New Roman"/>
          <w:color w:val="000000" w:themeColor="text1"/>
        </w:rPr>
      </w:pPr>
      <w:r w:rsidRPr="00102CC2">
        <w:rPr>
          <w:rStyle w:val="NoneA"/>
          <w:rFonts w:cs="Times New Roman"/>
          <w:color w:val="000000" w:themeColor="text1"/>
        </w:rPr>
        <w:tab/>
      </w:r>
      <w:r w:rsidRPr="00102CC2">
        <w:rPr>
          <w:rStyle w:val="NoneA"/>
          <w:rFonts w:cs="Times New Roman"/>
          <w:color w:val="000000" w:themeColor="text1"/>
        </w:rPr>
        <w:tab/>
      </w:r>
      <w:r w:rsidRPr="00102CC2">
        <w:rPr>
          <w:rStyle w:val="NoneA"/>
          <w:rFonts w:cs="Times New Roman"/>
          <w:color w:val="000000" w:themeColor="text1"/>
        </w:rPr>
        <w:tab/>
      </w:r>
      <w:r w:rsidRPr="00102CC2">
        <w:rPr>
          <w:rStyle w:val="NoneA"/>
          <w:rFonts w:cs="Times New Roman"/>
          <w:color w:val="000000" w:themeColor="text1"/>
        </w:rPr>
        <w:tab/>
      </w:r>
      <w:r w:rsidRPr="00102CC2">
        <w:rPr>
          <w:rStyle w:val="NoneA"/>
          <w:rFonts w:cs="Times New Roman"/>
          <w:color w:val="000000" w:themeColor="text1"/>
        </w:rPr>
        <w:tab/>
      </w:r>
      <w:r w:rsidRPr="00102CC2">
        <w:rPr>
          <w:rStyle w:val="None"/>
          <w:rFonts w:cs="Times New Roman"/>
          <w:color w:val="000000" w:themeColor="text1"/>
          <w:u w:color="FF0000"/>
        </w:rPr>
        <w:t>[Applicant’s attorney’s name]</w:t>
      </w:r>
    </w:p>
    <w:p w14:paraId="6059711F" w14:textId="6151F9C6" w:rsidR="003559A2" w:rsidRPr="00102CC2" w:rsidRDefault="00000000">
      <w:pPr>
        <w:pStyle w:val="BodyText"/>
        <w:spacing w:before="5"/>
        <w:ind w:left="0"/>
        <w:rPr>
          <w:rFonts w:cs="Times New Roman"/>
          <w:color w:val="000000" w:themeColor="text1"/>
        </w:rPr>
      </w:pPr>
      <w:r w:rsidRPr="00102CC2">
        <w:rPr>
          <w:rStyle w:val="NoneA"/>
          <w:rFonts w:cs="Times New Roman"/>
          <w:color w:val="000000" w:themeColor="text1"/>
        </w:rPr>
        <w:tab/>
      </w:r>
      <w:r w:rsidRPr="00102CC2">
        <w:rPr>
          <w:rStyle w:val="NoneA"/>
          <w:rFonts w:cs="Times New Roman"/>
          <w:color w:val="000000" w:themeColor="text1"/>
        </w:rPr>
        <w:tab/>
      </w:r>
      <w:r w:rsidRPr="00102CC2">
        <w:rPr>
          <w:rStyle w:val="NoneA"/>
          <w:rFonts w:cs="Times New Roman"/>
          <w:color w:val="000000" w:themeColor="text1"/>
        </w:rPr>
        <w:tab/>
      </w:r>
      <w:r w:rsidRPr="00102CC2">
        <w:rPr>
          <w:rStyle w:val="NoneA"/>
          <w:rFonts w:cs="Times New Roman"/>
          <w:color w:val="000000" w:themeColor="text1"/>
        </w:rPr>
        <w:tab/>
      </w:r>
      <w:r w:rsidRPr="00102CC2">
        <w:rPr>
          <w:rStyle w:val="NoneA"/>
          <w:rFonts w:cs="Times New Roman"/>
          <w:color w:val="000000" w:themeColor="text1"/>
        </w:rPr>
        <w:tab/>
      </w:r>
      <w:r w:rsidR="007C652E" w:rsidRPr="00102CC2">
        <w:rPr>
          <w:rStyle w:val="None"/>
          <w:rFonts w:cs="Times New Roman"/>
          <w:color w:val="000000" w:themeColor="text1"/>
          <w:u w:color="FF0000"/>
        </w:rPr>
        <w:t>[Applicant’s attorney’s firm]</w:t>
      </w:r>
    </w:p>
    <w:p w14:paraId="62559624" w14:textId="6B8947F3" w:rsidR="003559A2" w:rsidRPr="00102CC2" w:rsidRDefault="00000000">
      <w:pPr>
        <w:pStyle w:val="BodyText"/>
        <w:spacing w:before="5"/>
        <w:ind w:left="0"/>
        <w:rPr>
          <w:rFonts w:cs="Times New Roman"/>
          <w:color w:val="000000" w:themeColor="text1"/>
        </w:rPr>
      </w:pPr>
      <w:r w:rsidRPr="00102CC2">
        <w:rPr>
          <w:rStyle w:val="NoneA"/>
          <w:rFonts w:cs="Times New Roman"/>
          <w:color w:val="000000" w:themeColor="text1"/>
        </w:rPr>
        <w:tab/>
      </w:r>
      <w:r w:rsidRPr="00102CC2">
        <w:rPr>
          <w:rStyle w:val="NoneA"/>
          <w:rFonts w:cs="Times New Roman"/>
          <w:color w:val="000000" w:themeColor="text1"/>
        </w:rPr>
        <w:tab/>
      </w:r>
      <w:r w:rsidRPr="00102CC2">
        <w:rPr>
          <w:rStyle w:val="NoneA"/>
          <w:rFonts w:cs="Times New Roman"/>
          <w:color w:val="000000" w:themeColor="text1"/>
        </w:rPr>
        <w:tab/>
      </w:r>
      <w:r w:rsidRPr="00102CC2">
        <w:rPr>
          <w:rStyle w:val="NoneA"/>
          <w:rFonts w:cs="Times New Roman"/>
          <w:color w:val="000000" w:themeColor="text1"/>
        </w:rPr>
        <w:tab/>
      </w:r>
      <w:r w:rsidRPr="00102CC2">
        <w:rPr>
          <w:rStyle w:val="NoneA"/>
          <w:rFonts w:cs="Times New Roman"/>
          <w:color w:val="000000" w:themeColor="text1"/>
        </w:rPr>
        <w:tab/>
      </w:r>
      <w:r w:rsidR="007C652E" w:rsidRPr="00102CC2">
        <w:rPr>
          <w:rStyle w:val="None"/>
          <w:rFonts w:cs="Times New Roman"/>
          <w:color w:val="000000" w:themeColor="text1"/>
          <w:u w:color="FF0000"/>
        </w:rPr>
        <w:t>[Applicant’s attorney’s street address]</w:t>
      </w:r>
    </w:p>
    <w:p w14:paraId="4BFAE185" w14:textId="21EB75AA" w:rsidR="003559A2" w:rsidRPr="00102CC2" w:rsidRDefault="00000000">
      <w:pPr>
        <w:pStyle w:val="BodyText"/>
        <w:spacing w:before="5"/>
        <w:ind w:left="3020" w:firstLine="580"/>
        <w:rPr>
          <w:rFonts w:cs="Times New Roman"/>
          <w:color w:val="000000" w:themeColor="text1"/>
        </w:rPr>
      </w:pPr>
      <w:r w:rsidRPr="00102CC2">
        <w:rPr>
          <w:rStyle w:val="None"/>
          <w:rFonts w:cs="Times New Roman"/>
          <w:color w:val="000000" w:themeColor="text1"/>
          <w:u w:color="FF0000"/>
        </w:rPr>
        <w:t>[Applicant’s attorney’s primary email address]</w:t>
      </w:r>
    </w:p>
    <w:sectPr w:rsidR="003559A2" w:rsidRPr="00102CC2">
      <w:headerReference w:type="default" r:id="rId8"/>
      <w:footerReference w:type="default" r:id="rId9"/>
      <w:pgSz w:w="12240" w:h="15840"/>
      <w:pgMar w:top="1380" w:right="1300" w:bottom="1240" w:left="1300" w:header="0" w:footer="10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16A3B" w14:textId="77777777" w:rsidR="00FA31DE" w:rsidRDefault="00FA31DE">
      <w:r>
        <w:separator/>
      </w:r>
    </w:p>
  </w:endnote>
  <w:endnote w:type="continuationSeparator" w:id="0">
    <w:p w14:paraId="0F212509" w14:textId="77777777" w:rsidR="00FA31DE" w:rsidRDefault="00FA3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D44DF" w14:textId="15B8A144" w:rsidR="003559A2" w:rsidRDefault="00EC73A2">
    <w:pPr>
      <w:pStyle w:val="BodyText"/>
      <w:spacing w:line="24" w:lineRule="auto"/>
      <w:ind w:left="0"/>
    </w:pPr>
    <w:r>
      <w:rPr>
        <w:noProof/>
      </w:rPr>
      <mc:AlternateContent>
        <mc:Choice Requires="wps">
          <w:drawing>
            <wp:anchor distT="152400" distB="152400" distL="152400" distR="152400" simplePos="0" relativeHeight="251659264" behindDoc="1" locked="0" layoutInCell="1" allowOverlap="1" wp14:anchorId="036F63C5" wp14:editId="76ECF342">
              <wp:simplePos x="0" y="0"/>
              <wp:positionH relativeFrom="page">
                <wp:posOffset>833755</wp:posOffset>
              </wp:positionH>
              <wp:positionV relativeFrom="page">
                <wp:posOffset>9484116</wp:posOffset>
              </wp:positionV>
              <wp:extent cx="5549900" cy="368300"/>
              <wp:effectExtent l="0" t="0" r="0" b="0"/>
              <wp:wrapNone/>
              <wp:docPr id="1073741826" name="officeArt object" descr="Text Box 1"/>
              <wp:cNvGraphicFramePr/>
              <a:graphic xmlns:a="http://schemas.openxmlformats.org/drawingml/2006/main">
                <a:graphicData uri="http://schemas.microsoft.com/office/word/2010/wordprocessingShape">
                  <wps:wsp>
                    <wps:cNvSpPr txBox="1"/>
                    <wps:spPr>
                      <a:xfrm>
                        <a:off x="0" y="0"/>
                        <a:ext cx="5549900" cy="368300"/>
                      </a:xfrm>
                      <a:prstGeom prst="rect">
                        <a:avLst/>
                      </a:prstGeom>
                      <a:noFill/>
                      <a:ln w="12700" cap="flat">
                        <a:noFill/>
                        <a:miter lim="400000"/>
                      </a:ln>
                      <a:effectLst/>
                    </wps:spPr>
                    <wps:txbx>
                      <w:txbxContent>
                        <w:p w14:paraId="23FD3FC8" w14:textId="1321EB3F" w:rsidR="003559A2" w:rsidRDefault="00000000">
                          <w:pPr>
                            <w:pStyle w:val="BodyText"/>
                            <w:tabs>
                              <w:tab w:val="left" w:pos="860"/>
                              <w:tab w:val="left" w:pos="3021"/>
                            </w:tabs>
                            <w:spacing w:before="90" w:line="275" w:lineRule="exact"/>
                          </w:pPr>
                          <w:r>
                            <w:rPr>
                              <w:i/>
                              <w:iCs/>
                              <w:sz w:val="20"/>
                              <w:szCs w:val="20"/>
                            </w:rPr>
                            <w:t>Response to Office Action---</w:t>
                          </w:r>
                          <w:r>
                            <w:rPr>
                              <w:sz w:val="20"/>
                              <w:szCs w:val="20"/>
                            </w:rPr>
                            <w:t xml:space="preserve">Ser. No. </w:t>
                          </w:r>
                          <w:r w:rsidRPr="00FF1D19">
                            <w:rPr>
                              <w:i/>
                              <w:iCs/>
                              <w:color w:val="000000" w:themeColor="text1"/>
                              <w:sz w:val="20"/>
                              <w:szCs w:val="20"/>
                              <w:u w:color="FF0000"/>
                            </w:rPr>
                            <w:t>[Applicant’s U.S. Application Serial No.]</w:t>
                          </w:r>
                        </w:p>
                      </w:txbxContent>
                    </wps:txbx>
                    <wps:bodyPr wrap="square" lIns="0" tIns="0" rIns="0" bIns="0" numCol="1" anchor="t">
                      <a:noAutofit/>
                    </wps:bodyPr>
                  </wps:wsp>
                </a:graphicData>
              </a:graphic>
            </wp:anchor>
          </w:drawing>
        </mc:Choice>
        <mc:Fallback>
          <w:pict>
            <v:shapetype w14:anchorId="036F63C5" id="_x0000_t202" coordsize="21600,21600" o:spt="202" path="m,l,21600r21600,l21600,xe">
              <v:stroke joinstyle="miter"/>
              <v:path gradientshapeok="t" o:connecttype="rect"/>
            </v:shapetype>
            <v:shape id="_x0000_s1027" type="#_x0000_t202" alt="Text Box 1" style="position:absolute;margin-left:65.65pt;margin-top:746.8pt;width:437pt;height:29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" filled="f" stroked="f" strokeweight="1pt">
              <v:stroke miterlimit="4"/>
              <v:textbox inset="0,0,0,0">
                <w:txbxContent>
                  <w:p w14:paraId="23FD3FC8" w14:textId="1321EB3F" w:rsidR="003559A2" w:rsidRDefault="00000000">
                    <w:pPr>
                      <w:pStyle w:val="BodyText"/>
                      <w:tabs>
                        <w:tab w:val="left" w:pos="860"/>
                        <w:tab w:val="left" w:pos="3021"/>
                      </w:tabs>
                      <w:spacing w:before="90" w:line="275" w:lineRule="exact"/>
                    </w:pPr>
                    <w:r>
                      <w:rPr>
                        <w:i/>
                        <w:iCs/>
                        <w:sz w:val="20"/>
                        <w:szCs w:val="20"/>
                      </w:rPr>
                      <w:t>Response to Office Action---</w:t>
                    </w:r>
                    <w:r>
                      <w:rPr>
                        <w:sz w:val="20"/>
                        <w:szCs w:val="20"/>
                      </w:rPr>
                      <w:t xml:space="preserve">Ser. No. </w:t>
                    </w:r>
                    <w:r w:rsidRPr="00FF1D19">
                      <w:rPr>
                        <w:i/>
                        <w:iCs/>
                        <w:color w:val="000000" w:themeColor="text1"/>
                        <w:sz w:val="20"/>
                        <w:szCs w:val="20"/>
                        <w:u w:color="FF0000"/>
                      </w:rPr>
                      <w:t>[Applicant’s U.S. Application Serial No.]</w:t>
                    </w:r>
                  </w:p>
                </w:txbxContent>
              </v:textbox>
              <w10:wrap anchorx="page" anchory="page"/>
            </v:shape>
          </w:pict>
        </mc:Fallback>
      </mc:AlternateContent>
    </w:r>
    <w:r>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E7620" w14:textId="77777777" w:rsidR="00FA31DE" w:rsidRDefault="00FA31DE">
      <w:r>
        <w:separator/>
      </w:r>
    </w:p>
  </w:footnote>
  <w:footnote w:type="continuationSeparator" w:id="0">
    <w:p w14:paraId="25CF261C" w14:textId="77777777" w:rsidR="00FA31DE" w:rsidRDefault="00FA3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C4586" w14:textId="4FB82DD6" w:rsidR="003559A2" w:rsidRDefault="00000000">
    <w:pPr>
      <w:pStyle w:val="HeaderFooter"/>
      <w:rPr>
        <w:rFonts w:hint="eastAsia"/>
      </w:rPr>
    </w:pPr>
    <w:r>
      <w:rPr>
        <w:noProof/>
      </w:rPr>
      <mc:AlternateContent>
        <mc:Choice Requires="wps">
          <w:drawing>
            <wp:anchor distT="152400" distB="152400" distL="152400" distR="152400" simplePos="0" relativeHeight="251658240" behindDoc="1" locked="0" layoutInCell="1" allowOverlap="1" wp14:anchorId="3EAA029A" wp14:editId="1B32B5A6">
              <wp:simplePos x="0" y="0"/>
              <wp:positionH relativeFrom="page">
                <wp:posOffset>3661406</wp:posOffset>
              </wp:positionH>
              <wp:positionV relativeFrom="page">
                <wp:posOffset>9251311</wp:posOffset>
              </wp:positionV>
              <wp:extent cx="480695" cy="194314"/>
              <wp:effectExtent l="0" t="0" r="0" b="0"/>
              <wp:wrapNone/>
              <wp:docPr id="1073741825" name="officeArt object" descr="Text Box 2"/>
              <wp:cNvGraphicFramePr/>
              <a:graphic xmlns:a="http://schemas.openxmlformats.org/drawingml/2006/main">
                <a:graphicData uri="http://schemas.microsoft.com/office/word/2010/wordprocessingShape">
                  <wps:wsp>
                    <wps:cNvSpPr txBox="1"/>
                    <wps:spPr>
                      <a:xfrm>
                        <a:off x="0" y="0"/>
                        <a:ext cx="480695" cy="194314"/>
                      </a:xfrm>
                      <a:prstGeom prst="rect">
                        <a:avLst/>
                      </a:prstGeom>
                      <a:noFill/>
                      <a:ln w="12700" cap="flat">
                        <a:noFill/>
                        <a:miter lim="400000"/>
                      </a:ln>
                      <a:effectLst/>
                    </wps:spPr>
                    <wps:txbx>
                      <w:txbxContent>
                        <w:p w14:paraId="0A10800B" w14:textId="77777777" w:rsidR="003559A2" w:rsidRDefault="00000000">
                          <w:pPr>
                            <w:pStyle w:val="BodyA"/>
                            <w:spacing w:before="10"/>
                            <w:ind w:left="20"/>
                          </w:pPr>
                          <w:r>
                            <w:rPr>
                              <w:b/>
                              <w:bCs/>
                              <w:sz w:val="24"/>
                              <w:szCs w:val="24"/>
                            </w:rP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1</w:t>
                          </w:r>
                          <w:r>
                            <w:rPr>
                              <w:b/>
                              <w:bCs/>
                              <w:sz w:val="24"/>
                              <w:szCs w:val="24"/>
                            </w:rPr>
                            <w:fldChar w:fldCharType="end"/>
                          </w:r>
                        </w:p>
                      </w:txbxContent>
                    </wps:txbx>
                    <wps:bodyPr wrap="square" lIns="0" tIns="0" rIns="0" bIns="0" numCol="1" anchor="t">
                      <a:noAutofit/>
                    </wps:bodyPr>
                  </wps:wsp>
                </a:graphicData>
              </a:graphic>
            </wp:anchor>
          </w:drawing>
        </mc:Choice>
        <mc:Fallback>
          <w:pict>
            <v:shapetype w14:anchorId="3EAA029A" id="_x0000_t202" coordsize="21600,21600" o:spt="202" path="m,l,21600r21600,l21600,xe">
              <v:stroke joinstyle="miter"/>
              <v:path gradientshapeok="t" o:connecttype="rect"/>
            </v:shapetype>
            <v:shape id="officeArt object" o:spid="_x0000_s1026" type="#_x0000_t202" alt="Text Box 2" style="position:absolute;margin-left:288.3pt;margin-top:728.45pt;width:37.85pt;height:15.3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" filled="f" stroked="f" strokeweight="1pt">
              <v:stroke miterlimit="4"/>
              <v:textbox inset="0,0,0,0">
                <w:txbxContent>
                  <w:p w14:paraId="0A10800B" w14:textId="77777777" w:rsidR="003559A2" w:rsidRDefault="00000000">
                    <w:pPr>
                      <w:pStyle w:val="BodyA"/>
                      <w:spacing w:before="10"/>
                      <w:ind w:left="20"/>
                    </w:pPr>
                    <w:r>
                      <w:rPr>
                        <w:b/>
                        <w:bCs/>
                        <w:sz w:val="24"/>
                        <w:szCs w:val="24"/>
                      </w:rP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1</w:t>
                    </w:r>
                    <w:r>
                      <w:rPr>
                        <w:b/>
                        <w:bCs/>
                        <w:sz w:val="24"/>
                        <w:szCs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505FD"/>
    <w:multiLevelType w:val="hybridMultilevel"/>
    <w:tmpl w:val="CFA69DE8"/>
    <w:styleLink w:val="ImportedStyle1"/>
    <w:lvl w:ilvl="0" w:tplc="75549EE0">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ED2FE9E">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E9AF12A">
      <w:start w:val="1"/>
      <w:numFmt w:val="lowerRoman"/>
      <w:lvlText w:val="%3."/>
      <w:lvlJc w:val="left"/>
      <w:pPr>
        <w:ind w:left="28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AC20CCE">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622A95C">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C4EF236">
      <w:start w:val="1"/>
      <w:numFmt w:val="lowerRoman"/>
      <w:lvlText w:val="%6."/>
      <w:lvlJc w:val="left"/>
      <w:pPr>
        <w:ind w:left="50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5D46A4E">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98865D6">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BA87BC">
      <w:start w:val="1"/>
      <w:numFmt w:val="lowerRoman"/>
      <w:lvlText w:val="%9."/>
      <w:lvlJc w:val="left"/>
      <w:pPr>
        <w:ind w:left="72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B1A6A1D"/>
    <w:multiLevelType w:val="hybridMultilevel"/>
    <w:tmpl w:val="CFA69DE8"/>
    <w:numStyleLink w:val="ImportedStyle1"/>
  </w:abstractNum>
  <w:abstractNum w:abstractNumId="2" w15:restartNumberingAfterBreak="0">
    <w:nsid w:val="6E4D52D9"/>
    <w:multiLevelType w:val="hybridMultilevel"/>
    <w:tmpl w:val="D51087CE"/>
    <w:lvl w:ilvl="0" w:tplc="796EF6C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23653">
    <w:abstractNumId w:val="0"/>
  </w:num>
  <w:num w:numId="2" w16cid:durableId="573398784">
    <w:abstractNumId w:val="1"/>
  </w:num>
  <w:num w:numId="3" w16cid:durableId="649022127">
    <w:abstractNumId w:val="1"/>
    <w:lvlOverride w:ilvl="0">
      <w:lvl w:ilvl="0" w:tplc="26E4784C">
        <w:start w:val="1"/>
        <w:numFmt w:val="decimal"/>
        <w:lvlText w:val="(%1)"/>
        <w:lvlJc w:val="left"/>
        <w:pPr>
          <w:ind w:left="13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07AAA46">
        <w:start w:val="1"/>
        <w:numFmt w:val="lowerLetter"/>
        <w:lvlText w:val="%2."/>
        <w:lvlJc w:val="left"/>
        <w:pPr>
          <w:ind w:left="20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0366D2C">
        <w:start w:val="1"/>
        <w:numFmt w:val="lowerRoman"/>
        <w:lvlText w:val="%3."/>
        <w:lvlJc w:val="left"/>
        <w:pPr>
          <w:ind w:left="279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AEAEEA2">
        <w:start w:val="1"/>
        <w:numFmt w:val="decimal"/>
        <w:lvlText w:val="%4."/>
        <w:lvlJc w:val="left"/>
        <w:pPr>
          <w:ind w:left="35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1F89D00">
        <w:start w:val="1"/>
        <w:numFmt w:val="lowerLetter"/>
        <w:lvlText w:val="%5."/>
        <w:lvlJc w:val="left"/>
        <w:pPr>
          <w:ind w:left="423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CE41898">
        <w:start w:val="1"/>
        <w:numFmt w:val="lowerRoman"/>
        <w:lvlText w:val="%6."/>
        <w:lvlJc w:val="left"/>
        <w:pPr>
          <w:ind w:left="495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A685272">
        <w:start w:val="1"/>
        <w:numFmt w:val="decimal"/>
        <w:lvlText w:val="%7."/>
        <w:lvlJc w:val="left"/>
        <w:pPr>
          <w:ind w:left="56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1CC61FE">
        <w:start w:val="1"/>
        <w:numFmt w:val="lowerLetter"/>
        <w:lvlText w:val="%8."/>
        <w:lvlJc w:val="left"/>
        <w:pPr>
          <w:ind w:left="639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2B41582">
        <w:start w:val="1"/>
        <w:numFmt w:val="lowerRoman"/>
        <w:lvlText w:val="%9."/>
        <w:lvlJc w:val="left"/>
        <w:pPr>
          <w:ind w:left="711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937444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A2"/>
    <w:rsid w:val="0002144F"/>
    <w:rsid w:val="00052A82"/>
    <w:rsid w:val="00094B01"/>
    <w:rsid w:val="00096827"/>
    <w:rsid w:val="000D4443"/>
    <w:rsid w:val="001013AD"/>
    <w:rsid w:val="00102CC2"/>
    <w:rsid w:val="0017267F"/>
    <w:rsid w:val="0025086B"/>
    <w:rsid w:val="00264A9D"/>
    <w:rsid w:val="00285758"/>
    <w:rsid w:val="003271B9"/>
    <w:rsid w:val="003559A2"/>
    <w:rsid w:val="003E3D5D"/>
    <w:rsid w:val="003F76E4"/>
    <w:rsid w:val="00464B56"/>
    <w:rsid w:val="0047274F"/>
    <w:rsid w:val="00491340"/>
    <w:rsid w:val="004C6C5E"/>
    <w:rsid w:val="004E7010"/>
    <w:rsid w:val="005012CB"/>
    <w:rsid w:val="0050328F"/>
    <w:rsid w:val="00536AD0"/>
    <w:rsid w:val="00577F59"/>
    <w:rsid w:val="005B26EC"/>
    <w:rsid w:val="005C3953"/>
    <w:rsid w:val="00617820"/>
    <w:rsid w:val="00714DA9"/>
    <w:rsid w:val="00767E09"/>
    <w:rsid w:val="00791222"/>
    <w:rsid w:val="007C652E"/>
    <w:rsid w:val="00895D77"/>
    <w:rsid w:val="008C6B07"/>
    <w:rsid w:val="00934522"/>
    <w:rsid w:val="009457E4"/>
    <w:rsid w:val="00954F73"/>
    <w:rsid w:val="009E53A7"/>
    <w:rsid w:val="00A07DA7"/>
    <w:rsid w:val="00A4185C"/>
    <w:rsid w:val="00A55B2D"/>
    <w:rsid w:val="00A86BE3"/>
    <w:rsid w:val="00AD7FDC"/>
    <w:rsid w:val="00B26A96"/>
    <w:rsid w:val="00B32BE0"/>
    <w:rsid w:val="00CB7461"/>
    <w:rsid w:val="00D06CA8"/>
    <w:rsid w:val="00D53A09"/>
    <w:rsid w:val="00DF6CBC"/>
    <w:rsid w:val="00E024A2"/>
    <w:rsid w:val="00E41227"/>
    <w:rsid w:val="00E5175F"/>
    <w:rsid w:val="00EC5B19"/>
    <w:rsid w:val="00EC73A2"/>
    <w:rsid w:val="00FA31DE"/>
    <w:rsid w:val="00FF1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35DC6"/>
  <w15:docId w15:val="{3A1418AC-21CF-466C-B02D-EEA54842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BodyA">
    <w:name w:val="Body A"/>
    <w:pPr>
      <w:widowControl w:val="0"/>
    </w:pPr>
    <w:rPr>
      <w:rFonts w:cs="Arial Unicode MS"/>
      <w:color w:val="000000"/>
      <w:sz w:val="22"/>
      <w:szCs w:val="22"/>
      <w:u w:color="000000"/>
      <w:lang w:val="da-DK"/>
      <w14:textOutline w14:w="12700" w14:cap="flat" w14:cmpd="sng" w14:algn="ctr">
        <w14:noFill/>
        <w14:prstDash w14:val="solid"/>
        <w14:miter w14:lim="400000"/>
      </w14:textOutline>
    </w:rPr>
  </w:style>
  <w:style w:type="paragraph" w:styleId="BodyText">
    <w:name w:val="Body Text"/>
    <w:pPr>
      <w:widowControl w:val="0"/>
      <w:ind w:left="140"/>
    </w:pPr>
    <w:rPr>
      <w:rFonts w:cs="Arial Unicode MS"/>
      <w:color w:val="000000"/>
      <w:sz w:val="24"/>
      <w:szCs w:val="24"/>
      <w:u w:color="000000"/>
    </w:rPr>
  </w:style>
  <w:style w:type="character" w:customStyle="1" w:styleId="NoneA">
    <w:name w:val="None A"/>
  </w:style>
  <w:style w:type="character" w:customStyle="1" w:styleId="None">
    <w:name w:val="None"/>
  </w:style>
  <w:style w:type="character" w:customStyle="1" w:styleId="Hyperlink0">
    <w:name w:val="Hyperlink.0"/>
    <w:basedOn w:val="None"/>
    <w:rPr>
      <w:outline w:val="0"/>
      <w:color w:val="0000FF"/>
      <w:u w:val="single" w:color="0000FF"/>
      <w:shd w:val="clear" w:color="auto" w:fill="00FF00"/>
    </w:rPr>
  </w:style>
  <w:style w:type="paragraph" w:customStyle="1" w:styleId="Heading">
    <w:name w:val="Heading"/>
    <w:pPr>
      <w:widowControl w:val="0"/>
      <w:ind w:left="861"/>
      <w:outlineLvl w:val="0"/>
    </w:pPr>
    <w:rPr>
      <w:rFonts w:cs="Arial Unicode MS"/>
      <w:b/>
      <w:bCs/>
      <w:color w:val="000000"/>
      <w:sz w:val="24"/>
      <w:szCs w:val="24"/>
      <w:u w:val="single" w:color="000000"/>
      <w14:textOutline w14:w="12700" w14:cap="flat" w14:cmpd="sng" w14:algn="ctr">
        <w14:noFill/>
        <w14:prstDash w14:val="solid"/>
        <w14:miter w14:lim="400000"/>
      </w14:textOutline>
    </w:rPr>
  </w:style>
  <w:style w:type="paragraph" w:styleId="NormalWeb">
    <w:name w:val="Normal (Web)"/>
    <w:pPr>
      <w:spacing w:before="100" w:after="100"/>
    </w:pPr>
    <w:rPr>
      <w:rFonts w:cs="Arial Unicode MS"/>
      <w:color w:val="000000"/>
      <w:sz w:val="24"/>
      <w:szCs w:val="24"/>
      <w:u w:color="000000"/>
    </w:rPr>
  </w:style>
  <w:style w:type="numbering" w:customStyle="1" w:styleId="ImportedStyle1">
    <w:name w:val="Imported Style 1"/>
    <w:pPr>
      <w:numPr>
        <w:numId w:val="1"/>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character" w:customStyle="1" w:styleId="Hyperlink1">
    <w:name w:val="Hyperlink.1"/>
    <w:basedOn w:val="None"/>
    <w:rPr>
      <w:outline w:val="0"/>
      <w:color w:val="0000FF"/>
      <w:u w:val="single" w:color="0000FF"/>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eastAsia="en-US"/>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06CA8"/>
    <w:pPr>
      <w:tabs>
        <w:tab w:val="center" w:pos="4680"/>
        <w:tab w:val="right" w:pos="9360"/>
      </w:tabs>
    </w:pPr>
  </w:style>
  <w:style w:type="character" w:customStyle="1" w:styleId="HeaderChar">
    <w:name w:val="Header Char"/>
    <w:basedOn w:val="DefaultParagraphFont"/>
    <w:link w:val="Header"/>
    <w:uiPriority w:val="99"/>
    <w:rsid w:val="00D06CA8"/>
    <w:rPr>
      <w:sz w:val="24"/>
      <w:szCs w:val="24"/>
      <w:lang w:eastAsia="en-US"/>
    </w:rPr>
  </w:style>
  <w:style w:type="paragraph" w:styleId="Footer">
    <w:name w:val="footer"/>
    <w:basedOn w:val="Normal"/>
    <w:link w:val="FooterChar"/>
    <w:uiPriority w:val="99"/>
    <w:unhideWhenUsed/>
    <w:rsid w:val="00D06CA8"/>
    <w:pPr>
      <w:tabs>
        <w:tab w:val="center" w:pos="4680"/>
        <w:tab w:val="right" w:pos="9360"/>
      </w:tabs>
    </w:pPr>
  </w:style>
  <w:style w:type="character" w:customStyle="1" w:styleId="FooterChar">
    <w:name w:val="Footer Char"/>
    <w:basedOn w:val="DefaultParagraphFont"/>
    <w:link w:val="Footer"/>
    <w:uiPriority w:val="99"/>
    <w:rsid w:val="00D06CA8"/>
    <w:rPr>
      <w:sz w:val="24"/>
      <w:szCs w:val="24"/>
      <w:lang w:eastAsia="en-US"/>
    </w:rPr>
  </w:style>
  <w:style w:type="character" w:styleId="UnresolvedMention">
    <w:name w:val="Unresolved Mention"/>
    <w:basedOn w:val="DefaultParagraphFont"/>
    <w:uiPriority w:val="99"/>
    <w:semiHidden/>
    <w:unhideWhenUsed/>
    <w:rsid w:val="00503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516935">
      <w:bodyDiv w:val="1"/>
      <w:marLeft w:val="0"/>
      <w:marRight w:val="0"/>
      <w:marTop w:val="0"/>
      <w:marBottom w:val="0"/>
      <w:divBdr>
        <w:top w:val="none" w:sz="0" w:space="0" w:color="auto"/>
        <w:left w:val="none" w:sz="0" w:space="0" w:color="auto"/>
        <w:bottom w:val="none" w:sz="0" w:space="0" w:color="auto"/>
        <w:right w:val="none" w:sz="0" w:space="0" w:color="auto"/>
      </w:divBdr>
      <w:divsChild>
        <w:div w:id="564612849">
          <w:marLeft w:val="0"/>
          <w:marRight w:val="0"/>
          <w:marTop w:val="0"/>
          <w:marBottom w:val="0"/>
          <w:divBdr>
            <w:top w:val="none" w:sz="0" w:space="0" w:color="auto"/>
            <w:left w:val="none" w:sz="0" w:space="0" w:color="auto"/>
            <w:bottom w:val="none" w:sz="0" w:space="0" w:color="auto"/>
            <w:right w:val="none" w:sz="0" w:space="0" w:color="auto"/>
          </w:divBdr>
          <w:divsChild>
            <w:div w:id="165302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6216">
      <w:bodyDiv w:val="1"/>
      <w:marLeft w:val="0"/>
      <w:marRight w:val="0"/>
      <w:marTop w:val="0"/>
      <w:marBottom w:val="0"/>
      <w:divBdr>
        <w:top w:val="none" w:sz="0" w:space="0" w:color="auto"/>
        <w:left w:val="none" w:sz="0" w:space="0" w:color="auto"/>
        <w:bottom w:val="none" w:sz="0" w:space="0" w:color="auto"/>
        <w:right w:val="none" w:sz="0" w:space="0" w:color="auto"/>
      </w:divBdr>
      <w:divsChild>
        <w:div w:id="614870027">
          <w:marLeft w:val="0"/>
          <w:marRight w:val="0"/>
          <w:marTop w:val="0"/>
          <w:marBottom w:val="0"/>
          <w:divBdr>
            <w:top w:val="none" w:sz="0" w:space="0" w:color="auto"/>
            <w:left w:val="none" w:sz="0" w:space="0" w:color="auto"/>
            <w:bottom w:val="none" w:sz="0" w:space="0" w:color="auto"/>
            <w:right w:val="none" w:sz="0" w:space="0" w:color="auto"/>
          </w:divBdr>
          <w:divsChild>
            <w:div w:id="5291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11712">
      <w:bodyDiv w:val="1"/>
      <w:marLeft w:val="0"/>
      <w:marRight w:val="0"/>
      <w:marTop w:val="0"/>
      <w:marBottom w:val="0"/>
      <w:divBdr>
        <w:top w:val="none" w:sz="0" w:space="0" w:color="auto"/>
        <w:left w:val="none" w:sz="0" w:space="0" w:color="auto"/>
        <w:bottom w:val="none" w:sz="0" w:space="0" w:color="auto"/>
        <w:right w:val="none" w:sz="0" w:space="0" w:color="auto"/>
      </w:divBdr>
      <w:divsChild>
        <w:div w:id="2028750264">
          <w:marLeft w:val="0"/>
          <w:marRight w:val="0"/>
          <w:marTop w:val="0"/>
          <w:marBottom w:val="0"/>
          <w:divBdr>
            <w:top w:val="none" w:sz="0" w:space="0" w:color="auto"/>
            <w:left w:val="none" w:sz="0" w:space="0" w:color="auto"/>
            <w:bottom w:val="none" w:sz="0" w:space="0" w:color="auto"/>
            <w:right w:val="none" w:sz="0" w:space="0" w:color="auto"/>
          </w:divBdr>
          <w:divsChild>
            <w:div w:id="16937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4763">
      <w:bodyDiv w:val="1"/>
      <w:marLeft w:val="0"/>
      <w:marRight w:val="0"/>
      <w:marTop w:val="0"/>
      <w:marBottom w:val="0"/>
      <w:divBdr>
        <w:top w:val="none" w:sz="0" w:space="0" w:color="auto"/>
        <w:left w:val="none" w:sz="0" w:space="0" w:color="auto"/>
        <w:bottom w:val="none" w:sz="0" w:space="0" w:color="auto"/>
        <w:right w:val="none" w:sz="0" w:space="0" w:color="auto"/>
      </w:divBdr>
      <w:divsChild>
        <w:div w:id="584657020">
          <w:marLeft w:val="0"/>
          <w:marRight w:val="0"/>
          <w:marTop w:val="0"/>
          <w:marBottom w:val="0"/>
          <w:divBdr>
            <w:top w:val="none" w:sz="0" w:space="0" w:color="auto"/>
            <w:left w:val="none" w:sz="0" w:space="0" w:color="auto"/>
            <w:bottom w:val="none" w:sz="0" w:space="0" w:color="auto"/>
            <w:right w:val="none" w:sz="0" w:space="0" w:color="auto"/>
          </w:divBdr>
          <w:divsChild>
            <w:div w:id="13673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6194">
      <w:bodyDiv w:val="1"/>
      <w:marLeft w:val="0"/>
      <w:marRight w:val="0"/>
      <w:marTop w:val="0"/>
      <w:marBottom w:val="0"/>
      <w:divBdr>
        <w:top w:val="none" w:sz="0" w:space="0" w:color="auto"/>
        <w:left w:val="none" w:sz="0" w:space="0" w:color="auto"/>
        <w:bottom w:val="none" w:sz="0" w:space="0" w:color="auto"/>
        <w:right w:val="none" w:sz="0" w:space="0" w:color="auto"/>
      </w:divBdr>
      <w:divsChild>
        <w:div w:id="341667724">
          <w:marLeft w:val="0"/>
          <w:marRight w:val="0"/>
          <w:marTop w:val="0"/>
          <w:marBottom w:val="0"/>
          <w:divBdr>
            <w:top w:val="none" w:sz="0" w:space="0" w:color="auto"/>
            <w:left w:val="none" w:sz="0" w:space="0" w:color="auto"/>
            <w:bottom w:val="none" w:sz="0" w:space="0" w:color="auto"/>
            <w:right w:val="none" w:sz="0" w:space="0" w:color="auto"/>
          </w:divBdr>
          <w:divsChild>
            <w:div w:id="13175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5620">
      <w:bodyDiv w:val="1"/>
      <w:marLeft w:val="0"/>
      <w:marRight w:val="0"/>
      <w:marTop w:val="0"/>
      <w:marBottom w:val="0"/>
      <w:divBdr>
        <w:top w:val="none" w:sz="0" w:space="0" w:color="auto"/>
        <w:left w:val="none" w:sz="0" w:space="0" w:color="auto"/>
        <w:bottom w:val="none" w:sz="0" w:space="0" w:color="auto"/>
        <w:right w:val="none" w:sz="0" w:space="0" w:color="auto"/>
      </w:divBdr>
      <w:divsChild>
        <w:div w:id="495001358">
          <w:marLeft w:val="0"/>
          <w:marRight w:val="0"/>
          <w:marTop w:val="0"/>
          <w:marBottom w:val="0"/>
          <w:divBdr>
            <w:top w:val="none" w:sz="0" w:space="0" w:color="auto"/>
            <w:left w:val="none" w:sz="0" w:space="0" w:color="auto"/>
            <w:bottom w:val="none" w:sz="0" w:space="0" w:color="auto"/>
            <w:right w:val="none" w:sz="0" w:space="0" w:color="auto"/>
          </w:divBdr>
          <w:divsChild>
            <w:div w:id="19062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setext.com/case/application-of-ei-dupont-denemours-amp-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DB243</cp:lastModifiedBy>
  <cp:revision>7</cp:revision>
  <dcterms:created xsi:type="dcterms:W3CDTF">2025-03-12T19:18:00Z</dcterms:created>
  <dcterms:modified xsi:type="dcterms:W3CDTF">2025-03-12T22:50:00Z</dcterms:modified>
</cp:coreProperties>
</file>