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2D61" w14:textId="77777777" w:rsidR="003559A2" w:rsidRPr="00102CC2" w:rsidRDefault="00000000">
      <w:pPr>
        <w:pStyle w:val="BodyA"/>
        <w:spacing w:before="62"/>
        <w:jc w:val="center"/>
        <w:rPr>
          <w:rFonts w:cs="Times New Roman"/>
          <w:b/>
          <w:bCs/>
          <w:color w:val="000000" w:themeColor="text1"/>
          <w:sz w:val="24"/>
          <w:szCs w:val="24"/>
          <w:lang w:val="en-US"/>
        </w:rPr>
      </w:pPr>
      <w:r w:rsidRPr="00102CC2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IN THE UNITED STATES PATENT AND TRADEMARK OFFICE</w:t>
      </w:r>
    </w:p>
    <w:p w14:paraId="2D00AD73" w14:textId="77777777" w:rsidR="000D4443" w:rsidRPr="00102CC2" w:rsidRDefault="000D4443">
      <w:pPr>
        <w:pStyle w:val="BodyText"/>
        <w:spacing w:before="4"/>
        <w:ind w:left="0"/>
        <w:rPr>
          <w:rFonts w:cs="Times New Roman"/>
          <w:b/>
          <w:bCs/>
          <w:color w:val="000000" w:themeColor="text1"/>
        </w:rPr>
      </w:pPr>
    </w:p>
    <w:p w14:paraId="73893384" w14:textId="77777777" w:rsidR="005B26EC" w:rsidRPr="00102CC2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[USPTO Examining Attorney] </w:t>
      </w:r>
    </w:p>
    <w:p w14:paraId="718A33A7" w14:textId="77777777" w:rsidR="005B26EC" w:rsidRPr="00102CC2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[Law Office Assigned] </w:t>
      </w:r>
    </w:p>
    <w:p w14:paraId="45C791CA" w14:textId="77777777" w:rsidR="00B32BE0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[USPTO Examining Attorney’s Phone Number] </w:t>
      </w:r>
    </w:p>
    <w:p w14:paraId="4C408358" w14:textId="22EEFF5F" w:rsidR="003559A2" w:rsidRPr="00102CC2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[USPTO Examining Attorney’s Email]</w:t>
      </w:r>
    </w:p>
    <w:p w14:paraId="2E682045" w14:textId="77777777" w:rsidR="00B32BE0" w:rsidRDefault="00B32BE0" w:rsidP="00B32BE0">
      <w:pPr>
        <w:pStyle w:val="BodyText"/>
        <w:tabs>
          <w:tab w:val="left" w:pos="860"/>
          <w:tab w:val="left" w:pos="3021"/>
        </w:tabs>
        <w:spacing w:before="90" w:line="275" w:lineRule="exact"/>
        <w:ind w:left="0"/>
        <w:rPr>
          <w:rStyle w:val="NoneA"/>
          <w:rFonts w:cs="Times New Roman"/>
          <w:color w:val="000000" w:themeColor="text1"/>
        </w:rPr>
      </w:pPr>
    </w:p>
    <w:p w14:paraId="61FB9352" w14:textId="1430C7A7" w:rsidR="003559A2" w:rsidRPr="00102CC2" w:rsidRDefault="00000000" w:rsidP="00B32BE0">
      <w:pPr>
        <w:pStyle w:val="BodyText"/>
        <w:tabs>
          <w:tab w:val="left" w:pos="860"/>
          <w:tab w:val="left" w:pos="3021"/>
        </w:tabs>
        <w:spacing w:before="90" w:line="275" w:lineRule="exact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RE:</w:t>
      </w:r>
      <w:r w:rsidRPr="00102CC2">
        <w:rPr>
          <w:rStyle w:val="NoneA"/>
          <w:rFonts w:cs="Times New Roman"/>
          <w:color w:val="000000" w:themeColor="text1"/>
        </w:rPr>
        <w:tab/>
        <w:t>Serial</w:t>
      </w:r>
      <w:r w:rsidRPr="00102CC2">
        <w:rPr>
          <w:rStyle w:val="None"/>
          <w:rFonts w:cs="Times New Roman"/>
          <w:color w:val="000000" w:themeColor="text1"/>
        </w:rPr>
        <w:t xml:space="preserve"> </w:t>
      </w:r>
      <w:r w:rsidRPr="00102CC2">
        <w:rPr>
          <w:rStyle w:val="NoneA"/>
          <w:rFonts w:cs="Times New Roman"/>
          <w:color w:val="000000" w:themeColor="text1"/>
        </w:rPr>
        <w:t>No.: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[Application Serial Number]</w:t>
      </w:r>
    </w:p>
    <w:p w14:paraId="0B4F8E27" w14:textId="53E9DB26" w:rsidR="003559A2" w:rsidRPr="00102CC2" w:rsidRDefault="00000000">
      <w:pPr>
        <w:pStyle w:val="BodyText"/>
        <w:tabs>
          <w:tab w:val="left" w:pos="860"/>
          <w:tab w:val="left" w:pos="3021"/>
        </w:tabs>
        <w:spacing w:before="90" w:line="275" w:lineRule="exact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  <w:t>Mark: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[Applicant’s Mark]</w:t>
      </w:r>
    </w:p>
    <w:p w14:paraId="060D2E16" w14:textId="20069B29" w:rsidR="003559A2" w:rsidRPr="00102CC2" w:rsidRDefault="00000000">
      <w:pPr>
        <w:pStyle w:val="BodyText"/>
        <w:tabs>
          <w:tab w:val="left" w:pos="3021"/>
        </w:tabs>
        <w:spacing w:before="2" w:after="17" w:line="242" w:lineRule="auto"/>
        <w:ind w:left="861" w:right="1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Applicant: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[Applicant]</w:t>
      </w:r>
    </w:p>
    <w:p w14:paraId="42ADB325" w14:textId="67549CAC" w:rsidR="003559A2" w:rsidRPr="00102CC2" w:rsidRDefault="00000000">
      <w:pPr>
        <w:pStyle w:val="BodyText"/>
        <w:tabs>
          <w:tab w:val="left" w:pos="3021"/>
        </w:tabs>
        <w:spacing w:before="2" w:after="17" w:line="242" w:lineRule="auto"/>
        <w:ind w:left="861" w:right="163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Action</w:t>
      </w:r>
      <w:r w:rsidRPr="00102CC2">
        <w:rPr>
          <w:rStyle w:val="None"/>
          <w:rFonts w:cs="Times New Roman"/>
          <w:color w:val="000000" w:themeColor="text1"/>
        </w:rPr>
        <w:t xml:space="preserve"> </w:t>
      </w:r>
      <w:r w:rsidRPr="00102CC2">
        <w:rPr>
          <w:rStyle w:val="NoneA"/>
          <w:rFonts w:cs="Times New Roman"/>
          <w:color w:val="000000" w:themeColor="text1"/>
        </w:rPr>
        <w:t>of: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[Sent Date of Office Action]</w:t>
      </w:r>
    </w:p>
    <w:p w14:paraId="1CBE7247" w14:textId="77777777" w:rsidR="003559A2" w:rsidRPr="00102CC2" w:rsidRDefault="00000000">
      <w:pPr>
        <w:pStyle w:val="BodyText"/>
        <w:spacing w:line="30" w:lineRule="exact"/>
        <w:ind w:left="96"/>
        <w:rPr>
          <w:rStyle w:val="None"/>
          <w:rFonts w:cs="Times New Roman"/>
          <w:color w:val="000000" w:themeColor="text1"/>
        </w:rPr>
      </w:pPr>
      <w:r w:rsidRPr="00102CC2">
        <w:rPr>
          <w:rStyle w:val="None"/>
          <w:rFonts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72AA8647" wp14:editId="12EE5645">
                <wp:extent cx="5982338" cy="0"/>
                <wp:effectExtent l="0" t="0" r="0" b="0"/>
                <wp:docPr id="1073741827" name="officeArt object" descr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8" cy="0"/>
                        </a:xfrm>
                        <a:prstGeom prst="line">
                          <a:avLst/>
                        </a:pr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C2821C" id="officeArt object" o:spid="_x0000_s1026" alt="Line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" strokeweight="1.44pt">
                <w10:anchorlock/>
              </v:line>
            </w:pict>
          </mc:Fallback>
        </mc:AlternateContent>
      </w:r>
    </w:p>
    <w:p w14:paraId="5132CD7B" w14:textId="77777777" w:rsidR="003559A2" w:rsidRPr="00102CC2" w:rsidRDefault="003559A2">
      <w:pPr>
        <w:pStyle w:val="BodyText"/>
        <w:spacing w:before="1"/>
        <w:ind w:left="0"/>
        <w:rPr>
          <w:rStyle w:val="NoneA"/>
          <w:rFonts w:cs="Times New Roman"/>
          <w:color w:val="000000" w:themeColor="text1"/>
        </w:rPr>
      </w:pPr>
    </w:p>
    <w:p w14:paraId="2501D0A9" w14:textId="77777777" w:rsidR="003559A2" w:rsidRPr="00102CC2" w:rsidRDefault="00000000">
      <w:pPr>
        <w:pStyle w:val="Heading"/>
        <w:spacing w:before="90"/>
        <w:ind w:left="0"/>
        <w:jc w:val="center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b w:val="0"/>
          <w:bCs w:val="0"/>
          <w:color w:val="000000" w:themeColor="text1"/>
          <w:u w:val="thick"/>
        </w:rPr>
        <w:t xml:space="preserve"> </w:t>
      </w:r>
      <w:r w:rsidRPr="00102CC2">
        <w:rPr>
          <w:rStyle w:val="None"/>
          <w:rFonts w:cs="Times New Roman"/>
          <w:color w:val="000000" w:themeColor="text1"/>
          <w:u w:val="thick"/>
        </w:rPr>
        <w:t>APPLICANT</w:t>
      </w:r>
      <w:r w:rsidRPr="00102CC2">
        <w:rPr>
          <w:rStyle w:val="None"/>
          <w:rFonts w:cs="Times New Roman"/>
          <w:b w:val="0"/>
          <w:bCs w:val="0"/>
          <w:color w:val="000000" w:themeColor="text1"/>
          <w:u w:val="thick"/>
          <w:rtl/>
        </w:rPr>
        <w:t>’</w:t>
      </w:r>
      <w:r w:rsidRPr="00102CC2">
        <w:rPr>
          <w:rStyle w:val="None"/>
          <w:rFonts w:cs="Times New Roman"/>
          <w:color w:val="000000" w:themeColor="text1"/>
          <w:u w:val="thick"/>
        </w:rPr>
        <w:t>S RESPONSE TO OFFICE ACTION</w:t>
      </w:r>
    </w:p>
    <w:p w14:paraId="51AEA93A" w14:textId="77777777" w:rsidR="003559A2" w:rsidRPr="00102CC2" w:rsidRDefault="003559A2" w:rsidP="00264A9D">
      <w:pPr>
        <w:pStyle w:val="BodyText"/>
        <w:spacing w:before="3" w:line="360" w:lineRule="auto"/>
        <w:ind w:left="0"/>
        <w:rPr>
          <w:rStyle w:val="None"/>
          <w:rFonts w:cs="Times New Roman"/>
          <w:b/>
          <w:bCs/>
          <w:color w:val="000000" w:themeColor="text1"/>
        </w:rPr>
      </w:pPr>
    </w:p>
    <w:p w14:paraId="349EFB00" w14:textId="05B636A7" w:rsidR="003559A2" w:rsidRPr="00102CC2" w:rsidRDefault="00000000" w:rsidP="00264A9D">
      <w:pPr>
        <w:pStyle w:val="BodyText"/>
        <w:tabs>
          <w:tab w:val="left" w:pos="3021"/>
        </w:tabs>
        <w:spacing w:before="2" w:after="17" w:line="360" w:lineRule="auto"/>
        <w:ind w:left="0" w:right="10" w:firstLine="720"/>
        <w:rPr>
          <w:rFonts w:cs="Times New Roman"/>
          <w:color w:val="000000" w:themeColor="text1"/>
        </w:rPr>
      </w:pPr>
      <w:r>
        <w:rPr>
          <w:color w:val="000000"/>
        </w:rPr>
        <w:t xml:space="preserve">Applicant, </w:t>
      </w:r>
      <w:r>
        <w:t>HAYSTACK BURGERS &amp; BARLEY (hereinafter “A</w:t>
      </w:r>
      <w:r>
        <w:rPr>
          <w:color w:val="000000"/>
        </w:rPr>
        <w:t>pplicant</w:t>
      </w:r>
      <w:r>
        <w:t>”), respectfully submits the following response to the Office Action, regarding the above referenced application:</w:t>
      </w:r>
    </w:p>
    <w:p w14:paraId="520FFC2D" w14:textId="77777777" w:rsidR="003559A2" w:rsidRPr="00102CC2" w:rsidRDefault="003559A2">
      <w:pPr>
        <w:pStyle w:val="BodyText"/>
        <w:spacing w:before="4"/>
        <w:ind w:left="0"/>
        <w:rPr>
          <w:rStyle w:val="NoneA"/>
          <w:rFonts w:cs="Times New Roman"/>
          <w:color w:val="000000" w:themeColor="text1"/>
        </w:rPr>
      </w:pPr>
    </w:p>
    <w:p w14:paraId="4A4A27A2" w14:textId="77777777" w:rsidR="003559A2" w:rsidRPr="00102CC2" w:rsidRDefault="00000000">
      <w:pPr>
        <w:pStyle w:val="Heading"/>
        <w:spacing w:line="259" w:lineRule="auto"/>
        <w:ind w:left="4102" w:hanging="3539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  <w:lang w:val="de-DE"/>
        </w:rPr>
        <w:t xml:space="preserve">ARGUMENT AGAINST REFUSAL UNDER </w:t>
      </w:r>
      <w:r w:rsidRPr="00102CC2">
        <w:rPr>
          <w:rStyle w:val="None"/>
          <w:rFonts w:cs="Times New Roman"/>
          <w:color w:val="000000" w:themeColor="text1"/>
          <w:u w:val="thick"/>
        </w:rPr>
        <w:t>§ 2(d) LIKELIHOOD OF</w:t>
      </w:r>
      <w:r w:rsidRPr="00102CC2">
        <w:rPr>
          <w:rStyle w:val="None"/>
          <w:rFonts w:cs="Times New Roman"/>
          <w:color w:val="000000" w:themeColor="text1"/>
          <w:u w:val="none"/>
        </w:rPr>
        <w:t xml:space="preserve"> </w:t>
      </w:r>
      <w:r w:rsidRPr="00102CC2">
        <w:rPr>
          <w:rStyle w:val="None"/>
          <w:rFonts w:cs="Times New Roman"/>
          <w:color w:val="000000" w:themeColor="text1"/>
          <w:u w:val="thick"/>
        </w:rPr>
        <w:t>CONFUSION</w:t>
      </w:r>
    </w:p>
    <w:p w14:paraId="19DF512A" w14:textId="3597C2FB" w:rsidR="003559A2" w:rsidRPr="00102CC2" w:rsidRDefault="00000000" w:rsidP="00264A9D">
      <w:pPr>
        <w:pStyle w:val="BodyText"/>
        <w:spacing w:before="163" w:line="360" w:lineRule="auto"/>
        <w:ind w:left="0" w:right="10" w:firstLine="72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The Examining Attorney preliminarily refused registration of Applicant’s word mark because of the mark in U.S. Registration No. </w:t>
      </w:r>
      <w:r w:rsidRPr="00102CC2">
        <w:rPr>
          <w:rStyle w:val="None"/>
          <w:rFonts w:cs="Times New Roman"/>
          <w:color w:val="000000" w:themeColor="text1"/>
          <w:u w:color="FF0000"/>
        </w:rPr>
        <w:t xml:space="preserve">[U.S. Registration No.]. </w:t>
      </w:r>
    </w:p>
    <w:tbl>
      <w:tblPr>
        <w:tblW w:w="945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84"/>
        <w:gridCol w:w="2899"/>
        <w:gridCol w:w="4267"/>
      </w:tblGrid>
      <w:tr w:rsidR="00094B01" w:rsidRPr="00102CC2" w14:paraId="6192BB23" w14:textId="77777777" w:rsidTr="00264A9D">
        <w:trPr>
          <w:trHeight w:val="370"/>
        </w:trPr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6D89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D9DD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Our mark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DCDB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The mark cited by the examiner</w:t>
            </w:r>
          </w:p>
        </w:tc>
      </w:tr>
      <w:tr w:rsidR="00094B01" w:rsidRPr="00102CC2" w14:paraId="7CE44717" w14:textId="77777777" w:rsidTr="00264A9D">
        <w:trPr>
          <w:trHeight w:val="2368"/>
        </w:trPr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2180A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Mark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D3DFB" w14:textId="102132AF" w:rsidR="003559A2" w:rsidRPr="00102CC2" w:rsidRDefault="0049134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t>HAYSTACK BURGERS &amp; BARLEY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BAE3" w14:textId="19F00A30" w:rsidR="003559A2" w:rsidRPr="00714DA9" w:rsidRDefault="00714DA9" w:rsidP="00714DA9">
            <w:pPr>
              <w:pStyle w:val="BodyA"/>
              <w:rPr>
                <w:color w:val="000000" w:themeColor="text1"/>
                <w:u w:color="FF0000"/>
              </w:rPr>
            </w:pPr>
            <w:r>
              <w:t>BURGERS</w:t>
            </w:r>
            <w:r>
              <w:rPr>
                <w:color w:val="000000"/>
                <w:sz w:val="24"/>
              </w:rPr>
              <w:t xml:space="preserve"> </w:t>
            </w:r>
            <w:r>
              <w:t xml:space="preserve">&amp; BARLEY </w:t>
            </w:r>
          </w:p>
        </w:tc>
      </w:tr>
      <w:tr w:rsidR="00094B01" w:rsidRPr="00102CC2" w14:paraId="646E67BB" w14:textId="77777777" w:rsidTr="00264A9D">
        <w:trPr>
          <w:trHeight w:val="2770"/>
        </w:trPr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3923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Goods/Services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527F" w14:textId="77777777" w:rsidR="00714DA9" w:rsidRPr="00714DA9" w:rsidRDefault="00491340" w:rsidP="00714DA9">
            <w:pPr>
              <w:pStyle w:val="BodyA"/>
              <w:rPr>
                <w:color w:val="000000" w:themeColor="text1"/>
                <w:u w:color="FF0000"/>
                <w:lang w:val="en-US"/>
              </w:rPr>
            </w:pPr>
            <w:r>
              <w:rPr>
                <w:rStyle w:val="None"/>
                <w:rFonts w:cs="Times New Roman"/>
                <w:color w:val="000000" w:themeColor="text1"/>
                <w:u w:color="FF0000"/>
              </w:rPr>
              <w:t>{{</w:t>
            </w:r>
            <w:r w:rsidR="00714DA9" w:rsidRPr="00714DA9">
              <w:rPr>
                <w:color w:val="000000" w:themeColor="text1"/>
                <w:u w:color="FF0000"/>
                <w:lang w:val="en-US"/>
              </w:rPr>
              <w:t>applicant_mark_goods_and_services</w:t>
            </w:r>
          </w:p>
          <w:p w14:paraId="4334AB94" w14:textId="16A5A95B" w:rsidR="003559A2" w:rsidRPr="00102CC2" w:rsidRDefault="0049134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Style w:val="None"/>
                <w:rFonts w:cs="Times New Roman"/>
                <w:color w:val="000000" w:themeColor="text1"/>
                <w:u w:color="FF0000"/>
              </w:rPr>
              <w:t>}}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8BB5" w14:textId="03C71CB1" w:rsidR="003559A2" w:rsidRPr="00102CC2" w:rsidRDefault="00714DA9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t>re</w:t>
            </w:r>
            <w:r>
              <w:rPr>
                <w:color w:val="000000"/>
                <w:sz w:val="24"/>
              </w:rPr>
              <w:t>s</w:t>
            </w:r>
            <w:r>
              <w:t>taurant and bar services focused on burgers and barley-related drinks</w:t>
            </w:r>
          </w:p>
        </w:tc>
      </w:tr>
    </w:tbl>
    <w:p w14:paraId="65A06BC6" w14:textId="5518FC90" w:rsidR="003559A2" w:rsidRPr="00102CC2" w:rsidRDefault="00E024A2" w:rsidP="00264A9D">
      <w:pPr>
        <w:pStyle w:val="Heading"/>
        <w:spacing w:before="162"/>
        <w:ind w:left="140" w:hanging="140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</w:rPr>
        <w:lastRenderedPageBreak/>
        <w:t>Legal Standard</w:t>
      </w:r>
    </w:p>
    <w:p w14:paraId="56536C56" w14:textId="77777777" w:rsidR="003559A2" w:rsidRPr="00102CC2" w:rsidRDefault="003559A2">
      <w:pPr>
        <w:pStyle w:val="BodyText"/>
        <w:spacing w:before="10"/>
        <w:ind w:left="0"/>
        <w:rPr>
          <w:rStyle w:val="None"/>
          <w:rFonts w:cs="Times New Roman"/>
          <w:b/>
          <w:bCs/>
          <w:color w:val="000000" w:themeColor="text1"/>
        </w:rPr>
      </w:pPr>
    </w:p>
    <w:p w14:paraId="4872BCB4" w14:textId="77777777" w:rsidR="00D06CA8" w:rsidRPr="00102CC2" w:rsidRDefault="00D06CA8" w:rsidP="00767E09">
      <w:pPr>
        <w:pStyle w:val="BodyA"/>
        <w:spacing w:line="360" w:lineRule="auto"/>
        <w:ind w:firstLine="720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likelihood of confusion between two marks under Section 2 of the Lanham Act, 15</w:t>
      </w:r>
    </w:p>
    <w:p w14:paraId="67DDAB19" w14:textId="77777777" w:rsidR="00D06CA8" w:rsidRPr="00102CC2" w:rsidRDefault="00D06CA8" w:rsidP="00D06CA8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U.S.C. § 1052, is determined on a case by case basis, aided by the </w:t>
      </w:r>
      <w:r w:rsidRPr="00102CC2">
        <w:rPr>
          <w:rStyle w:val="None"/>
          <w:rFonts w:cs="Times New Roman"/>
          <w:i/>
          <w:iCs/>
          <w:color w:val="000000" w:themeColor="text1"/>
          <w:sz w:val="24"/>
          <w:szCs w:val="24"/>
        </w:rPr>
        <w:t>Du Pont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factors. The thirteen factors set forth in </w:t>
      </w:r>
      <w:r w:rsidRPr="00102CC2">
        <w:rPr>
          <w:rStyle w:val="None"/>
          <w:rFonts w:cs="Times New Roman"/>
          <w:i/>
          <w:iCs/>
          <w:color w:val="000000" w:themeColor="text1"/>
          <w:sz w:val="24"/>
          <w:szCs w:val="24"/>
        </w:rPr>
        <w:t>DuPont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are used to determine a likelihood of confusion between two marks, where available. These factors are:</w:t>
      </w:r>
    </w:p>
    <w:p w14:paraId="6202A65E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similarity or dissimilarity of the marks in their entireties as to appearance, sound, connotation and commercial impression.</w:t>
      </w:r>
    </w:p>
    <w:p w14:paraId="1C273E4C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similarity or dissimilarity and nature of the goods or services as described in an application or registration or in connection with which a prior mark is in use.</w:t>
      </w:r>
    </w:p>
    <w:p w14:paraId="1DEFBA42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similarity or dissimilarity of established, likely-to-continue trade channels.</w:t>
      </w:r>
    </w:p>
    <w:p w14:paraId="6D80C222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conditions under which and buyers to whom sales are made, i. e. “impulse” vs. careful, sophisticated purchasing.</w:t>
      </w:r>
    </w:p>
    <w:p w14:paraId="7ED12380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fame of the prior mark (sales, advertising, length of use).</w:t>
      </w:r>
    </w:p>
    <w:p w14:paraId="130B191A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number and nature of similar marks in use on similar goods.</w:t>
      </w:r>
    </w:p>
    <w:p w14:paraId="482A1121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nature and extent of any actual confusion.</w:t>
      </w:r>
    </w:p>
    <w:p w14:paraId="5777BE59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length of time during and conditions under which there has been concurrent use without evidence of actual confusion.</w:t>
      </w:r>
    </w:p>
    <w:p w14:paraId="0E7831D4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variety of goods on which a mark is or is not used (house mark, “family” mark, product mark).</w:t>
      </w:r>
    </w:p>
    <w:p w14:paraId="4236F408" w14:textId="1E8975C1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market interface between applicant and the owner of a prior mark.</w:t>
      </w:r>
    </w:p>
    <w:p w14:paraId="2F87ADAB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extent to which applicant has a right to exclude others from use of its mark on its goods.</w:t>
      </w:r>
    </w:p>
    <w:p w14:paraId="3691869E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extent of potential confusion, i. e., whether de minimis or substantial.</w:t>
      </w:r>
    </w:p>
    <w:p w14:paraId="667B98C4" w14:textId="44D19016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Any other established fact probative of the effect of use.</w:t>
      </w:r>
    </w:p>
    <w:p w14:paraId="08553B43" w14:textId="4ED26F22" w:rsidR="00D06CA8" w:rsidRPr="00102CC2" w:rsidRDefault="00D06CA8" w:rsidP="00895D77">
      <w:pPr>
        <w:pStyle w:val="BodyA"/>
        <w:spacing w:line="360" w:lineRule="auto"/>
        <w:ind w:firstLine="360"/>
        <w:rPr>
          <w:rStyle w:val="None"/>
          <w:rFonts w:cs="Times New Roman"/>
          <w:color w:val="000000" w:themeColor="text1"/>
          <w:sz w:val="24"/>
          <w:szCs w:val="24"/>
        </w:rPr>
      </w:pPr>
      <w:hyperlink r:id="rId7" w:history="1">
        <w:r w:rsidRPr="0050328F">
          <w:rPr>
            <w:rStyle w:val="Hyperlink"/>
            <w:rFonts w:cs="Times New Roman"/>
            <w:i/>
            <w:iCs/>
            <w:sz w:val="24"/>
            <w:szCs w:val="24"/>
          </w:rPr>
          <w:t>Application of E. I. DuPont DeNemours &amp; Co.</w:t>
        </w:r>
        <w:r w:rsidRPr="0050328F">
          <w:rPr>
            <w:rStyle w:val="Hyperlink"/>
            <w:rFonts w:cs="Times New Roman"/>
            <w:sz w:val="24"/>
            <w:szCs w:val="24"/>
          </w:rPr>
          <w:t>, 476 F.2d 1357, 1361</w:t>
        </w:r>
      </w:hyperlink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(C.C.P.A. 1973).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ab/>
      </w:r>
    </w:p>
    <w:p w14:paraId="228FF99F" w14:textId="77777777" w:rsidR="00D06CA8" w:rsidRPr="00102CC2" w:rsidRDefault="00D06CA8" w:rsidP="00D06CA8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</w:p>
    <w:p w14:paraId="63B79627" w14:textId="0B7A2A3F" w:rsidR="00E024A2" w:rsidRPr="00102CC2" w:rsidRDefault="00E024A2" w:rsidP="00264A9D">
      <w:pPr>
        <w:pStyle w:val="Heading"/>
        <w:spacing w:before="162"/>
        <w:ind w:left="140" w:hanging="140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</w:rPr>
        <w:t>Arguments</w:t>
      </w:r>
    </w:p>
    <w:p w14:paraId="068627F5" w14:textId="77777777" w:rsidR="00E024A2" w:rsidRPr="00102CC2" w:rsidRDefault="00E024A2" w:rsidP="00D06CA8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</w:p>
    <w:p w14:paraId="737D03BB" w14:textId="212A6C69" w:rsidR="003559A2" w:rsidRPr="00102CC2" w:rsidRDefault="00000000" w:rsidP="00EC73A2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b/>
          <w:color w:val="000000"/>
          <w:sz w:val="24"/>
        </w:rPr>
        <w:t>A.</w:t>
      </w:r>
      <w:r>
        <w:rPr>
          <w:color w:val="000000"/>
          <w:sz w:val="24"/>
        </w:rPr>
        <w:t xml:space="preserve"> </w:t>
      </w:r>
      <w:r>
        <w:t>The dissimilarity of the marks in their entireties as to appearance, sound, connotation and commercial impression</w:t>
      </w:r>
    </w:p>
    <w:p w14:paraId="4EDC214E" w14:textId="27AF2118" w:rsidR="00536AD0" w:rsidRPr="00102CC2" w:rsidRDefault="00536AD0" w:rsidP="00536AD0">
      <w:pPr>
        <w:spacing w:line="360" w:lineRule="auto"/>
        <w:ind w:firstLine="720"/>
        <w:rPr>
          <w:rStyle w:val="NoneA"/>
          <w:color w:val="000000" w:themeColor="text1"/>
          <w:lang w:eastAsia="zh-CN"/>
        </w:rPr>
      </w:pPr>
    </w:p>
    <w:p w14:paraId="6DF69D5A" w14:textId="2AB6D012" w:rsidR="00536AD0" w:rsidRPr="00102CC2" w:rsidRDefault="00464B56" w:rsidP="00536AD0">
      <w:pPr>
        <w:spacing w:line="360" w:lineRule="auto"/>
        <w:ind w:firstLine="720"/>
        <w:rPr>
          <w:rStyle w:val="NoneA"/>
          <w:color w:val="000000" w:themeColor="text1"/>
          <w:lang w:eastAsia="zh-CN"/>
        </w:rPr>
      </w:pPr>
      <w:r>
        <w:t>When examining the trademarks "HAYSTACK BURGERS &amp; BARLEY" and "BURGERS &amp; BARLEY," a clear distinction emerges based on their overall appearance, sound, connotation, and commercial impression...</w:t>
      </w:r>
    </w:p>
    <w:p w14:paraId="2B3494B3" w14:textId="77777777" w:rsidR="005C3953" w:rsidRPr="00102CC2" w:rsidRDefault="005C3953" w:rsidP="00536AD0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  <w:shd w:val="clear" w:color="auto" w:fill="FFFF00"/>
          <w:lang w:val="en-US"/>
        </w:rPr>
      </w:pPr>
    </w:p>
    <w:p w14:paraId="4809766D" w14:textId="324D211F" w:rsidR="003559A2" w:rsidRDefault="003E3D5D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/>
          <w:sz w:val="24"/>
        </w:rPr>
        <w:t xml:space="preserve">B. </w:t>
      </w:r>
      <w:r>
        <w:t>The dissimilarity and nature of the goods or services and trade channels of the two marks</w:t>
      </w:r>
    </w:p>
    <w:p w14:paraId="5F7EAA31" w14:textId="77777777" w:rsidR="003E3D5D" w:rsidRPr="00102CC2" w:rsidRDefault="003E3D5D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</w:pPr>
    </w:p>
    <w:p w14:paraId="2914E704" w14:textId="4D5F7C73" w:rsidR="000D4443" w:rsidRPr="00102CC2" w:rsidRDefault="00464B56" w:rsidP="00464B56">
      <w:pPr>
        <w:spacing w:line="360" w:lineRule="auto"/>
        <w:ind w:firstLine="720"/>
        <w:rPr>
          <w:rStyle w:val="NoneA"/>
          <w:color w:val="000000" w:themeColor="text1"/>
        </w:rPr>
      </w:pPr>
      <w:r>
        <w:t>While both marks are ostensibly related to restaurant and bar services, there is notable dissimilarity in the comprehensive nature of the goods and services offered under each brand...</w:t>
      </w:r>
    </w:p>
    <w:p w14:paraId="3DA7AA5F" w14:textId="77777777" w:rsidR="005C3953" w:rsidRPr="00102CC2" w:rsidRDefault="005C3953" w:rsidP="00536AD0">
      <w:pPr>
        <w:pStyle w:val="BodyA"/>
        <w:spacing w:line="360" w:lineRule="auto"/>
        <w:rPr>
          <w:rFonts w:cs="Times New Roman"/>
          <w:color w:val="000000" w:themeColor="text1"/>
          <w:sz w:val="24"/>
          <w:szCs w:val="24"/>
          <w:shd w:val="clear" w:color="auto" w:fill="FFFF00"/>
          <w:lang w:val="en-US"/>
        </w:rPr>
      </w:pPr>
    </w:p>
    <w:p w14:paraId="7652C8DB" w14:textId="439F980F" w:rsidR="00536AD0" w:rsidRDefault="00000000" w:rsidP="003E3D5D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</w:pPr>
      <w:r w:rsidRPr="00102CC2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 xml:space="preserve">C. </w:t>
      </w:r>
      <w:r w:rsidR="00E5175F" w:rsidRPr="00102CC2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>The conditions under which and buyers to whom sales are made, i. e. “impulse” vs. careful, sophisticated purchasing.</w:t>
      </w:r>
    </w:p>
    <w:p w14:paraId="7F7D24D0" w14:textId="77777777" w:rsidR="003E3D5D" w:rsidRPr="003E3D5D" w:rsidRDefault="003E3D5D" w:rsidP="003E3D5D">
      <w:pPr>
        <w:pStyle w:val="BodyA"/>
        <w:spacing w:line="360" w:lineRule="auto"/>
        <w:ind w:firstLine="720"/>
        <w:rPr>
          <w:rStyle w:val="NoneA"/>
          <w:rFonts w:cs="Times New Roman"/>
          <w:b/>
          <w:bCs/>
          <w:color w:val="000000" w:themeColor="text1"/>
          <w:sz w:val="24"/>
          <w:szCs w:val="24"/>
          <w:lang w:val="en-US"/>
        </w:rPr>
      </w:pPr>
    </w:p>
    <w:p w14:paraId="093FD318" w14:textId="4338D0F7" w:rsidR="005C3953" w:rsidRPr="00102CC2" w:rsidRDefault="00096827" w:rsidP="00094B01">
      <w:pPr>
        <w:spacing w:line="360" w:lineRule="auto"/>
        <w:ind w:firstLine="720"/>
        <w:rPr>
          <w:rStyle w:val="NoneA"/>
          <w:color w:val="000000" w:themeColor="text1"/>
        </w:rPr>
      </w:pPr>
      <w:r>
        <w:t>The nature of the restaurant industry often means that consumers are attentive and sophisticated in their purchasing decisions, particularly when dining experiences are being selected...</w:t>
      </w:r>
    </w:p>
    <w:p w14:paraId="5652BE4A" w14:textId="77777777" w:rsidR="00094B01" w:rsidRPr="00102CC2" w:rsidRDefault="00094B01" w:rsidP="00FF1D19">
      <w:pPr>
        <w:spacing w:line="360" w:lineRule="auto"/>
        <w:rPr>
          <w:color w:val="000000" w:themeColor="text1"/>
        </w:rPr>
      </w:pPr>
    </w:p>
    <w:p w14:paraId="5B9AF4F6" w14:textId="5629E987" w:rsidR="00617820" w:rsidRPr="00102CC2" w:rsidRDefault="00617820" w:rsidP="00264A9D">
      <w:pPr>
        <w:pStyle w:val="Heading"/>
        <w:spacing w:before="162"/>
        <w:ind w:left="140" w:hanging="140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</w:rPr>
        <w:t>Conclusion</w:t>
      </w:r>
    </w:p>
    <w:p w14:paraId="56B05B4A" w14:textId="77777777" w:rsidR="003559A2" w:rsidRPr="00102CC2" w:rsidRDefault="003559A2">
      <w:pPr>
        <w:pStyle w:val="BodyText"/>
        <w:spacing w:before="1"/>
        <w:ind w:left="0"/>
        <w:rPr>
          <w:rStyle w:val="None"/>
          <w:rFonts w:cs="Times New Roman"/>
          <w:b/>
          <w:bCs/>
          <w:color w:val="000000" w:themeColor="text1"/>
        </w:rPr>
      </w:pPr>
    </w:p>
    <w:p w14:paraId="46AB0C46" w14:textId="417FDEFC" w:rsidR="003559A2" w:rsidRPr="00102CC2" w:rsidRDefault="00000000" w:rsidP="00264A9D">
      <w:pPr>
        <w:pStyle w:val="BodyText"/>
        <w:spacing w:line="360" w:lineRule="auto"/>
        <w:ind w:left="0" w:right="381" w:firstLine="720"/>
        <w:rPr>
          <w:rFonts w:cs="Times New Roman"/>
          <w:color w:val="000000" w:themeColor="text1"/>
        </w:rPr>
      </w:pPr>
      <w:r>
        <w:rPr>
          <w:color w:val="000000"/>
        </w:rPr>
        <w:t xml:space="preserve">There is no likelihood of confusion between the Applicant’s mark </w:t>
      </w:r>
      <w:r>
        <w:t>HAYSTACK</w:t>
      </w:r>
      <w:r>
        <w:rPr>
          <w:color w:val="000000"/>
        </w:rPr>
        <w:t xml:space="preserve"> </w:t>
      </w:r>
      <w:r>
        <w:t xml:space="preserve">BURGERS &amp; BARLEY </w:t>
      </w:r>
      <w:r>
        <w:rPr>
          <w:color w:val="000000"/>
        </w:rPr>
        <w:t xml:space="preserve">and the Cited Mark </w:t>
      </w:r>
      <w:r>
        <w:t>BURGERS &amp; BARLEY</w:t>
      </w:r>
      <w:r>
        <w:rPr>
          <w:color w:val="000000"/>
        </w:rPr>
        <w:t>. Considering the foregoing arguments, Applicant respectfully requests that the Examining Attorney withdraw the refusal to register Applicant’s mark.</w:t>
      </w:r>
    </w:p>
    <w:p w14:paraId="2B02A841" w14:textId="77777777" w:rsidR="003559A2" w:rsidRPr="00102CC2" w:rsidRDefault="003559A2">
      <w:pPr>
        <w:pStyle w:val="BodyText"/>
        <w:ind w:left="0"/>
        <w:rPr>
          <w:rStyle w:val="NoneA"/>
          <w:rFonts w:cs="Times New Roman"/>
          <w:color w:val="000000" w:themeColor="text1"/>
        </w:rPr>
      </w:pPr>
    </w:p>
    <w:p w14:paraId="1FFDA2C0" w14:textId="62CC2BB6" w:rsidR="003559A2" w:rsidRPr="00102CC2" w:rsidRDefault="00000000">
      <w:pPr>
        <w:pStyle w:val="BodyText"/>
        <w:spacing w:before="5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[Applicant’s attorney’s name]</w:t>
      </w:r>
    </w:p>
    <w:p w14:paraId="6059711F" w14:textId="6151F9C6" w:rsidR="003559A2" w:rsidRPr="00102CC2" w:rsidRDefault="00000000">
      <w:pPr>
        <w:pStyle w:val="BodyText"/>
        <w:spacing w:before="5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="007C652E" w:rsidRPr="00102CC2">
        <w:rPr>
          <w:rStyle w:val="None"/>
          <w:rFonts w:cs="Times New Roman"/>
          <w:color w:val="000000" w:themeColor="text1"/>
          <w:u w:color="FF0000"/>
        </w:rPr>
        <w:t>[Applicant’s attorney’s firm]</w:t>
      </w:r>
    </w:p>
    <w:p w14:paraId="62559624" w14:textId="6B8947F3" w:rsidR="003559A2" w:rsidRPr="00102CC2" w:rsidRDefault="00000000">
      <w:pPr>
        <w:pStyle w:val="BodyText"/>
        <w:spacing w:before="5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="007C652E" w:rsidRPr="00102CC2">
        <w:rPr>
          <w:rStyle w:val="None"/>
          <w:rFonts w:cs="Times New Roman"/>
          <w:color w:val="000000" w:themeColor="text1"/>
          <w:u w:color="FF0000"/>
        </w:rPr>
        <w:t>[Applicant’s attorney’s street address]</w:t>
      </w:r>
    </w:p>
    <w:p w14:paraId="4BFAE185" w14:textId="21EB75AA" w:rsidR="003559A2" w:rsidRPr="00102CC2" w:rsidRDefault="00000000">
      <w:pPr>
        <w:pStyle w:val="BodyText"/>
        <w:spacing w:before="5"/>
        <w:ind w:left="3020" w:firstLine="580"/>
        <w:rPr>
          <w:rFonts w:cs="Times New Roman"/>
          <w:color w:val="000000" w:themeColor="text1"/>
        </w:rPr>
      </w:pPr>
      <w:r w:rsidRPr="00102CC2">
        <w:rPr>
          <w:rStyle w:val="None"/>
          <w:rFonts w:cs="Times New Roman"/>
          <w:color w:val="000000" w:themeColor="text1"/>
          <w:u w:color="FF0000"/>
        </w:rPr>
        <w:t>[Applicant’s attorney’s primary email address]</w:t>
      </w:r>
    </w:p>
    <w:sectPr w:rsidR="003559A2" w:rsidRPr="00102CC2">
      <w:headerReference w:type="default" r:id="rId8"/>
      <w:footerReference w:type="default" r:id="rId9"/>
      <w:pgSz w:w="12240" w:h="15840"/>
      <w:pgMar w:top="1380" w:right="1300" w:bottom="1240" w:left="130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E0603" w14:textId="77777777" w:rsidR="00791222" w:rsidRDefault="00791222">
      <w:r>
        <w:separator/>
      </w:r>
    </w:p>
  </w:endnote>
  <w:endnote w:type="continuationSeparator" w:id="0">
    <w:p w14:paraId="613387B9" w14:textId="77777777" w:rsidR="00791222" w:rsidRDefault="0079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D44DF" w14:textId="15B8A144" w:rsidR="003559A2" w:rsidRDefault="00EC73A2">
    <w:pPr>
      <w:pStyle w:val="BodyText"/>
      <w:spacing w:line="24" w:lineRule="auto"/>
      <w:ind w:left="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36F63C5" wp14:editId="76ECF342">
              <wp:simplePos x="0" y="0"/>
              <wp:positionH relativeFrom="page">
                <wp:posOffset>833755</wp:posOffset>
              </wp:positionH>
              <wp:positionV relativeFrom="page">
                <wp:posOffset>9484116</wp:posOffset>
              </wp:positionV>
              <wp:extent cx="5549900" cy="368300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9900" cy="368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3FD3FC8" w14:textId="1321EB3F" w:rsidR="003559A2" w:rsidRDefault="00000000">
                          <w:pPr>
                            <w:pStyle w:val="BodyText"/>
                            <w:tabs>
                              <w:tab w:val="left" w:pos="860"/>
                              <w:tab w:val="left" w:pos="3021"/>
                            </w:tabs>
                            <w:spacing w:before="90" w:line="275" w:lineRule="exact"/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Response to Office Action---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Ser. No. </w:t>
                          </w:r>
                          <w:r w:rsidRPr="00FF1D19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u w:color="FF0000"/>
                            </w:rPr>
                            <w:t>[Applicant’s U.S. Application Serial No.]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F63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Text Box 1" style="position:absolute;margin-left:65.65pt;margin-top:746.8pt;width:437pt;height:29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" filled="f" stroked="f" strokeweight="1pt">
              <v:stroke miterlimit="4"/>
              <v:textbox inset="0,0,0,0">
                <w:txbxContent>
                  <w:p w14:paraId="23FD3FC8" w14:textId="1321EB3F" w:rsidR="003559A2" w:rsidRDefault="00000000">
                    <w:pPr>
                      <w:pStyle w:val="BodyText"/>
                      <w:tabs>
                        <w:tab w:val="left" w:pos="860"/>
                        <w:tab w:val="left" w:pos="3021"/>
                      </w:tabs>
                      <w:spacing w:before="90" w:line="275" w:lineRule="exact"/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Response to Office Action---</w:t>
                    </w:r>
                    <w:r>
                      <w:rPr>
                        <w:sz w:val="20"/>
                        <w:szCs w:val="20"/>
                      </w:rPr>
                      <w:t xml:space="preserve">Ser. No. </w:t>
                    </w:r>
                    <w:r w:rsidRPr="00FF1D19">
                      <w:rPr>
                        <w:i/>
                        <w:iCs/>
                        <w:color w:val="000000" w:themeColor="text1"/>
                        <w:sz w:val="20"/>
                        <w:szCs w:val="20"/>
                        <w:u w:color="FF0000"/>
                      </w:rPr>
                      <w:t>[Applicant’s U.S. Application Serial No.]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85BE" w14:textId="77777777" w:rsidR="00791222" w:rsidRDefault="00791222">
      <w:r>
        <w:separator/>
      </w:r>
    </w:p>
  </w:footnote>
  <w:footnote w:type="continuationSeparator" w:id="0">
    <w:p w14:paraId="5F4A4A4D" w14:textId="77777777" w:rsidR="00791222" w:rsidRDefault="00791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4586" w14:textId="4FB82DD6" w:rsidR="003559A2" w:rsidRDefault="00000000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EAA029A" wp14:editId="1B32B5A6">
              <wp:simplePos x="0" y="0"/>
              <wp:positionH relativeFrom="page">
                <wp:posOffset>3661406</wp:posOffset>
              </wp:positionH>
              <wp:positionV relativeFrom="page">
                <wp:posOffset>9251311</wp:posOffset>
              </wp:positionV>
              <wp:extent cx="480695" cy="194314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695" cy="19431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A10800B" w14:textId="77777777" w:rsidR="003559A2" w:rsidRDefault="00000000">
                          <w:pPr>
                            <w:pStyle w:val="BodyA"/>
                            <w:spacing w:before="10"/>
                            <w:ind w:left="20"/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A029A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2" style="position:absolute;margin-left:288.3pt;margin-top:728.45pt;width:37.85pt;height:15.3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" filled="f" stroked="f" strokeweight="1pt">
              <v:stroke miterlimit="4"/>
              <v:textbox inset="0,0,0,0">
                <w:txbxContent>
                  <w:p w14:paraId="0A10800B" w14:textId="77777777" w:rsidR="003559A2" w:rsidRDefault="00000000">
                    <w:pPr>
                      <w:pStyle w:val="BodyA"/>
                      <w:spacing w:before="10"/>
                      <w:ind w:left="20"/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Page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05FD"/>
    <w:multiLevelType w:val="hybridMultilevel"/>
    <w:tmpl w:val="CFA69DE8"/>
    <w:styleLink w:val="ImportedStyle1"/>
    <w:lvl w:ilvl="0" w:tplc="75549EE0">
      <w:start w:val="1"/>
      <w:numFmt w:val="decimal"/>
      <w:lvlText w:val="(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D2FE9E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AF12A">
      <w:start w:val="1"/>
      <w:numFmt w:val="lowerRoman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C20CC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2A95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4EF236">
      <w:start w:val="1"/>
      <w:numFmt w:val="lowerRoman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D46A4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8865D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BA87BC">
      <w:start w:val="1"/>
      <w:numFmt w:val="lowerRoman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1A6A1D"/>
    <w:multiLevelType w:val="hybridMultilevel"/>
    <w:tmpl w:val="CFA69DE8"/>
    <w:numStyleLink w:val="ImportedStyle1"/>
  </w:abstractNum>
  <w:abstractNum w:abstractNumId="2" w15:restartNumberingAfterBreak="0">
    <w:nsid w:val="6E4D52D9"/>
    <w:multiLevelType w:val="hybridMultilevel"/>
    <w:tmpl w:val="D51087CE"/>
    <w:lvl w:ilvl="0" w:tplc="796EF6CA">
      <w:start w:val="1"/>
      <w:numFmt w:val="decimal"/>
      <w:suff w:val="spac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653">
    <w:abstractNumId w:val="0"/>
  </w:num>
  <w:num w:numId="2" w16cid:durableId="573398784">
    <w:abstractNumId w:val="1"/>
  </w:num>
  <w:num w:numId="3" w16cid:durableId="649022127">
    <w:abstractNumId w:val="1"/>
    <w:lvlOverride w:ilvl="0">
      <w:lvl w:ilvl="0" w:tplc="AEB0420E">
        <w:start w:val="1"/>
        <w:numFmt w:val="decimal"/>
        <w:lvlText w:val="(%1)"/>
        <w:lvlJc w:val="left"/>
        <w:pPr>
          <w:ind w:left="13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76B144">
        <w:start w:val="1"/>
        <w:numFmt w:val="lowerLetter"/>
        <w:lvlText w:val="%2."/>
        <w:lvlJc w:val="left"/>
        <w:pPr>
          <w:ind w:left="20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E6E2E0">
        <w:start w:val="1"/>
        <w:numFmt w:val="lowerRoman"/>
        <w:lvlText w:val="%3."/>
        <w:lvlJc w:val="left"/>
        <w:pPr>
          <w:ind w:left="279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FFADF28">
        <w:start w:val="1"/>
        <w:numFmt w:val="decimal"/>
        <w:lvlText w:val="%4."/>
        <w:lvlJc w:val="left"/>
        <w:pPr>
          <w:ind w:left="35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7ECB4A">
        <w:start w:val="1"/>
        <w:numFmt w:val="lowerLetter"/>
        <w:lvlText w:val="%5."/>
        <w:lvlJc w:val="left"/>
        <w:pPr>
          <w:ind w:left="42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261CF6">
        <w:start w:val="1"/>
        <w:numFmt w:val="lowerRoman"/>
        <w:lvlText w:val="%6."/>
        <w:lvlJc w:val="left"/>
        <w:pPr>
          <w:ind w:left="495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F46C94">
        <w:start w:val="1"/>
        <w:numFmt w:val="decimal"/>
        <w:lvlText w:val="%7."/>
        <w:lvlJc w:val="left"/>
        <w:pPr>
          <w:ind w:left="56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6CFDCE">
        <w:start w:val="1"/>
        <w:numFmt w:val="lowerLetter"/>
        <w:lvlText w:val="%8."/>
        <w:lvlJc w:val="left"/>
        <w:pPr>
          <w:ind w:left="63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32C8A6">
        <w:start w:val="1"/>
        <w:numFmt w:val="lowerRoman"/>
        <w:lvlText w:val="%9."/>
        <w:lvlJc w:val="left"/>
        <w:pPr>
          <w:ind w:left="711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3744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A2"/>
    <w:rsid w:val="0002144F"/>
    <w:rsid w:val="00052A82"/>
    <w:rsid w:val="00094B01"/>
    <w:rsid w:val="00096827"/>
    <w:rsid w:val="000D4443"/>
    <w:rsid w:val="001013AD"/>
    <w:rsid w:val="00102CC2"/>
    <w:rsid w:val="0017267F"/>
    <w:rsid w:val="00264A9D"/>
    <w:rsid w:val="00285758"/>
    <w:rsid w:val="003559A2"/>
    <w:rsid w:val="003E3D5D"/>
    <w:rsid w:val="003F76E4"/>
    <w:rsid w:val="00464B56"/>
    <w:rsid w:val="0047274F"/>
    <w:rsid w:val="00491340"/>
    <w:rsid w:val="004C6C5E"/>
    <w:rsid w:val="004E7010"/>
    <w:rsid w:val="005012CB"/>
    <w:rsid w:val="0050328F"/>
    <w:rsid w:val="00536AD0"/>
    <w:rsid w:val="005B26EC"/>
    <w:rsid w:val="005C3953"/>
    <w:rsid w:val="00617820"/>
    <w:rsid w:val="00714DA9"/>
    <w:rsid w:val="00767E09"/>
    <w:rsid w:val="00791222"/>
    <w:rsid w:val="007C652E"/>
    <w:rsid w:val="00895D77"/>
    <w:rsid w:val="008C6B07"/>
    <w:rsid w:val="009457E4"/>
    <w:rsid w:val="009E53A7"/>
    <w:rsid w:val="00A4185C"/>
    <w:rsid w:val="00A55B2D"/>
    <w:rsid w:val="00AD7FDC"/>
    <w:rsid w:val="00B26A96"/>
    <w:rsid w:val="00B32BE0"/>
    <w:rsid w:val="00CB7461"/>
    <w:rsid w:val="00D06CA8"/>
    <w:rsid w:val="00D53A09"/>
    <w:rsid w:val="00DF6CBC"/>
    <w:rsid w:val="00E024A2"/>
    <w:rsid w:val="00E41227"/>
    <w:rsid w:val="00E5175F"/>
    <w:rsid w:val="00EC5B19"/>
    <w:rsid w:val="00EC73A2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5DC6"/>
  <w15:docId w15:val="{3A1418AC-21CF-466C-B02D-EEA54842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pPr>
      <w:widowControl w:val="0"/>
      <w:ind w:left="140"/>
    </w:pPr>
    <w:rPr>
      <w:rFonts w:cs="Arial Unicode MS"/>
      <w:color w:val="000000"/>
      <w:sz w:val="24"/>
      <w:szCs w:val="24"/>
      <w:u w:color="000000"/>
    </w:rPr>
  </w:style>
  <w:style w:type="character" w:customStyle="1" w:styleId="NoneA">
    <w:name w:val="None A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shd w:val="clear" w:color="auto" w:fill="00FF00"/>
    </w:rPr>
  </w:style>
  <w:style w:type="paragraph" w:customStyle="1" w:styleId="Heading">
    <w:name w:val="Heading"/>
    <w:pPr>
      <w:widowControl w:val="0"/>
      <w:ind w:left="861"/>
      <w:outlineLvl w:val="0"/>
    </w:pPr>
    <w:rPr>
      <w:rFonts w:cs="Arial Unicode MS"/>
      <w:b/>
      <w:bCs/>
      <w:color w:val="000000"/>
      <w:sz w:val="24"/>
      <w:szCs w:val="24"/>
      <w:u w:val="singl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CA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6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CA8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setext.com/case/application-of-ei-dupont-denemours-amp-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DB243</cp:lastModifiedBy>
  <cp:revision>3</cp:revision>
  <dcterms:created xsi:type="dcterms:W3CDTF">2025-03-12T19:18:00Z</dcterms:created>
  <dcterms:modified xsi:type="dcterms:W3CDTF">2025-03-12T19:29:00Z</dcterms:modified>
</cp:coreProperties>
</file>