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92D61" w14:textId="77777777" w:rsidR="003559A2" w:rsidRPr="00102CC2" w:rsidRDefault="00000000">
      <w:pPr>
        <w:pStyle w:val="BodyA"/>
        <w:spacing w:before="62"/>
        <w:jc w:val="center"/>
        <w:rPr>
          <w:rFonts w:cs="Times New Roman"/>
          <w:b/>
          <w:bCs/>
          <w:color w:val="000000" w:themeColor="text1"/>
          <w:sz w:val="24"/>
          <w:szCs w:val="24"/>
          <w:lang w:val="en-US"/>
        </w:rPr>
      </w:pPr>
      <w:r w:rsidRPr="00102CC2">
        <w:rPr>
          <w:rFonts w:cs="Times New Roman"/>
          <w:b/>
          <w:bCs/>
          <w:color w:val="000000" w:themeColor="text1"/>
          <w:sz w:val="24"/>
          <w:szCs w:val="24"/>
          <w:lang w:val="en-US"/>
        </w:rPr>
        <w:t>IN THE UNITED STATES PATENT AND TRADEMARK OFFICE</w:t>
      </w:r>
    </w:p>
    <w:p w14:paraId="2D00AD73" w14:textId="77777777" w:rsidR="000D4443" w:rsidRPr="00102CC2" w:rsidRDefault="000D4443">
      <w:pPr>
        <w:pStyle w:val="BodyText"/>
        <w:spacing w:before="4"/>
        <w:ind w:left="0"/>
        <w:rPr>
          <w:rFonts w:cs="Times New Roman"/>
          <w:b/>
          <w:bCs/>
          <w:color w:val="000000" w:themeColor="text1"/>
        </w:rPr>
      </w:pPr>
    </w:p>
    <w:p w14:paraId="73893384" w14:textId="77777777" w:rsidR="005B26EC" w:rsidRPr="00102CC2" w:rsidRDefault="005B26EC" w:rsidP="00B32BE0">
      <w:pPr>
        <w:pStyle w:val="BodyText"/>
        <w:spacing w:before="3"/>
        <w:ind w:left="0"/>
        <w:rPr>
          <w:rStyle w:val="NoneA"/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 xml:space="preserve">[USPTO Examining Attorney] </w:t>
      </w:r>
    </w:p>
    <w:p w14:paraId="718A33A7" w14:textId="77777777" w:rsidR="005B26EC" w:rsidRPr="00102CC2" w:rsidRDefault="005B26EC" w:rsidP="00B32BE0">
      <w:pPr>
        <w:pStyle w:val="BodyText"/>
        <w:spacing w:before="3"/>
        <w:ind w:left="0"/>
        <w:rPr>
          <w:rStyle w:val="NoneA"/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 xml:space="preserve">[Law Office Assigned] </w:t>
      </w:r>
    </w:p>
    <w:p w14:paraId="45C791CA" w14:textId="77777777" w:rsidR="00B32BE0" w:rsidRDefault="005B26EC" w:rsidP="00B32BE0">
      <w:pPr>
        <w:pStyle w:val="BodyText"/>
        <w:spacing w:before="3"/>
        <w:ind w:left="0"/>
        <w:rPr>
          <w:rStyle w:val="NoneA"/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 xml:space="preserve">[USPTO Examining Attorney’s Phone Number] </w:t>
      </w:r>
    </w:p>
    <w:p w14:paraId="4C408358" w14:textId="22EEFF5F" w:rsidR="003559A2" w:rsidRPr="00102CC2" w:rsidRDefault="005B26EC" w:rsidP="00B32BE0">
      <w:pPr>
        <w:pStyle w:val="BodyText"/>
        <w:spacing w:before="3"/>
        <w:ind w:left="0"/>
        <w:rPr>
          <w:rStyle w:val="NoneA"/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>[USPTO Examining Attorney’s Email]</w:t>
      </w:r>
    </w:p>
    <w:p w14:paraId="2E682045" w14:textId="77777777" w:rsidR="00B32BE0" w:rsidRDefault="00B32BE0" w:rsidP="00B32BE0">
      <w:pPr>
        <w:pStyle w:val="BodyText"/>
        <w:tabs>
          <w:tab w:val="left" w:pos="860"/>
          <w:tab w:val="left" w:pos="3021"/>
        </w:tabs>
        <w:spacing w:before="90" w:line="275" w:lineRule="exact"/>
        <w:ind w:left="0"/>
        <w:rPr>
          <w:rStyle w:val="NoneA"/>
          <w:rFonts w:cs="Times New Roman"/>
          <w:color w:val="000000" w:themeColor="text1"/>
        </w:rPr>
      </w:pPr>
    </w:p>
    <w:p w14:paraId="61FB9352" w14:textId="1430C7A7" w:rsidR="003559A2" w:rsidRPr="00102CC2" w:rsidRDefault="00000000" w:rsidP="00B32BE0">
      <w:pPr>
        <w:pStyle w:val="BodyText"/>
        <w:tabs>
          <w:tab w:val="left" w:pos="860"/>
          <w:tab w:val="left" w:pos="3021"/>
        </w:tabs>
        <w:spacing w:before="90" w:line="275" w:lineRule="exact"/>
        <w:ind w:left="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>RE:</w:t>
      </w:r>
      <w:r w:rsidRPr="00102CC2">
        <w:rPr>
          <w:rStyle w:val="NoneA"/>
          <w:rFonts w:cs="Times New Roman"/>
          <w:color w:val="000000" w:themeColor="text1"/>
        </w:rPr>
        <w:tab/>
        <w:t>Serial</w:t>
      </w:r>
      <w:r w:rsidRPr="00102CC2">
        <w:rPr>
          <w:rStyle w:val="None"/>
          <w:rFonts w:cs="Times New Roman"/>
          <w:color w:val="000000" w:themeColor="text1"/>
        </w:rPr>
        <w:t xml:space="preserve"> </w:t>
      </w:r>
      <w:r w:rsidRPr="00102CC2">
        <w:rPr>
          <w:rStyle w:val="NoneA"/>
          <w:rFonts w:cs="Times New Roman"/>
          <w:color w:val="000000" w:themeColor="text1"/>
        </w:rPr>
        <w:t>No.:</w:t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"/>
          <w:rFonts w:cs="Times New Roman"/>
          <w:color w:val="000000" w:themeColor="text1"/>
          <w:u w:color="FF0000"/>
        </w:rPr>
        <w:t>[Application Serial Number]</w:t>
      </w:r>
    </w:p>
    <w:p w14:paraId="0B4F8E27" w14:textId="53E9DB26" w:rsidR="003559A2" w:rsidRPr="00102CC2" w:rsidRDefault="00000000">
      <w:pPr>
        <w:pStyle w:val="BodyText"/>
        <w:tabs>
          <w:tab w:val="left" w:pos="860"/>
          <w:tab w:val="left" w:pos="3021"/>
        </w:tabs>
        <w:spacing w:before="90" w:line="275" w:lineRule="exact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ab/>
        <w:t>Mark:</w:t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"/>
          <w:rFonts w:cs="Times New Roman"/>
          <w:color w:val="000000" w:themeColor="text1"/>
          <w:u w:color="FF0000"/>
        </w:rPr>
        <w:t>[Applicant’s Mark]</w:t>
      </w:r>
    </w:p>
    <w:p w14:paraId="060D2E16" w14:textId="20069B29" w:rsidR="003559A2" w:rsidRPr="00102CC2" w:rsidRDefault="00000000">
      <w:pPr>
        <w:pStyle w:val="BodyText"/>
        <w:tabs>
          <w:tab w:val="left" w:pos="3021"/>
        </w:tabs>
        <w:spacing w:before="2" w:after="17" w:line="242" w:lineRule="auto"/>
        <w:ind w:left="861" w:right="1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>Applicant:</w:t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"/>
          <w:rFonts w:cs="Times New Roman"/>
          <w:color w:val="000000" w:themeColor="text1"/>
          <w:u w:color="FF0000"/>
        </w:rPr>
        <w:t>[Applicant]</w:t>
      </w:r>
    </w:p>
    <w:p w14:paraId="42ADB325" w14:textId="67549CAC" w:rsidR="003559A2" w:rsidRPr="00102CC2" w:rsidRDefault="00000000">
      <w:pPr>
        <w:pStyle w:val="BodyText"/>
        <w:tabs>
          <w:tab w:val="left" w:pos="3021"/>
        </w:tabs>
        <w:spacing w:before="2" w:after="17" w:line="242" w:lineRule="auto"/>
        <w:ind w:left="861" w:right="163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>Action</w:t>
      </w:r>
      <w:r w:rsidRPr="00102CC2">
        <w:rPr>
          <w:rStyle w:val="None"/>
          <w:rFonts w:cs="Times New Roman"/>
          <w:color w:val="000000" w:themeColor="text1"/>
        </w:rPr>
        <w:t xml:space="preserve"> </w:t>
      </w:r>
      <w:r w:rsidRPr="00102CC2">
        <w:rPr>
          <w:rStyle w:val="NoneA"/>
          <w:rFonts w:cs="Times New Roman"/>
          <w:color w:val="000000" w:themeColor="text1"/>
        </w:rPr>
        <w:t>of:</w:t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"/>
          <w:rFonts w:cs="Times New Roman"/>
          <w:color w:val="000000" w:themeColor="text1"/>
          <w:u w:color="FF0000"/>
        </w:rPr>
        <w:t>[Sent Date of Office Action]</w:t>
      </w:r>
    </w:p>
    <w:p w14:paraId="1CBE7247" w14:textId="77777777" w:rsidR="003559A2" w:rsidRPr="00102CC2" w:rsidRDefault="00000000">
      <w:pPr>
        <w:pStyle w:val="BodyText"/>
        <w:spacing w:line="30" w:lineRule="exact"/>
        <w:ind w:left="96"/>
        <w:rPr>
          <w:rStyle w:val="None"/>
          <w:rFonts w:cs="Times New Roman"/>
          <w:color w:val="000000" w:themeColor="text1"/>
        </w:rPr>
      </w:pPr>
      <w:r w:rsidRPr="00102CC2">
        <w:rPr>
          <w:rStyle w:val="None"/>
          <w:rFonts w:cs="Times New Roman"/>
          <w:noProof/>
          <w:color w:val="000000" w:themeColor="text1"/>
        </w:rPr>
        <mc:AlternateContent>
          <mc:Choice Requires="wps">
            <w:drawing>
              <wp:inline distT="0" distB="0" distL="0" distR="0" wp14:anchorId="72AA8647" wp14:editId="12EE5645">
                <wp:extent cx="5982338" cy="0"/>
                <wp:effectExtent l="0" t="0" r="0" b="0"/>
                <wp:docPr id="1073741827" name="officeArt object" descr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8" cy="0"/>
                        </a:xfrm>
                        <a:prstGeom prst="line">
                          <a:avLst/>
                        </a:pr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C2821C" id="officeArt object" o:spid="_x0000_s1026" alt="Line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1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" strokeweight="1.44pt">
                <w10:anchorlock/>
              </v:line>
            </w:pict>
          </mc:Fallback>
        </mc:AlternateContent>
      </w:r>
    </w:p>
    <w:p w14:paraId="5132CD7B" w14:textId="77777777" w:rsidR="003559A2" w:rsidRPr="00102CC2" w:rsidRDefault="003559A2">
      <w:pPr>
        <w:pStyle w:val="BodyText"/>
        <w:spacing w:before="1"/>
        <w:ind w:left="0"/>
        <w:rPr>
          <w:rStyle w:val="NoneA"/>
          <w:rFonts w:cs="Times New Roman"/>
          <w:color w:val="000000" w:themeColor="text1"/>
        </w:rPr>
      </w:pPr>
    </w:p>
    <w:p w14:paraId="2501D0A9" w14:textId="77777777" w:rsidR="003559A2" w:rsidRPr="00102CC2" w:rsidRDefault="00000000">
      <w:pPr>
        <w:pStyle w:val="Heading"/>
        <w:spacing w:before="90"/>
        <w:ind w:left="0"/>
        <w:jc w:val="center"/>
        <w:rPr>
          <w:rStyle w:val="None"/>
          <w:rFonts w:cs="Times New Roman"/>
          <w:color w:val="000000" w:themeColor="text1"/>
          <w:u w:val="none"/>
        </w:rPr>
      </w:pPr>
      <w:r w:rsidRPr="00102CC2">
        <w:rPr>
          <w:rStyle w:val="None"/>
          <w:rFonts w:cs="Times New Roman"/>
          <w:b w:val="0"/>
          <w:bCs w:val="0"/>
          <w:color w:val="000000" w:themeColor="text1"/>
          <w:u w:val="thick"/>
        </w:rPr>
        <w:t xml:space="preserve"> </w:t>
      </w:r>
      <w:r w:rsidRPr="00102CC2">
        <w:rPr>
          <w:rStyle w:val="None"/>
          <w:rFonts w:cs="Times New Roman"/>
          <w:color w:val="000000" w:themeColor="text1"/>
          <w:u w:val="thick"/>
        </w:rPr>
        <w:t>APPLICANT</w:t>
      </w:r>
      <w:r w:rsidRPr="00102CC2">
        <w:rPr>
          <w:rStyle w:val="None"/>
          <w:rFonts w:cs="Times New Roman"/>
          <w:b w:val="0"/>
          <w:bCs w:val="0"/>
          <w:color w:val="000000" w:themeColor="text1"/>
          <w:u w:val="thick"/>
          <w:rtl/>
        </w:rPr>
        <w:t>’</w:t>
      </w:r>
      <w:r w:rsidRPr="00102CC2">
        <w:rPr>
          <w:rStyle w:val="None"/>
          <w:rFonts w:cs="Times New Roman"/>
          <w:color w:val="000000" w:themeColor="text1"/>
          <w:u w:val="thick"/>
        </w:rPr>
        <w:t>S RESPONSE TO OFFICE ACTION</w:t>
      </w:r>
    </w:p>
    <w:p w14:paraId="51AEA93A" w14:textId="77777777" w:rsidR="003559A2" w:rsidRPr="00102CC2" w:rsidRDefault="003559A2" w:rsidP="00264A9D">
      <w:pPr>
        <w:pStyle w:val="BodyText"/>
        <w:spacing w:before="3" w:line="360" w:lineRule="auto"/>
        <w:ind w:left="0"/>
        <w:rPr>
          <w:rStyle w:val="None"/>
          <w:rFonts w:cs="Times New Roman"/>
          <w:b/>
          <w:bCs/>
          <w:color w:val="000000" w:themeColor="text1"/>
        </w:rPr>
      </w:pPr>
    </w:p>
    <w:p w14:paraId="349EFB00" w14:textId="05B636A7" w:rsidR="003559A2" w:rsidRPr="00102CC2" w:rsidRDefault="00000000" w:rsidP="00264A9D">
      <w:pPr>
        <w:pStyle w:val="BodyText"/>
        <w:tabs>
          <w:tab w:val="left" w:pos="3021"/>
        </w:tabs>
        <w:spacing w:before="2" w:after="17" w:line="360" w:lineRule="auto"/>
        <w:ind w:left="0" w:right="10" w:firstLine="72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 xml:space="preserve">Applicant, </w:t>
      </w:r>
      <w:r w:rsidR="00491340">
        <w:rPr>
          <w:rStyle w:val="None"/>
          <w:rFonts w:cs="Times New Roman"/>
          <w:color w:val="000000" w:themeColor="text1"/>
          <w:u w:color="FF0000"/>
        </w:rPr>
        <w:t>{{a</w:t>
      </w:r>
      <w:r w:rsidRPr="00102CC2">
        <w:rPr>
          <w:rStyle w:val="None"/>
          <w:rFonts w:cs="Times New Roman"/>
          <w:color w:val="000000" w:themeColor="text1"/>
          <w:u w:color="FF0000"/>
        </w:rPr>
        <w:t>pplicant</w:t>
      </w:r>
      <w:r w:rsidR="00491340">
        <w:rPr>
          <w:rStyle w:val="None"/>
          <w:rFonts w:cs="Times New Roman"/>
          <w:color w:val="000000" w:themeColor="text1"/>
          <w:u w:color="FF0000"/>
        </w:rPr>
        <w:t>_mark}}</w:t>
      </w:r>
      <w:r w:rsidRPr="00102CC2">
        <w:rPr>
          <w:rStyle w:val="NoneA"/>
          <w:rFonts w:cs="Times New Roman"/>
          <w:color w:val="000000" w:themeColor="text1"/>
        </w:rPr>
        <w:t xml:space="preserve"> (hereinafter “Applicant”), respectfully submits the following response to the Office Action, regarding the above referenced application:</w:t>
      </w:r>
    </w:p>
    <w:p w14:paraId="520FFC2D" w14:textId="77777777" w:rsidR="003559A2" w:rsidRPr="00102CC2" w:rsidRDefault="003559A2">
      <w:pPr>
        <w:pStyle w:val="BodyText"/>
        <w:spacing w:before="4"/>
        <w:ind w:left="0"/>
        <w:rPr>
          <w:rStyle w:val="NoneA"/>
          <w:rFonts w:cs="Times New Roman"/>
          <w:color w:val="000000" w:themeColor="text1"/>
        </w:rPr>
      </w:pPr>
    </w:p>
    <w:p w14:paraId="4A4A27A2" w14:textId="77777777" w:rsidR="003559A2" w:rsidRPr="00102CC2" w:rsidRDefault="00000000">
      <w:pPr>
        <w:pStyle w:val="Heading"/>
        <w:spacing w:line="259" w:lineRule="auto"/>
        <w:ind w:left="4102" w:hanging="3539"/>
        <w:rPr>
          <w:rStyle w:val="None"/>
          <w:rFonts w:cs="Times New Roman"/>
          <w:color w:val="000000" w:themeColor="text1"/>
          <w:u w:val="none"/>
        </w:rPr>
      </w:pPr>
      <w:r w:rsidRPr="00102CC2">
        <w:rPr>
          <w:rStyle w:val="None"/>
          <w:rFonts w:cs="Times New Roman"/>
          <w:color w:val="000000" w:themeColor="text1"/>
          <w:u w:val="thick"/>
          <w:lang w:val="de-DE"/>
        </w:rPr>
        <w:t xml:space="preserve">ARGUMENT AGAINST REFUSAL UNDER </w:t>
      </w:r>
      <w:r w:rsidRPr="00102CC2">
        <w:rPr>
          <w:rStyle w:val="None"/>
          <w:rFonts w:cs="Times New Roman"/>
          <w:color w:val="000000" w:themeColor="text1"/>
          <w:u w:val="thick"/>
        </w:rPr>
        <w:t>§ 2(d) LIKELIHOOD OF</w:t>
      </w:r>
      <w:r w:rsidRPr="00102CC2">
        <w:rPr>
          <w:rStyle w:val="None"/>
          <w:rFonts w:cs="Times New Roman"/>
          <w:color w:val="000000" w:themeColor="text1"/>
          <w:u w:val="none"/>
        </w:rPr>
        <w:t xml:space="preserve"> </w:t>
      </w:r>
      <w:r w:rsidRPr="00102CC2">
        <w:rPr>
          <w:rStyle w:val="None"/>
          <w:rFonts w:cs="Times New Roman"/>
          <w:color w:val="000000" w:themeColor="text1"/>
          <w:u w:val="thick"/>
        </w:rPr>
        <w:t>CONFUSION</w:t>
      </w:r>
    </w:p>
    <w:p w14:paraId="19DF512A" w14:textId="3597C2FB" w:rsidR="003559A2" w:rsidRPr="00102CC2" w:rsidRDefault="00000000" w:rsidP="00264A9D">
      <w:pPr>
        <w:pStyle w:val="BodyText"/>
        <w:spacing w:before="163" w:line="360" w:lineRule="auto"/>
        <w:ind w:left="0" w:right="10" w:firstLine="72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 xml:space="preserve">The Examining Attorney preliminarily refused registration of Applicant’s word mark because of the mark in U.S. Registration No. </w:t>
      </w:r>
      <w:r w:rsidRPr="00102CC2">
        <w:rPr>
          <w:rStyle w:val="None"/>
          <w:rFonts w:cs="Times New Roman"/>
          <w:color w:val="000000" w:themeColor="text1"/>
          <w:u w:color="FF0000"/>
        </w:rPr>
        <w:t xml:space="preserve">[U.S. Registration No.]. </w:t>
      </w:r>
    </w:p>
    <w:tbl>
      <w:tblPr>
        <w:tblW w:w="9450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84"/>
        <w:gridCol w:w="2899"/>
        <w:gridCol w:w="4267"/>
      </w:tblGrid>
      <w:tr w:rsidR="00094B01" w:rsidRPr="00102CC2" w14:paraId="6192BB23" w14:textId="77777777" w:rsidTr="00264A9D">
        <w:trPr>
          <w:trHeight w:val="370"/>
        </w:trPr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6D89" w14:textId="77777777" w:rsidR="003559A2" w:rsidRPr="00102CC2" w:rsidRDefault="0000000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02CC2">
              <w:rPr>
                <w:rStyle w:val="None"/>
                <w:rFonts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BD9DD" w14:textId="77777777" w:rsidR="003559A2" w:rsidRPr="00102CC2" w:rsidRDefault="0000000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02CC2">
              <w:rPr>
                <w:rStyle w:val="None"/>
                <w:rFonts w:cs="Times New Roman"/>
                <w:color w:val="000000" w:themeColor="text1"/>
                <w:sz w:val="24"/>
                <w:szCs w:val="24"/>
                <w:lang w:val="en-US"/>
              </w:rPr>
              <w:t>Our mark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DCDB" w14:textId="77777777" w:rsidR="003559A2" w:rsidRPr="00102CC2" w:rsidRDefault="0000000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02CC2">
              <w:rPr>
                <w:rStyle w:val="None"/>
                <w:rFonts w:cs="Times New Roman"/>
                <w:color w:val="000000" w:themeColor="text1"/>
                <w:sz w:val="24"/>
                <w:szCs w:val="24"/>
                <w:lang w:val="en-US"/>
              </w:rPr>
              <w:t>The mark cited by the examiner</w:t>
            </w:r>
          </w:p>
        </w:tc>
      </w:tr>
      <w:tr w:rsidR="00094B01" w:rsidRPr="00102CC2" w14:paraId="7CE44717" w14:textId="77777777" w:rsidTr="00264A9D">
        <w:trPr>
          <w:trHeight w:val="2368"/>
        </w:trPr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2180A" w14:textId="77777777" w:rsidR="003559A2" w:rsidRPr="00102CC2" w:rsidRDefault="0000000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02CC2">
              <w:rPr>
                <w:rStyle w:val="None"/>
                <w:rFonts w:cs="Times New Roman"/>
                <w:color w:val="000000" w:themeColor="text1"/>
                <w:sz w:val="24"/>
                <w:szCs w:val="24"/>
                <w:lang w:val="en-US"/>
              </w:rPr>
              <w:t>Mark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D3DFB" w14:textId="102132AF" w:rsidR="003559A2" w:rsidRPr="00102CC2" w:rsidRDefault="0049134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Style w:val="None"/>
                <w:rFonts w:cs="Times New Roman"/>
                <w:color w:val="000000" w:themeColor="text1"/>
                <w:u w:color="FF0000"/>
              </w:rPr>
              <w:t>{{a</w:t>
            </w:r>
            <w:r w:rsidRPr="00102CC2">
              <w:rPr>
                <w:rStyle w:val="None"/>
                <w:rFonts w:cs="Times New Roman"/>
                <w:color w:val="000000" w:themeColor="text1"/>
                <w:u w:color="FF0000"/>
              </w:rPr>
              <w:t>pplicant</w:t>
            </w:r>
            <w:r>
              <w:rPr>
                <w:rStyle w:val="None"/>
                <w:rFonts w:cs="Times New Roman"/>
                <w:color w:val="000000" w:themeColor="text1"/>
                <w:u w:color="FF0000"/>
              </w:rPr>
              <w:t>_mark}}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EBAE3" w14:textId="19F00A30" w:rsidR="003559A2" w:rsidRPr="00714DA9" w:rsidRDefault="00714DA9" w:rsidP="00714DA9">
            <w:pPr>
              <w:pStyle w:val="BodyA"/>
              <w:rPr>
                <w:color w:val="000000" w:themeColor="text1"/>
                <w:u w:color="FF0000"/>
              </w:rPr>
            </w:pPr>
            <w:r>
              <w:rPr>
                <w:rStyle w:val="None"/>
                <w:rFonts w:cs="Times New Roman"/>
                <w:color w:val="000000" w:themeColor="text1"/>
                <w:sz w:val="24"/>
                <w:szCs w:val="24"/>
                <w:u w:color="FF0000"/>
                <w:lang w:val="en-US"/>
              </w:rPr>
              <w:t>{{</w:t>
            </w:r>
            <w:r w:rsidRPr="00714DA9">
              <w:rPr>
                <w:color w:val="000000" w:themeColor="text1"/>
                <w:u w:color="FF0000"/>
              </w:rPr>
              <w:t>conflicting_mark</w:t>
            </w:r>
            <w:r>
              <w:rPr>
                <w:rStyle w:val="None"/>
                <w:rFonts w:cs="Times New Roman"/>
                <w:color w:val="000000" w:themeColor="text1"/>
                <w:sz w:val="24"/>
                <w:szCs w:val="24"/>
                <w:u w:color="FF0000"/>
                <w:lang w:val="en-US"/>
              </w:rPr>
              <w:t>}}</w:t>
            </w:r>
            <w:r w:rsidR="00000000" w:rsidRPr="00102CC2">
              <w:rPr>
                <w:rStyle w:val="None"/>
                <w:rFonts w:cs="Times New Roman"/>
                <w:color w:val="000000" w:themeColor="text1"/>
                <w:sz w:val="24"/>
                <w:szCs w:val="24"/>
                <w:u w:color="FF0000"/>
                <w:lang w:val="en-US"/>
              </w:rPr>
              <w:t xml:space="preserve"> </w:t>
            </w:r>
          </w:p>
        </w:tc>
      </w:tr>
      <w:tr w:rsidR="00094B01" w:rsidRPr="00102CC2" w14:paraId="646E67BB" w14:textId="77777777" w:rsidTr="00264A9D">
        <w:trPr>
          <w:trHeight w:val="2770"/>
        </w:trPr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83923" w14:textId="77777777" w:rsidR="003559A2" w:rsidRPr="00102CC2" w:rsidRDefault="0000000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02CC2">
              <w:rPr>
                <w:rStyle w:val="None"/>
                <w:rFonts w:cs="Times New Roman"/>
                <w:color w:val="000000" w:themeColor="text1"/>
                <w:sz w:val="24"/>
                <w:szCs w:val="24"/>
                <w:lang w:val="en-US"/>
              </w:rPr>
              <w:t>Goods/Services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527F" w14:textId="77777777" w:rsidR="00714DA9" w:rsidRPr="00714DA9" w:rsidRDefault="00491340" w:rsidP="00714DA9">
            <w:pPr>
              <w:pStyle w:val="BodyA"/>
              <w:rPr>
                <w:color w:val="000000" w:themeColor="text1"/>
                <w:u w:color="FF0000"/>
                <w:lang w:val="en-US"/>
              </w:rPr>
            </w:pPr>
            <w:r>
              <w:rPr>
                <w:rStyle w:val="None"/>
                <w:rFonts w:cs="Times New Roman"/>
                <w:color w:val="000000" w:themeColor="text1"/>
                <w:u w:color="FF0000"/>
              </w:rPr>
              <w:t>{{</w:t>
            </w:r>
            <w:r w:rsidR="00714DA9" w:rsidRPr="00714DA9">
              <w:rPr>
                <w:color w:val="000000" w:themeColor="text1"/>
                <w:u w:color="FF0000"/>
                <w:lang w:val="en-US"/>
              </w:rPr>
              <w:t>applicant_mark_goods_and_services</w:t>
            </w:r>
          </w:p>
          <w:p w14:paraId="4334AB94" w14:textId="16A5A95B" w:rsidR="003559A2" w:rsidRPr="00102CC2" w:rsidRDefault="00491340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Style w:val="None"/>
                <w:rFonts w:cs="Times New Roman"/>
                <w:color w:val="000000" w:themeColor="text1"/>
                <w:u w:color="FF0000"/>
              </w:rPr>
              <w:t>}}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8BB5" w14:textId="03C71CB1" w:rsidR="003559A2" w:rsidRPr="00102CC2" w:rsidRDefault="00714DA9">
            <w:pPr>
              <w:pStyle w:val="BodyA"/>
              <w:widowControl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Style w:val="None"/>
                <w:rFonts w:cs="Times New Roman"/>
                <w:color w:val="000000" w:themeColor="text1"/>
                <w:sz w:val="24"/>
                <w:szCs w:val="24"/>
                <w:u w:color="FF0000"/>
                <w:lang w:val="en-US"/>
              </w:rPr>
              <w:t>{{</w:t>
            </w:r>
            <w:r w:rsidR="00491340">
              <w:rPr>
                <w:rStyle w:val="None"/>
                <w:rFonts w:cs="Times New Roman"/>
                <w:color w:val="000000" w:themeColor="text1"/>
                <w:sz w:val="24"/>
                <w:szCs w:val="24"/>
                <w:u w:color="FF0000"/>
                <w:lang w:val="en-US"/>
              </w:rPr>
              <w:t>conflicting_mark_good</w:t>
            </w:r>
            <w:r>
              <w:rPr>
                <w:rStyle w:val="None"/>
                <w:rFonts w:cs="Times New Roman"/>
                <w:color w:val="000000" w:themeColor="text1"/>
                <w:sz w:val="24"/>
                <w:szCs w:val="24"/>
                <w:u w:color="FF0000"/>
                <w:lang w:val="en-US"/>
              </w:rPr>
              <w:t>s</w:t>
            </w:r>
            <w:r w:rsidR="00491340">
              <w:rPr>
                <w:rStyle w:val="None"/>
                <w:rFonts w:cs="Times New Roman"/>
                <w:color w:val="000000" w:themeColor="text1"/>
                <w:sz w:val="24"/>
                <w:szCs w:val="24"/>
                <w:u w:color="FF0000"/>
                <w:lang w:val="en-US"/>
              </w:rPr>
              <w:t>_and_service</w:t>
            </w:r>
            <w:r>
              <w:rPr>
                <w:rStyle w:val="None"/>
                <w:rFonts w:cs="Times New Roman"/>
                <w:color w:val="000000" w:themeColor="text1"/>
                <w:sz w:val="24"/>
                <w:szCs w:val="24"/>
                <w:u w:color="FF0000"/>
                <w:lang w:val="en-US"/>
              </w:rPr>
              <w:t>s}}</w:t>
            </w:r>
          </w:p>
        </w:tc>
      </w:tr>
    </w:tbl>
    <w:p w14:paraId="65A06BC6" w14:textId="5518FC90" w:rsidR="003559A2" w:rsidRPr="00102CC2" w:rsidRDefault="00E024A2" w:rsidP="00264A9D">
      <w:pPr>
        <w:pStyle w:val="Heading"/>
        <w:spacing w:before="162"/>
        <w:ind w:left="140" w:hanging="140"/>
        <w:rPr>
          <w:rStyle w:val="None"/>
          <w:rFonts w:cs="Times New Roman"/>
          <w:color w:val="000000" w:themeColor="text1"/>
          <w:u w:val="none"/>
        </w:rPr>
      </w:pPr>
      <w:r w:rsidRPr="00102CC2">
        <w:rPr>
          <w:rStyle w:val="None"/>
          <w:rFonts w:cs="Times New Roman"/>
          <w:color w:val="000000" w:themeColor="text1"/>
          <w:u w:val="thick"/>
        </w:rPr>
        <w:lastRenderedPageBreak/>
        <w:t>Legal Standard</w:t>
      </w:r>
    </w:p>
    <w:p w14:paraId="56536C56" w14:textId="77777777" w:rsidR="003559A2" w:rsidRPr="00102CC2" w:rsidRDefault="003559A2">
      <w:pPr>
        <w:pStyle w:val="BodyText"/>
        <w:spacing w:before="10"/>
        <w:ind w:left="0"/>
        <w:rPr>
          <w:rStyle w:val="None"/>
          <w:rFonts w:cs="Times New Roman"/>
          <w:b/>
          <w:bCs/>
          <w:color w:val="000000" w:themeColor="text1"/>
        </w:rPr>
      </w:pPr>
    </w:p>
    <w:p w14:paraId="4872BCB4" w14:textId="77777777" w:rsidR="00D06CA8" w:rsidRPr="00102CC2" w:rsidRDefault="00D06CA8" w:rsidP="00767E09">
      <w:pPr>
        <w:pStyle w:val="BodyA"/>
        <w:spacing w:line="360" w:lineRule="auto"/>
        <w:ind w:firstLine="720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likelihood of confusion between two marks under Section 2 of the Lanham Act, 15</w:t>
      </w:r>
    </w:p>
    <w:p w14:paraId="67DDAB19" w14:textId="77777777" w:rsidR="00D06CA8" w:rsidRPr="00102CC2" w:rsidRDefault="00D06CA8" w:rsidP="00D06CA8">
      <w:pPr>
        <w:pStyle w:val="BodyA"/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 xml:space="preserve">U.S.C. § 1052, is determined on a case by case basis, aided by the </w:t>
      </w:r>
      <w:r w:rsidRPr="00102CC2">
        <w:rPr>
          <w:rStyle w:val="None"/>
          <w:rFonts w:cs="Times New Roman"/>
          <w:i/>
          <w:iCs/>
          <w:color w:val="000000" w:themeColor="text1"/>
          <w:sz w:val="24"/>
          <w:szCs w:val="24"/>
        </w:rPr>
        <w:t>Du Pont</w:t>
      </w:r>
      <w:r w:rsidRPr="00102CC2">
        <w:rPr>
          <w:rStyle w:val="None"/>
          <w:rFonts w:cs="Times New Roman"/>
          <w:color w:val="000000" w:themeColor="text1"/>
          <w:sz w:val="24"/>
          <w:szCs w:val="24"/>
        </w:rPr>
        <w:t xml:space="preserve"> factors. The thirteen factors set forth in </w:t>
      </w:r>
      <w:r w:rsidRPr="00102CC2">
        <w:rPr>
          <w:rStyle w:val="None"/>
          <w:rFonts w:cs="Times New Roman"/>
          <w:i/>
          <w:iCs/>
          <w:color w:val="000000" w:themeColor="text1"/>
          <w:sz w:val="24"/>
          <w:szCs w:val="24"/>
        </w:rPr>
        <w:t>DuPont</w:t>
      </w:r>
      <w:r w:rsidRPr="00102CC2">
        <w:rPr>
          <w:rStyle w:val="None"/>
          <w:rFonts w:cs="Times New Roman"/>
          <w:color w:val="000000" w:themeColor="text1"/>
          <w:sz w:val="24"/>
          <w:szCs w:val="24"/>
        </w:rPr>
        <w:t xml:space="preserve"> are used to determine a likelihood of confusion between two marks, where available. These factors are:</w:t>
      </w:r>
    </w:p>
    <w:p w14:paraId="6202A65E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similarity or dissimilarity of the marks in their entireties as to appearance, sound, connotation and commercial impression.</w:t>
      </w:r>
    </w:p>
    <w:p w14:paraId="1C273E4C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similarity or dissimilarity and nature of the goods or services as described in an application or registration or in connection with which a prior mark is in use.</w:t>
      </w:r>
    </w:p>
    <w:p w14:paraId="1DEFBA42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similarity or dissimilarity of established, likely-to-continue trade channels.</w:t>
      </w:r>
    </w:p>
    <w:p w14:paraId="6D80C222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conditions under which and buyers to whom sales are made, i. e. “impulse” vs. careful, sophisticated purchasing.</w:t>
      </w:r>
    </w:p>
    <w:p w14:paraId="7ED12380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fame of the prior mark (sales, advertising, length of use).</w:t>
      </w:r>
    </w:p>
    <w:p w14:paraId="130B191A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number and nature of similar marks in use on similar goods.</w:t>
      </w:r>
    </w:p>
    <w:p w14:paraId="482A1121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nature and extent of any actual confusion.</w:t>
      </w:r>
    </w:p>
    <w:p w14:paraId="5777BE59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length of time during and conditions under which there has been concurrent use without evidence of actual confusion.</w:t>
      </w:r>
    </w:p>
    <w:p w14:paraId="0E7831D4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variety of goods on which a mark is or is not used (house mark, “family” mark, product mark).</w:t>
      </w:r>
    </w:p>
    <w:p w14:paraId="4236F408" w14:textId="1E8975C1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market interface between applicant and the owner of a prior mark.</w:t>
      </w:r>
    </w:p>
    <w:p w14:paraId="2F87ADAB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extent to which applicant has a right to exclude others from use of its mark on its goods.</w:t>
      </w:r>
    </w:p>
    <w:p w14:paraId="3691869E" w14:textId="77777777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The extent of potential confusion, i. e., whether de minimis or substantial.</w:t>
      </w:r>
    </w:p>
    <w:p w14:paraId="667B98C4" w14:textId="44D19016" w:rsidR="00D06CA8" w:rsidRPr="00102CC2" w:rsidRDefault="00D06CA8" w:rsidP="00D06CA8">
      <w:pPr>
        <w:pStyle w:val="BodyA"/>
        <w:numPr>
          <w:ilvl w:val="0"/>
          <w:numId w:val="4"/>
        </w:numPr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color w:val="000000" w:themeColor="text1"/>
          <w:sz w:val="24"/>
          <w:szCs w:val="24"/>
        </w:rPr>
        <w:t>Any other established fact probative of the effect of use.</w:t>
      </w:r>
    </w:p>
    <w:p w14:paraId="08553B43" w14:textId="4ED26F22" w:rsidR="00D06CA8" w:rsidRPr="00102CC2" w:rsidRDefault="00D06CA8" w:rsidP="00895D77">
      <w:pPr>
        <w:pStyle w:val="BodyA"/>
        <w:spacing w:line="360" w:lineRule="auto"/>
        <w:ind w:firstLine="360"/>
        <w:rPr>
          <w:rStyle w:val="None"/>
          <w:rFonts w:cs="Times New Roman"/>
          <w:color w:val="000000" w:themeColor="text1"/>
          <w:sz w:val="24"/>
          <w:szCs w:val="24"/>
        </w:rPr>
      </w:pPr>
      <w:hyperlink r:id="rId7" w:history="1">
        <w:r w:rsidRPr="0050328F">
          <w:rPr>
            <w:rStyle w:val="Hyperlink"/>
            <w:rFonts w:cs="Times New Roman"/>
            <w:i/>
            <w:iCs/>
            <w:sz w:val="24"/>
            <w:szCs w:val="24"/>
          </w:rPr>
          <w:t>Application of E. I. DuPont DeNemours &amp; Co.</w:t>
        </w:r>
        <w:r w:rsidRPr="0050328F">
          <w:rPr>
            <w:rStyle w:val="Hyperlink"/>
            <w:rFonts w:cs="Times New Roman"/>
            <w:sz w:val="24"/>
            <w:szCs w:val="24"/>
          </w:rPr>
          <w:t>, 476 F.2d 1357, 1361</w:t>
        </w:r>
      </w:hyperlink>
      <w:r w:rsidRPr="00102CC2">
        <w:rPr>
          <w:rStyle w:val="None"/>
          <w:rFonts w:cs="Times New Roman"/>
          <w:color w:val="000000" w:themeColor="text1"/>
          <w:sz w:val="24"/>
          <w:szCs w:val="24"/>
        </w:rPr>
        <w:t xml:space="preserve"> (C.C.P.A. 1973).</w:t>
      </w:r>
      <w:r w:rsidRPr="00102CC2">
        <w:rPr>
          <w:rStyle w:val="None"/>
          <w:rFonts w:cs="Times New Roman"/>
          <w:color w:val="000000" w:themeColor="text1"/>
          <w:sz w:val="24"/>
          <w:szCs w:val="24"/>
        </w:rPr>
        <w:tab/>
      </w:r>
    </w:p>
    <w:p w14:paraId="228FF99F" w14:textId="77777777" w:rsidR="00D06CA8" w:rsidRPr="00102CC2" w:rsidRDefault="00D06CA8" w:rsidP="00D06CA8">
      <w:pPr>
        <w:pStyle w:val="BodyA"/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</w:p>
    <w:p w14:paraId="63B79627" w14:textId="0B7A2A3F" w:rsidR="00E024A2" w:rsidRPr="00102CC2" w:rsidRDefault="00E024A2" w:rsidP="00264A9D">
      <w:pPr>
        <w:pStyle w:val="Heading"/>
        <w:spacing w:before="162"/>
        <w:ind w:left="140" w:hanging="140"/>
        <w:rPr>
          <w:rStyle w:val="None"/>
          <w:rFonts w:cs="Times New Roman"/>
          <w:color w:val="000000" w:themeColor="text1"/>
          <w:u w:val="none"/>
        </w:rPr>
      </w:pPr>
      <w:r w:rsidRPr="00102CC2">
        <w:rPr>
          <w:rStyle w:val="None"/>
          <w:rFonts w:cs="Times New Roman"/>
          <w:color w:val="000000" w:themeColor="text1"/>
          <w:u w:val="thick"/>
        </w:rPr>
        <w:t>Arguments</w:t>
      </w:r>
    </w:p>
    <w:p w14:paraId="068627F5" w14:textId="77777777" w:rsidR="00E024A2" w:rsidRPr="00102CC2" w:rsidRDefault="00E024A2" w:rsidP="00D06CA8">
      <w:pPr>
        <w:pStyle w:val="BodyA"/>
        <w:spacing w:line="360" w:lineRule="auto"/>
        <w:rPr>
          <w:rStyle w:val="None"/>
          <w:rFonts w:cs="Times New Roman"/>
          <w:color w:val="000000" w:themeColor="text1"/>
          <w:sz w:val="24"/>
          <w:szCs w:val="24"/>
        </w:rPr>
      </w:pPr>
    </w:p>
    <w:p w14:paraId="737D03BB" w14:textId="212A6C69" w:rsidR="003559A2" w:rsidRPr="00102CC2" w:rsidRDefault="00000000" w:rsidP="00EC73A2">
      <w:pPr>
        <w:pStyle w:val="BodyA"/>
        <w:spacing w:line="360" w:lineRule="auto"/>
        <w:ind w:firstLine="720"/>
        <w:rPr>
          <w:rStyle w:val="None"/>
          <w:rFonts w:cs="Times New Roman"/>
          <w:b/>
          <w:bCs/>
          <w:color w:val="000000" w:themeColor="text1"/>
          <w:sz w:val="24"/>
          <w:szCs w:val="24"/>
        </w:rPr>
      </w:pPr>
      <w:r w:rsidRPr="00102CC2">
        <w:rPr>
          <w:rStyle w:val="None"/>
          <w:rFonts w:cs="Times New Roman"/>
          <w:b/>
          <w:bCs/>
          <w:color w:val="000000" w:themeColor="text1"/>
          <w:sz w:val="24"/>
          <w:szCs w:val="24"/>
        </w:rPr>
        <w:t>A.</w:t>
      </w:r>
      <w:r w:rsidRPr="00102CC2">
        <w:rPr>
          <w:rStyle w:val="None"/>
          <w:rFonts w:cs="Times New Roman"/>
          <w:color w:val="000000" w:themeColor="text1"/>
          <w:sz w:val="24"/>
          <w:szCs w:val="24"/>
        </w:rPr>
        <w:t xml:space="preserve"> </w:t>
      </w:r>
      <w:r w:rsidR="00285758">
        <w:rPr>
          <w:rStyle w:val="None"/>
          <w:rFonts w:cs="Times New Roman"/>
          <w:color w:val="000000" w:themeColor="text1"/>
          <w:sz w:val="24"/>
          <w:szCs w:val="24"/>
        </w:rPr>
        <w:t>{</w:t>
      </w:r>
      <w:r w:rsidR="00285758"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  <w:t>{selected_argument_1}}</w:t>
      </w:r>
    </w:p>
    <w:p w14:paraId="4EDC214E" w14:textId="27AF2118" w:rsidR="00536AD0" w:rsidRPr="00102CC2" w:rsidRDefault="00536AD0" w:rsidP="00536AD0">
      <w:pPr>
        <w:spacing w:line="360" w:lineRule="auto"/>
        <w:ind w:firstLine="720"/>
        <w:rPr>
          <w:rStyle w:val="NoneA"/>
          <w:color w:val="000000" w:themeColor="text1"/>
          <w:lang w:eastAsia="zh-CN"/>
        </w:rPr>
      </w:pPr>
    </w:p>
    <w:p w14:paraId="6DF69D5A" w14:textId="2AB6D012" w:rsidR="00536AD0" w:rsidRPr="00102CC2" w:rsidRDefault="00464B56" w:rsidP="00536AD0">
      <w:pPr>
        <w:spacing w:line="360" w:lineRule="auto"/>
        <w:ind w:firstLine="720"/>
        <w:rPr>
          <w:rStyle w:val="NoneA"/>
          <w:color w:val="000000" w:themeColor="text1"/>
          <w:lang w:eastAsia="zh-CN"/>
        </w:rPr>
      </w:pPr>
      <w:r>
        <w:rPr>
          <w:rStyle w:val="NoneA"/>
          <w:color w:val="000000" w:themeColor="text1"/>
          <w:lang w:eastAsia="zh-CN"/>
        </w:rPr>
        <w:t>{{</w:t>
      </w:r>
      <w:r w:rsidR="00285758">
        <w:rPr>
          <w:rStyle w:val="NoneA"/>
          <w:color w:val="000000" w:themeColor="text1"/>
          <w:lang w:eastAsia="zh-CN"/>
        </w:rPr>
        <w:t>draft_</w:t>
      </w:r>
      <w:r w:rsidR="008C6B07">
        <w:rPr>
          <w:rStyle w:val="NoneA"/>
          <w:color w:val="000000" w:themeColor="text1"/>
          <w:lang w:eastAsia="zh-CN"/>
        </w:rPr>
        <w:t>1}}</w:t>
      </w:r>
    </w:p>
    <w:p w14:paraId="2B3494B3" w14:textId="77777777" w:rsidR="005C3953" w:rsidRPr="00102CC2" w:rsidRDefault="005C3953" w:rsidP="00536AD0">
      <w:pPr>
        <w:pStyle w:val="BodyA"/>
        <w:spacing w:line="360" w:lineRule="auto"/>
        <w:rPr>
          <w:rStyle w:val="None"/>
          <w:rFonts w:cs="Times New Roman"/>
          <w:color w:val="000000" w:themeColor="text1"/>
          <w:sz w:val="24"/>
          <w:szCs w:val="24"/>
          <w:shd w:val="clear" w:color="auto" w:fill="FFFF00"/>
          <w:lang w:val="en-US"/>
        </w:rPr>
      </w:pPr>
    </w:p>
    <w:p w14:paraId="4809766D" w14:textId="324D211F" w:rsidR="003559A2" w:rsidRDefault="003E3D5D">
      <w:pPr>
        <w:pStyle w:val="BodyA"/>
        <w:spacing w:line="360" w:lineRule="auto"/>
        <w:ind w:firstLine="720"/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</w:pPr>
      <w:r w:rsidRPr="00102CC2"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  <w:t xml:space="preserve">B. </w:t>
      </w:r>
      <w:r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  <w:t>{{</w:t>
      </w:r>
      <w:r w:rsidR="00464B56"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  <w:t>selected_argument_2}}</w:t>
      </w:r>
    </w:p>
    <w:p w14:paraId="5F7EAA31" w14:textId="77777777" w:rsidR="003E3D5D" w:rsidRPr="00102CC2" w:rsidRDefault="003E3D5D">
      <w:pPr>
        <w:pStyle w:val="BodyA"/>
        <w:spacing w:line="360" w:lineRule="auto"/>
        <w:ind w:firstLine="720"/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</w:pPr>
    </w:p>
    <w:p w14:paraId="2914E704" w14:textId="4D5F7C73" w:rsidR="000D4443" w:rsidRPr="00102CC2" w:rsidRDefault="00464B56" w:rsidP="00464B56">
      <w:pPr>
        <w:spacing w:line="360" w:lineRule="auto"/>
        <w:ind w:firstLine="720"/>
        <w:rPr>
          <w:rStyle w:val="NoneA"/>
          <w:color w:val="000000" w:themeColor="text1"/>
        </w:rPr>
      </w:pPr>
      <w:r>
        <w:rPr>
          <w:rStyle w:val="NoneA"/>
          <w:color w:val="000000" w:themeColor="text1"/>
        </w:rPr>
        <w:t>{{draft_2}}</w:t>
      </w:r>
    </w:p>
    <w:p w14:paraId="3DA7AA5F" w14:textId="77777777" w:rsidR="005C3953" w:rsidRPr="00102CC2" w:rsidRDefault="005C3953" w:rsidP="00536AD0">
      <w:pPr>
        <w:pStyle w:val="BodyA"/>
        <w:spacing w:line="360" w:lineRule="auto"/>
        <w:rPr>
          <w:rFonts w:cs="Times New Roman"/>
          <w:color w:val="000000" w:themeColor="text1"/>
          <w:sz w:val="24"/>
          <w:szCs w:val="24"/>
          <w:shd w:val="clear" w:color="auto" w:fill="FFFF00"/>
          <w:lang w:val="en-US"/>
        </w:rPr>
      </w:pPr>
    </w:p>
    <w:p w14:paraId="7652C8DB" w14:textId="439F980F" w:rsidR="00536AD0" w:rsidRDefault="00000000" w:rsidP="003E3D5D">
      <w:pPr>
        <w:pStyle w:val="BodyA"/>
        <w:spacing w:line="360" w:lineRule="auto"/>
        <w:ind w:firstLine="720"/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</w:pPr>
      <w:r w:rsidRPr="00102CC2"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  <w:t xml:space="preserve">C. </w:t>
      </w:r>
      <w:r w:rsidR="00E5175F" w:rsidRPr="00102CC2">
        <w:rPr>
          <w:rStyle w:val="None"/>
          <w:rFonts w:cs="Times New Roman"/>
          <w:b/>
          <w:bCs/>
          <w:color w:val="000000" w:themeColor="text1"/>
          <w:sz w:val="24"/>
          <w:szCs w:val="24"/>
          <w:lang w:val="en-US"/>
        </w:rPr>
        <w:t>The conditions under which and buyers to whom sales are made, i. e. “impulse” vs. careful, sophisticated purchasing.</w:t>
      </w:r>
    </w:p>
    <w:p w14:paraId="7F7D24D0" w14:textId="77777777" w:rsidR="003E3D5D" w:rsidRPr="003E3D5D" w:rsidRDefault="003E3D5D" w:rsidP="003E3D5D">
      <w:pPr>
        <w:pStyle w:val="BodyA"/>
        <w:spacing w:line="360" w:lineRule="auto"/>
        <w:ind w:firstLine="720"/>
        <w:rPr>
          <w:rStyle w:val="NoneA"/>
          <w:rFonts w:cs="Times New Roman"/>
          <w:b/>
          <w:bCs/>
          <w:color w:val="000000" w:themeColor="text1"/>
          <w:sz w:val="24"/>
          <w:szCs w:val="24"/>
          <w:lang w:val="en-US"/>
        </w:rPr>
      </w:pPr>
    </w:p>
    <w:p w14:paraId="093FD318" w14:textId="4338D0F7" w:rsidR="005C3953" w:rsidRPr="00102CC2" w:rsidRDefault="00096827" w:rsidP="00094B01">
      <w:pPr>
        <w:spacing w:line="360" w:lineRule="auto"/>
        <w:ind w:firstLine="720"/>
        <w:rPr>
          <w:rStyle w:val="NoneA"/>
          <w:color w:val="000000" w:themeColor="text1"/>
        </w:rPr>
      </w:pPr>
      <w:r>
        <w:rPr>
          <w:rStyle w:val="NoneA"/>
          <w:color w:val="000000" w:themeColor="text1"/>
        </w:rPr>
        <w:t>{{draft_3}}</w:t>
      </w:r>
    </w:p>
    <w:p w14:paraId="5652BE4A" w14:textId="77777777" w:rsidR="00094B01" w:rsidRPr="00102CC2" w:rsidRDefault="00094B01" w:rsidP="00FF1D19">
      <w:pPr>
        <w:spacing w:line="360" w:lineRule="auto"/>
        <w:rPr>
          <w:color w:val="000000" w:themeColor="text1"/>
        </w:rPr>
      </w:pPr>
    </w:p>
    <w:p w14:paraId="5B9AF4F6" w14:textId="5629E987" w:rsidR="00617820" w:rsidRPr="00102CC2" w:rsidRDefault="00617820" w:rsidP="00264A9D">
      <w:pPr>
        <w:pStyle w:val="Heading"/>
        <w:spacing w:before="162"/>
        <w:ind w:left="140" w:hanging="140"/>
        <w:rPr>
          <w:rStyle w:val="None"/>
          <w:rFonts w:cs="Times New Roman"/>
          <w:color w:val="000000" w:themeColor="text1"/>
          <w:u w:val="none"/>
        </w:rPr>
      </w:pPr>
      <w:r w:rsidRPr="00102CC2">
        <w:rPr>
          <w:rStyle w:val="None"/>
          <w:rFonts w:cs="Times New Roman"/>
          <w:color w:val="000000" w:themeColor="text1"/>
          <w:u w:val="thick"/>
        </w:rPr>
        <w:t>Conclusion</w:t>
      </w:r>
    </w:p>
    <w:p w14:paraId="56B05B4A" w14:textId="77777777" w:rsidR="003559A2" w:rsidRPr="00102CC2" w:rsidRDefault="003559A2">
      <w:pPr>
        <w:pStyle w:val="BodyText"/>
        <w:spacing w:before="1"/>
        <w:ind w:left="0"/>
        <w:rPr>
          <w:rStyle w:val="None"/>
          <w:rFonts w:cs="Times New Roman"/>
          <w:b/>
          <w:bCs/>
          <w:color w:val="000000" w:themeColor="text1"/>
        </w:rPr>
      </w:pPr>
    </w:p>
    <w:p w14:paraId="46AB0C46" w14:textId="417FDEFC" w:rsidR="003559A2" w:rsidRPr="00102CC2" w:rsidRDefault="00000000" w:rsidP="00264A9D">
      <w:pPr>
        <w:pStyle w:val="BodyText"/>
        <w:spacing w:line="360" w:lineRule="auto"/>
        <w:ind w:left="0" w:right="381" w:firstLine="72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 xml:space="preserve">There is no likelihood of confusion between the Applicant’s mark </w:t>
      </w:r>
      <w:r w:rsidR="00B26A96">
        <w:rPr>
          <w:rStyle w:val="None"/>
          <w:rFonts w:cs="Times New Roman"/>
          <w:color w:val="000000" w:themeColor="text1"/>
          <w:u w:color="FF0000"/>
        </w:rPr>
        <w:t>{{applicant_mark}}</w:t>
      </w:r>
      <w:r w:rsidRPr="00102CC2">
        <w:rPr>
          <w:rStyle w:val="None"/>
          <w:rFonts w:cs="Times New Roman"/>
          <w:color w:val="000000" w:themeColor="text1"/>
          <w:u w:color="FF0000"/>
        </w:rPr>
        <w:t xml:space="preserve"> </w:t>
      </w:r>
      <w:r w:rsidRPr="00102CC2">
        <w:rPr>
          <w:rStyle w:val="NoneA"/>
          <w:rFonts w:cs="Times New Roman"/>
          <w:color w:val="000000" w:themeColor="text1"/>
        </w:rPr>
        <w:t xml:space="preserve">and the Cited Mark </w:t>
      </w:r>
      <w:r w:rsidR="00B26A96">
        <w:rPr>
          <w:rStyle w:val="None"/>
          <w:rFonts w:cs="Times New Roman"/>
          <w:color w:val="000000" w:themeColor="text1"/>
          <w:u w:color="FF0000"/>
        </w:rPr>
        <w:t>{{conflicting_mark}}</w:t>
      </w:r>
      <w:r w:rsidRPr="00102CC2">
        <w:rPr>
          <w:rStyle w:val="NoneA"/>
          <w:rFonts w:cs="Times New Roman"/>
          <w:color w:val="000000" w:themeColor="text1"/>
        </w:rPr>
        <w:t>. Considering the foregoing arguments, Applicant respectfully requests that the Examining Attorney withdraw the refusal to register Applicant’s mark.</w:t>
      </w:r>
    </w:p>
    <w:p w14:paraId="2B02A841" w14:textId="77777777" w:rsidR="003559A2" w:rsidRPr="00102CC2" w:rsidRDefault="003559A2">
      <w:pPr>
        <w:pStyle w:val="BodyText"/>
        <w:ind w:left="0"/>
        <w:rPr>
          <w:rStyle w:val="NoneA"/>
          <w:rFonts w:cs="Times New Roman"/>
          <w:color w:val="000000" w:themeColor="text1"/>
        </w:rPr>
      </w:pPr>
    </w:p>
    <w:p w14:paraId="1FFDA2C0" w14:textId="62CC2BB6" w:rsidR="003559A2" w:rsidRPr="00102CC2" w:rsidRDefault="00000000">
      <w:pPr>
        <w:pStyle w:val="BodyText"/>
        <w:spacing w:before="5"/>
        <w:ind w:left="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"/>
          <w:rFonts w:cs="Times New Roman"/>
          <w:color w:val="000000" w:themeColor="text1"/>
          <w:u w:color="FF0000"/>
        </w:rPr>
        <w:t>[Applicant’s attorney’s name]</w:t>
      </w:r>
    </w:p>
    <w:p w14:paraId="6059711F" w14:textId="6151F9C6" w:rsidR="003559A2" w:rsidRPr="00102CC2" w:rsidRDefault="00000000">
      <w:pPr>
        <w:pStyle w:val="BodyText"/>
        <w:spacing w:before="5"/>
        <w:ind w:left="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="007C652E" w:rsidRPr="00102CC2">
        <w:rPr>
          <w:rStyle w:val="None"/>
          <w:rFonts w:cs="Times New Roman"/>
          <w:color w:val="000000" w:themeColor="text1"/>
          <w:u w:color="FF0000"/>
        </w:rPr>
        <w:t>[Applicant’s attorney’s firm]</w:t>
      </w:r>
    </w:p>
    <w:p w14:paraId="62559624" w14:textId="6B8947F3" w:rsidR="003559A2" w:rsidRPr="00102CC2" w:rsidRDefault="00000000">
      <w:pPr>
        <w:pStyle w:val="BodyText"/>
        <w:spacing w:before="5"/>
        <w:ind w:left="0"/>
        <w:rPr>
          <w:rFonts w:cs="Times New Roman"/>
          <w:color w:val="000000" w:themeColor="text1"/>
        </w:rPr>
      </w:pP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Pr="00102CC2">
        <w:rPr>
          <w:rStyle w:val="NoneA"/>
          <w:rFonts w:cs="Times New Roman"/>
          <w:color w:val="000000" w:themeColor="text1"/>
        </w:rPr>
        <w:tab/>
      </w:r>
      <w:r w:rsidR="007C652E" w:rsidRPr="00102CC2">
        <w:rPr>
          <w:rStyle w:val="None"/>
          <w:rFonts w:cs="Times New Roman"/>
          <w:color w:val="000000" w:themeColor="text1"/>
          <w:u w:color="FF0000"/>
        </w:rPr>
        <w:t>[Applicant’s attorney’s street address]</w:t>
      </w:r>
    </w:p>
    <w:p w14:paraId="4BFAE185" w14:textId="21EB75AA" w:rsidR="003559A2" w:rsidRPr="00102CC2" w:rsidRDefault="00000000">
      <w:pPr>
        <w:pStyle w:val="BodyText"/>
        <w:spacing w:before="5"/>
        <w:ind w:left="3020" w:firstLine="580"/>
        <w:rPr>
          <w:rFonts w:cs="Times New Roman"/>
          <w:color w:val="000000" w:themeColor="text1"/>
        </w:rPr>
      </w:pPr>
      <w:r w:rsidRPr="00102CC2">
        <w:rPr>
          <w:rStyle w:val="None"/>
          <w:rFonts w:cs="Times New Roman"/>
          <w:color w:val="000000" w:themeColor="text1"/>
          <w:u w:color="FF0000"/>
        </w:rPr>
        <w:t>[Applicant’s attorney’s primary email address]</w:t>
      </w:r>
    </w:p>
    <w:sectPr w:rsidR="003559A2" w:rsidRPr="00102CC2">
      <w:headerReference w:type="default" r:id="rId8"/>
      <w:footerReference w:type="default" r:id="rId9"/>
      <w:pgSz w:w="12240" w:h="15840"/>
      <w:pgMar w:top="1380" w:right="1300" w:bottom="1240" w:left="1300" w:header="0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E0603" w14:textId="77777777" w:rsidR="00791222" w:rsidRDefault="00791222">
      <w:r>
        <w:separator/>
      </w:r>
    </w:p>
  </w:endnote>
  <w:endnote w:type="continuationSeparator" w:id="0">
    <w:p w14:paraId="613387B9" w14:textId="77777777" w:rsidR="00791222" w:rsidRDefault="0079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D44DF" w14:textId="15B8A144" w:rsidR="003559A2" w:rsidRDefault="00EC73A2">
    <w:pPr>
      <w:pStyle w:val="BodyText"/>
      <w:spacing w:line="24" w:lineRule="auto"/>
      <w:ind w:left="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36F63C5" wp14:editId="76ECF342">
              <wp:simplePos x="0" y="0"/>
              <wp:positionH relativeFrom="page">
                <wp:posOffset>833755</wp:posOffset>
              </wp:positionH>
              <wp:positionV relativeFrom="page">
                <wp:posOffset>9484116</wp:posOffset>
              </wp:positionV>
              <wp:extent cx="5549900" cy="368300"/>
              <wp:effectExtent l="0" t="0" r="0" b="0"/>
              <wp:wrapNone/>
              <wp:docPr id="1073741826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49900" cy="3683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3FD3FC8" w14:textId="1321EB3F" w:rsidR="003559A2" w:rsidRDefault="00000000">
                          <w:pPr>
                            <w:pStyle w:val="BodyText"/>
                            <w:tabs>
                              <w:tab w:val="left" w:pos="860"/>
                              <w:tab w:val="left" w:pos="3021"/>
                            </w:tabs>
                            <w:spacing w:before="90" w:line="275" w:lineRule="exact"/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Response to Office Action---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Ser. No. </w:t>
                          </w:r>
                          <w:r w:rsidRPr="00FF1D19"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u w:color="FF0000"/>
                            </w:rPr>
                            <w:t>[Applicant’s U.S. Application Serial No.]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6F63C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Text Box 1" style="position:absolute;margin-left:65.65pt;margin-top:746.8pt;width:437pt;height:29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" filled="f" stroked="f" strokeweight="1pt">
              <v:stroke miterlimit="4"/>
              <v:textbox inset="0,0,0,0">
                <w:txbxContent>
                  <w:p w14:paraId="23FD3FC8" w14:textId="1321EB3F" w:rsidR="003559A2" w:rsidRDefault="00000000">
                    <w:pPr>
                      <w:pStyle w:val="BodyText"/>
                      <w:tabs>
                        <w:tab w:val="left" w:pos="860"/>
                        <w:tab w:val="left" w:pos="3021"/>
                      </w:tabs>
                      <w:spacing w:before="90" w:line="275" w:lineRule="exact"/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Response to Office Action---</w:t>
                    </w:r>
                    <w:r>
                      <w:rPr>
                        <w:sz w:val="20"/>
                        <w:szCs w:val="20"/>
                      </w:rPr>
                      <w:t xml:space="preserve">Ser. No. </w:t>
                    </w:r>
                    <w:r w:rsidRPr="00FF1D19">
                      <w:rPr>
                        <w:i/>
                        <w:iCs/>
                        <w:color w:val="000000" w:themeColor="text1"/>
                        <w:sz w:val="20"/>
                        <w:szCs w:val="20"/>
                        <w:u w:color="FF0000"/>
                      </w:rPr>
                      <w:t>[Applicant’s U.S. Application Serial No.]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085BE" w14:textId="77777777" w:rsidR="00791222" w:rsidRDefault="00791222">
      <w:r>
        <w:separator/>
      </w:r>
    </w:p>
  </w:footnote>
  <w:footnote w:type="continuationSeparator" w:id="0">
    <w:p w14:paraId="5F4A4A4D" w14:textId="77777777" w:rsidR="00791222" w:rsidRDefault="00791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C4586" w14:textId="4FB82DD6" w:rsidR="003559A2" w:rsidRDefault="00000000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EAA029A" wp14:editId="1B32B5A6">
              <wp:simplePos x="0" y="0"/>
              <wp:positionH relativeFrom="page">
                <wp:posOffset>3661406</wp:posOffset>
              </wp:positionH>
              <wp:positionV relativeFrom="page">
                <wp:posOffset>9251311</wp:posOffset>
              </wp:positionV>
              <wp:extent cx="480695" cy="194314"/>
              <wp:effectExtent l="0" t="0" r="0" b="0"/>
              <wp:wrapNone/>
              <wp:docPr id="1073741825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695" cy="19431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A10800B" w14:textId="77777777" w:rsidR="003559A2" w:rsidRDefault="00000000">
                          <w:pPr>
                            <w:pStyle w:val="BodyA"/>
                            <w:spacing w:before="10"/>
                            <w:ind w:left="20"/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Page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A029A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2" style="position:absolute;margin-left:288.3pt;margin-top:728.45pt;width:37.85pt;height:15.3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" filled="f" stroked="f" strokeweight="1pt">
              <v:stroke miterlimit="4"/>
              <v:textbox inset="0,0,0,0">
                <w:txbxContent>
                  <w:p w14:paraId="0A10800B" w14:textId="77777777" w:rsidR="003559A2" w:rsidRDefault="00000000">
                    <w:pPr>
                      <w:pStyle w:val="BodyA"/>
                      <w:spacing w:before="10"/>
                      <w:ind w:left="20"/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Page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1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505FD"/>
    <w:multiLevelType w:val="hybridMultilevel"/>
    <w:tmpl w:val="CFA69DE8"/>
    <w:styleLink w:val="ImportedStyle1"/>
    <w:lvl w:ilvl="0" w:tplc="75549EE0">
      <w:start w:val="1"/>
      <w:numFmt w:val="decimal"/>
      <w:lvlText w:val="(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D2FE9E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9AF12A">
      <w:start w:val="1"/>
      <w:numFmt w:val="lowerRoman"/>
      <w:lvlText w:val="%3."/>
      <w:lvlJc w:val="left"/>
      <w:pPr>
        <w:ind w:left="2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C20CCE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2A95C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4EF236">
      <w:start w:val="1"/>
      <w:numFmt w:val="lowerRoman"/>
      <w:lvlText w:val="%6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D46A4E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8865D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BA87BC">
      <w:start w:val="1"/>
      <w:numFmt w:val="lowerRoman"/>
      <w:lvlText w:val="%9."/>
      <w:lvlJc w:val="left"/>
      <w:pPr>
        <w:ind w:left="7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B1A6A1D"/>
    <w:multiLevelType w:val="hybridMultilevel"/>
    <w:tmpl w:val="CFA69DE8"/>
    <w:numStyleLink w:val="ImportedStyle1"/>
  </w:abstractNum>
  <w:abstractNum w:abstractNumId="2" w15:restartNumberingAfterBreak="0">
    <w:nsid w:val="6E4D52D9"/>
    <w:multiLevelType w:val="hybridMultilevel"/>
    <w:tmpl w:val="D51087CE"/>
    <w:lvl w:ilvl="0" w:tplc="796EF6CA">
      <w:start w:val="1"/>
      <w:numFmt w:val="decimal"/>
      <w:suff w:val="space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3653">
    <w:abstractNumId w:val="0"/>
  </w:num>
  <w:num w:numId="2" w16cid:durableId="573398784">
    <w:abstractNumId w:val="1"/>
  </w:num>
  <w:num w:numId="3" w16cid:durableId="649022127">
    <w:abstractNumId w:val="1"/>
    <w:lvlOverride w:ilvl="0">
      <w:lvl w:ilvl="0" w:tplc="AEB0420E">
        <w:start w:val="1"/>
        <w:numFmt w:val="decimal"/>
        <w:lvlText w:val="(%1)"/>
        <w:lvlJc w:val="left"/>
        <w:pPr>
          <w:ind w:left="13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576B144">
        <w:start w:val="1"/>
        <w:numFmt w:val="lowerLetter"/>
        <w:lvlText w:val="%2."/>
        <w:lvlJc w:val="left"/>
        <w:pPr>
          <w:ind w:left="20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E6E2E0">
        <w:start w:val="1"/>
        <w:numFmt w:val="lowerRoman"/>
        <w:lvlText w:val="%3."/>
        <w:lvlJc w:val="left"/>
        <w:pPr>
          <w:ind w:left="279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FFADF28">
        <w:start w:val="1"/>
        <w:numFmt w:val="decimal"/>
        <w:lvlText w:val="%4."/>
        <w:lvlJc w:val="left"/>
        <w:pPr>
          <w:ind w:left="35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97ECB4A">
        <w:start w:val="1"/>
        <w:numFmt w:val="lowerLetter"/>
        <w:lvlText w:val="%5."/>
        <w:lvlJc w:val="left"/>
        <w:pPr>
          <w:ind w:left="42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261CF6">
        <w:start w:val="1"/>
        <w:numFmt w:val="lowerRoman"/>
        <w:lvlText w:val="%6."/>
        <w:lvlJc w:val="left"/>
        <w:pPr>
          <w:ind w:left="495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F46C94">
        <w:start w:val="1"/>
        <w:numFmt w:val="decimal"/>
        <w:lvlText w:val="%7."/>
        <w:lvlJc w:val="left"/>
        <w:pPr>
          <w:ind w:left="56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6CFDCE">
        <w:start w:val="1"/>
        <w:numFmt w:val="lowerLetter"/>
        <w:lvlText w:val="%8."/>
        <w:lvlJc w:val="left"/>
        <w:pPr>
          <w:ind w:left="63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032C8A6">
        <w:start w:val="1"/>
        <w:numFmt w:val="lowerRoman"/>
        <w:lvlText w:val="%9."/>
        <w:lvlJc w:val="left"/>
        <w:pPr>
          <w:ind w:left="711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937444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A2"/>
    <w:rsid w:val="0002144F"/>
    <w:rsid w:val="00052A82"/>
    <w:rsid w:val="00094B01"/>
    <w:rsid w:val="00096827"/>
    <w:rsid w:val="000D4443"/>
    <w:rsid w:val="001013AD"/>
    <w:rsid w:val="00102CC2"/>
    <w:rsid w:val="0017267F"/>
    <w:rsid w:val="00264A9D"/>
    <w:rsid w:val="00285758"/>
    <w:rsid w:val="003559A2"/>
    <w:rsid w:val="003E3D5D"/>
    <w:rsid w:val="003F76E4"/>
    <w:rsid w:val="00464B56"/>
    <w:rsid w:val="0047274F"/>
    <w:rsid w:val="00491340"/>
    <w:rsid w:val="004C6C5E"/>
    <w:rsid w:val="004E7010"/>
    <w:rsid w:val="005012CB"/>
    <w:rsid w:val="0050328F"/>
    <w:rsid w:val="00536AD0"/>
    <w:rsid w:val="005B26EC"/>
    <w:rsid w:val="005C3953"/>
    <w:rsid w:val="00617820"/>
    <w:rsid w:val="00714DA9"/>
    <w:rsid w:val="00767E09"/>
    <w:rsid w:val="00791222"/>
    <w:rsid w:val="007C652E"/>
    <w:rsid w:val="00895D77"/>
    <w:rsid w:val="008C6B07"/>
    <w:rsid w:val="009457E4"/>
    <w:rsid w:val="009E53A7"/>
    <w:rsid w:val="00A4185C"/>
    <w:rsid w:val="00A55B2D"/>
    <w:rsid w:val="00AD7FDC"/>
    <w:rsid w:val="00B26A96"/>
    <w:rsid w:val="00B32BE0"/>
    <w:rsid w:val="00CB7461"/>
    <w:rsid w:val="00D06CA8"/>
    <w:rsid w:val="00D53A09"/>
    <w:rsid w:val="00DF6CBC"/>
    <w:rsid w:val="00E024A2"/>
    <w:rsid w:val="00E41227"/>
    <w:rsid w:val="00E5175F"/>
    <w:rsid w:val="00EC5B19"/>
    <w:rsid w:val="00EC73A2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35DC6"/>
  <w15:docId w15:val="{3A1418AC-21CF-466C-B02D-EEA54842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widowControl w:val="0"/>
    </w:pPr>
    <w:rPr>
      <w:rFonts w:cs="Arial Unicode MS"/>
      <w:color w:val="000000"/>
      <w:sz w:val="22"/>
      <w:szCs w:val="22"/>
      <w:u w:color="000000"/>
      <w:lang w:val="da-DK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">
    <w:name w:val="Body Text"/>
    <w:pPr>
      <w:widowControl w:val="0"/>
      <w:ind w:left="140"/>
    </w:pPr>
    <w:rPr>
      <w:rFonts w:cs="Arial Unicode MS"/>
      <w:color w:val="000000"/>
      <w:sz w:val="24"/>
      <w:szCs w:val="24"/>
      <w:u w:color="000000"/>
    </w:rPr>
  </w:style>
  <w:style w:type="character" w:customStyle="1" w:styleId="NoneA">
    <w:name w:val="None A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  <w:shd w:val="clear" w:color="auto" w:fill="00FF00"/>
    </w:rPr>
  </w:style>
  <w:style w:type="paragraph" w:customStyle="1" w:styleId="Heading">
    <w:name w:val="Heading"/>
    <w:pPr>
      <w:widowControl w:val="0"/>
      <w:ind w:left="861"/>
      <w:outlineLvl w:val="0"/>
    </w:pPr>
    <w:rPr>
      <w:rFonts w:cs="Arial Unicode MS"/>
      <w:b/>
      <w:bCs/>
      <w:color w:val="000000"/>
      <w:sz w:val="24"/>
      <w:szCs w:val="24"/>
      <w:u w:val="single"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None"/>
    <w:rPr>
      <w:outline w:val="0"/>
      <w:color w:val="0000FF"/>
      <w:u w:val="single" w:color="0000F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6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CA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6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CA8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03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setext.com/case/application-of-ei-dupont-denemours-amp-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DB243</cp:lastModifiedBy>
  <cp:revision>3</cp:revision>
  <dcterms:created xsi:type="dcterms:W3CDTF">2025-03-12T19:18:00Z</dcterms:created>
  <dcterms:modified xsi:type="dcterms:W3CDTF">2025-03-12T19:29:00Z</dcterms:modified>
</cp:coreProperties>
</file>