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3E98A" w14:textId="15237F1F" w:rsidR="00FF5BD2" w:rsidRDefault="00FF5BD2" w:rsidP="00FF5BD2">
      <w:r>
        <w:t>Research Question</w:t>
      </w:r>
    </w:p>
    <w:p w14:paraId="6AA2FA65" w14:textId="77777777" w:rsidR="00FF5BD2" w:rsidRDefault="00FF5BD2" w:rsidP="00FF5BD2"/>
    <w:p w14:paraId="096CD56D" w14:textId="14021DFF" w:rsidR="00FF5BD2" w:rsidRDefault="00FF5BD2" w:rsidP="00FF5BD2">
      <w:r>
        <w:t>How do global (Differential Evolution) and local (L-BFGS-B) minimisers compare in estimating coefficients for multiple linear regression when the true response surface contains multiple local minima?</w:t>
      </w:r>
    </w:p>
    <w:p w14:paraId="2F447D2E" w14:textId="77777777" w:rsidR="00FF5BD2" w:rsidRDefault="00FF5BD2" w:rsidP="00FF5BD2"/>
    <w:p w14:paraId="71832B98" w14:textId="039C6E8B" w:rsidR="00FF5BD2" w:rsidRDefault="00FF5BD2" w:rsidP="00FF5BD2">
      <w:r>
        <w:t>Proposed Simulation Methodology</w:t>
      </w:r>
    </w:p>
    <w:p w14:paraId="502C56E9" w14:textId="77777777" w:rsidR="00FF5BD2" w:rsidRDefault="00FF5BD2" w:rsidP="00FF5BD2"/>
    <w:p w14:paraId="500F09AD" w14:textId="77777777" w:rsidR="00FF5BD2" w:rsidRDefault="00FF5BD2" w:rsidP="00FF5BD2">
      <w:r>
        <w:t>Generate a controlled dataset where standard linear regression assumptions fail: create a predictor matrix X (100 samples, 3 features) and define the true relationship as y = Xβ + ε + f(x), where f(x) introduces a non-convex perturbation (e.g., a sinusoidal term or Gaussian bump). This creates spurious local minima in the sum of squared residuals objective function.</w:t>
      </w:r>
    </w:p>
    <w:p w14:paraId="6BF3144D" w14:textId="77777777" w:rsidR="00FF5BD2" w:rsidRDefault="00FF5BD2" w:rsidP="00FF5BD2"/>
    <w:p w14:paraId="675EC1BC" w14:textId="06ECC268" w:rsidR="00FF5BD2" w:rsidRDefault="00FF5BD2" w:rsidP="00FF5BD2">
      <w:r>
        <w:t>Key Comparisons</w:t>
      </w:r>
    </w:p>
    <w:p w14:paraId="393B3B90" w14:textId="77777777" w:rsidR="00FF5BD2" w:rsidRDefault="00FF5BD2" w:rsidP="00FF5BD2"/>
    <w:p w14:paraId="3068DD3A" w14:textId="5ADF6F5F" w:rsidR="00FF5BD2" w:rsidRDefault="00FF5BD2" w:rsidP="00FF5BD2">
      <w:r>
        <w:t>1. Coefficient recovery: Compare estimated β against true β under both methods</w:t>
      </w:r>
    </w:p>
    <w:p w14:paraId="41FBD2B6" w14:textId="612AC55C" w:rsidR="00FF5BD2" w:rsidRDefault="00FF5BD2" w:rsidP="00FF5BD2">
      <w:r>
        <w:t>2. Starting point sensitivity: Run local minimiser from 100 random initialisations; record how many converge to true global minimum vs. local traps</w:t>
      </w:r>
    </w:p>
    <w:p w14:paraId="74CF6562" w14:textId="1C0D286A" w:rsidR="00FF5BD2" w:rsidRDefault="00FF5BD2" w:rsidP="00FF5BD2">
      <w:r>
        <w:t>3. Precision: After DE identifies the correct region, measure how much local refinement improves the coefficient estimates</w:t>
      </w:r>
    </w:p>
    <w:p w14:paraId="53715590" w14:textId="77777777" w:rsidR="00FF5BD2" w:rsidRDefault="00FF5BD2" w:rsidP="00FF5BD2"/>
    <w:p w14:paraId="411C83EC" w14:textId="3A3CCCB5" w:rsidR="00FF5BD2" w:rsidRDefault="00FF5BD2" w:rsidP="00FF5BD2">
      <w:r>
        <w:t>Expected Insight</w:t>
      </w:r>
      <w:r>
        <w:t>:</w:t>
      </w:r>
      <w:r>
        <w:t xml:space="preserve"> Determine whether the global-local hybrid approach consistently outperforms either method alone, and quantify the cost-benefit trade-off in function evaluations.</w:t>
      </w:r>
    </w:p>
    <w:sectPr w:rsidR="00FF5B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BD2"/>
    <w:rsid w:val="007C6D9D"/>
    <w:rsid w:val="00FF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029944"/>
  <w15:chartTrackingRefBased/>
  <w15:docId w15:val="{CE69ACA4-3834-614A-A7EA-47AE9E1A0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Rotaru</dc:creator>
  <cp:keywords/>
  <dc:description/>
  <cp:lastModifiedBy>Robert Rotaru</cp:lastModifiedBy>
  <cp:revision>1</cp:revision>
  <dcterms:created xsi:type="dcterms:W3CDTF">2026-04-07T11:28:00Z</dcterms:created>
  <dcterms:modified xsi:type="dcterms:W3CDTF">2026-04-07T11:29:00Z</dcterms:modified>
</cp:coreProperties>
</file>