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A8" w:rsidRPr="00AA3F25" w:rsidRDefault="005766BC" w:rsidP="00F55A8E">
      <w:pPr>
        <w:jc w:val="center"/>
        <w:rPr>
          <w:rFonts w:ascii="Verdana" w:hAnsi="Verdana"/>
          <w:b/>
          <w:sz w:val="32"/>
          <w:szCs w:val="32"/>
        </w:rPr>
      </w:pPr>
      <w:r>
        <w:rPr>
          <w:rFonts w:ascii="Verdana" w:hAnsi="Verdana"/>
          <w:b/>
          <w:sz w:val="32"/>
          <w:szCs w:val="32"/>
        </w:rPr>
        <w:t>Manufacturing</w:t>
      </w:r>
      <w:r w:rsidR="00F55A8E" w:rsidRPr="00AA3F25">
        <w:rPr>
          <w:rFonts w:ascii="Verdana" w:hAnsi="Verdana"/>
          <w:b/>
          <w:sz w:val="32"/>
          <w:szCs w:val="32"/>
        </w:rPr>
        <w:t xml:space="preserve"> Readiness Assessment</w:t>
      </w:r>
    </w:p>
    <w:p w:rsidR="00F55A8E" w:rsidRDefault="00F55A8E">
      <w:pPr>
        <w:rPr>
          <w:rFonts w:ascii="Verdana" w:hAnsi="Verdana"/>
          <w:b/>
          <w:sz w:val="24"/>
          <w:szCs w:val="24"/>
        </w:rPr>
      </w:pPr>
    </w:p>
    <w:p w:rsidR="00F55A8E" w:rsidRPr="00F55A8E" w:rsidRDefault="00B51F3B">
      <w:pPr>
        <w:rPr>
          <w:rFonts w:ascii="Verdana" w:hAnsi="Verdana"/>
          <w:b/>
          <w:sz w:val="24"/>
          <w:szCs w:val="24"/>
        </w:rPr>
      </w:pPr>
      <w:r w:rsidRPr="00B51F3B">
        <w:rPr>
          <w:rFonts w:ascii="Verdana" w:hAnsi="Verdana"/>
          <w:noProof/>
          <w:sz w:val="20"/>
          <w:szCs w:val="20"/>
          <w:lang w:eastAsia="zh-TW"/>
        </w:rPr>
        <w:pict>
          <v:shapetype id="_x0000_t202" coordsize="21600,21600" o:spt="202" path="m,l,21600r21600,l21600,xe">
            <v:stroke joinstyle="miter"/>
            <v:path gradientshapeok="t" o:connecttype="rect"/>
          </v:shapetype>
          <v:shape id="_x0000_s1040" type="#_x0000_t202" style="position:absolute;margin-left:303pt;margin-top:3.5pt;width:150pt;height:320.2pt;z-index:251658752;mso-width-relative:margin;mso-height-relative:margin">
            <v:textbox>
              <w:txbxContent>
                <w:p w:rsidR="007C0608" w:rsidRDefault="007C0608" w:rsidP="008C7AD7">
                  <w:pPr>
                    <w:jc w:val="center"/>
                  </w:pPr>
                  <w:r>
                    <w:rPr>
                      <w:rFonts w:ascii="Verdana" w:hAnsi="Verdana"/>
                      <w:b/>
                      <w:noProof/>
                      <w:sz w:val="20"/>
                      <w:szCs w:val="20"/>
                    </w:rPr>
                    <w:drawing>
                      <wp:inline distT="0" distB="0" distL="0" distR="0">
                        <wp:extent cx="962025" cy="3895725"/>
                        <wp:effectExtent l="19050" t="0" r="9525" b="0"/>
                        <wp:docPr id="1" name="Picture 1" descr="\\OKCOK06OFS01\Projects\00-Active\1797_AFIT Task Order 8_MRA_SYS113\04-Development\04-Graphics\coursegraphics\finalimages\module1\lesson1\1103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KCOK06OFS01\Projects\00-Active\1797_AFIT Task Order 8_MRA_SYS113\04-Development\04-Graphics\coursegraphics\finalimages\module1\lesson1\11030b.png"/>
                                <pic:cNvPicPr>
                                  <a:picLocks noChangeAspect="1" noChangeArrowheads="1"/>
                                </pic:cNvPicPr>
                              </pic:nvPicPr>
                              <pic:blipFill>
                                <a:blip r:embed="rId7"/>
                                <a:srcRect/>
                                <a:stretch>
                                  <a:fillRect/>
                                </a:stretch>
                              </pic:blipFill>
                              <pic:spPr bwMode="auto">
                                <a:xfrm>
                                  <a:off x="0" y="0"/>
                                  <a:ext cx="962025" cy="3895725"/>
                                </a:xfrm>
                                <a:prstGeom prst="rect">
                                  <a:avLst/>
                                </a:prstGeom>
                                <a:noFill/>
                                <a:ln w="9525">
                                  <a:noFill/>
                                  <a:miter lim="800000"/>
                                  <a:headEnd/>
                                  <a:tailEnd/>
                                </a:ln>
                              </pic:spPr>
                            </pic:pic>
                          </a:graphicData>
                        </a:graphic>
                      </wp:inline>
                    </w:drawing>
                  </w:r>
                </w:p>
              </w:txbxContent>
            </v:textbox>
            <w10:wrap type="square"/>
          </v:shape>
        </w:pict>
      </w:r>
      <w:r w:rsidR="00F55A8E" w:rsidRPr="00F55A8E">
        <w:rPr>
          <w:rFonts w:ascii="Verdana" w:hAnsi="Verdana"/>
          <w:b/>
          <w:sz w:val="24"/>
          <w:szCs w:val="24"/>
        </w:rPr>
        <w:t>1.</w:t>
      </w:r>
      <w:r w:rsidR="005766BC">
        <w:rPr>
          <w:rFonts w:ascii="Verdana" w:hAnsi="Verdana"/>
          <w:b/>
          <w:sz w:val="24"/>
          <w:szCs w:val="24"/>
        </w:rPr>
        <w:t xml:space="preserve">  FUNDAMENTALS OF M</w:t>
      </w:r>
      <w:r w:rsidR="00F55A8E">
        <w:rPr>
          <w:rFonts w:ascii="Verdana" w:hAnsi="Verdana"/>
          <w:b/>
          <w:sz w:val="24"/>
          <w:szCs w:val="24"/>
        </w:rPr>
        <w:t>RAs</w:t>
      </w:r>
    </w:p>
    <w:p w:rsidR="00F55A8E" w:rsidRPr="003044A6" w:rsidRDefault="008F139D" w:rsidP="008F139D">
      <w:pPr>
        <w:tabs>
          <w:tab w:val="left" w:pos="5793"/>
        </w:tabs>
        <w:rPr>
          <w:rFonts w:ascii="Verdana" w:hAnsi="Verdana"/>
          <w:b/>
          <w:sz w:val="16"/>
          <w:szCs w:val="16"/>
        </w:rPr>
      </w:pPr>
      <w:r w:rsidRPr="003044A6">
        <w:rPr>
          <w:rFonts w:ascii="Verdana" w:hAnsi="Verdana"/>
          <w:b/>
          <w:sz w:val="16"/>
          <w:szCs w:val="16"/>
        </w:rPr>
        <w:tab/>
      </w:r>
    </w:p>
    <w:p w:rsidR="00F55A8E" w:rsidRDefault="003044A6">
      <w:pPr>
        <w:rPr>
          <w:rFonts w:ascii="Verdana" w:hAnsi="Verdana"/>
          <w:b/>
        </w:rPr>
      </w:pPr>
      <w:r>
        <w:rPr>
          <w:rFonts w:ascii="Verdana" w:hAnsi="Verdana"/>
          <w:b/>
          <w:sz w:val="16"/>
          <w:szCs w:val="16"/>
        </w:rPr>
        <w:br/>
      </w:r>
      <w:r w:rsidRPr="003044A6">
        <w:rPr>
          <w:rFonts w:ascii="Verdana" w:hAnsi="Verdana"/>
          <w:b/>
          <w:sz w:val="16"/>
          <w:szCs w:val="16"/>
        </w:rPr>
        <w:br/>
      </w:r>
      <w:r w:rsidR="00F55A8E" w:rsidRPr="00F55A8E">
        <w:rPr>
          <w:rFonts w:ascii="Verdana" w:hAnsi="Verdana"/>
          <w:b/>
        </w:rPr>
        <w:t>1.1</w:t>
      </w:r>
      <w:proofErr w:type="gramStart"/>
      <w:r w:rsidR="00F55A8E">
        <w:rPr>
          <w:rFonts w:ascii="Verdana" w:hAnsi="Verdana"/>
          <w:b/>
        </w:rPr>
        <w:t>.  Introduction</w:t>
      </w:r>
      <w:proofErr w:type="gramEnd"/>
      <w:r w:rsidR="00F55A8E">
        <w:rPr>
          <w:rFonts w:ascii="Verdana" w:hAnsi="Verdana"/>
          <w:b/>
        </w:rPr>
        <w:t xml:space="preserve"> to</w:t>
      </w:r>
      <w:r w:rsidR="005766BC">
        <w:rPr>
          <w:rFonts w:ascii="Verdana" w:hAnsi="Verdana"/>
          <w:b/>
        </w:rPr>
        <w:t xml:space="preserve"> M</w:t>
      </w:r>
      <w:r w:rsidR="00F55A8E" w:rsidRPr="00F55A8E">
        <w:rPr>
          <w:rFonts w:ascii="Verdana" w:hAnsi="Verdana"/>
          <w:b/>
        </w:rPr>
        <w:t>RAs</w:t>
      </w:r>
    </w:p>
    <w:p w:rsidR="00C66663" w:rsidRPr="00C66663" w:rsidRDefault="00C66663">
      <w:pPr>
        <w:rPr>
          <w:rFonts w:ascii="Verdana" w:hAnsi="Verdana"/>
          <w:sz w:val="20"/>
          <w:szCs w:val="20"/>
        </w:rPr>
      </w:pPr>
    </w:p>
    <w:p w:rsidR="00B51F3B" w:rsidRDefault="00C66663">
      <w:pPr>
        <w:rPr>
          <w:rFonts w:ascii="Verdana" w:hAnsi="Verdana"/>
          <w:sz w:val="20"/>
          <w:szCs w:val="20"/>
        </w:rPr>
      </w:pPr>
      <w:r w:rsidRPr="00F1462B">
        <w:rPr>
          <w:rFonts w:ascii="Verdana" w:hAnsi="Verdana"/>
          <w:sz w:val="20"/>
          <w:szCs w:val="20"/>
        </w:rPr>
        <w:t xml:space="preserve">The objective of this lesson is for </w:t>
      </w:r>
      <w:r w:rsidR="005766BC">
        <w:rPr>
          <w:rFonts w:ascii="Verdana" w:hAnsi="Verdana"/>
          <w:sz w:val="20"/>
          <w:szCs w:val="20"/>
        </w:rPr>
        <w:t>each student</w:t>
      </w:r>
    </w:p>
    <w:p w:rsidR="00C66663" w:rsidRPr="00F1462B" w:rsidRDefault="005766BC">
      <w:pPr>
        <w:rPr>
          <w:rFonts w:ascii="Verdana" w:hAnsi="Verdana"/>
          <w:sz w:val="20"/>
          <w:szCs w:val="20"/>
        </w:rPr>
      </w:pPr>
      <w:proofErr w:type="gramStart"/>
      <w:r>
        <w:rPr>
          <w:rFonts w:ascii="Verdana" w:hAnsi="Verdana"/>
          <w:sz w:val="20"/>
          <w:szCs w:val="20"/>
        </w:rPr>
        <w:t>to</w:t>
      </w:r>
      <w:proofErr w:type="gramEnd"/>
      <w:r>
        <w:rPr>
          <w:rFonts w:ascii="Verdana" w:hAnsi="Verdana"/>
          <w:sz w:val="20"/>
          <w:szCs w:val="20"/>
        </w:rPr>
        <w:t xml:space="preserve"> comprehend the M</w:t>
      </w:r>
      <w:r w:rsidR="00C66663" w:rsidRPr="00F1462B">
        <w:rPr>
          <w:rFonts w:ascii="Verdana" w:hAnsi="Verdana"/>
          <w:sz w:val="20"/>
          <w:szCs w:val="20"/>
        </w:rPr>
        <w:t>RA architecture.</w:t>
      </w:r>
    </w:p>
    <w:p w:rsidR="008F139D" w:rsidRPr="00F1462B" w:rsidRDefault="008F139D">
      <w:pPr>
        <w:rPr>
          <w:rFonts w:ascii="Verdana" w:hAnsi="Verdana"/>
          <w:sz w:val="20"/>
          <w:szCs w:val="20"/>
        </w:rPr>
      </w:pPr>
    </w:p>
    <w:p w:rsidR="008F139D" w:rsidRPr="00F1462B" w:rsidRDefault="008F139D">
      <w:pPr>
        <w:rPr>
          <w:rFonts w:ascii="Verdana" w:hAnsi="Verdana"/>
          <w:sz w:val="20"/>
          <w:szCs w:val="20"/>
        </w:rPr>
      </w:pPr>
    </w:p>
    <w:p w:rsidR="00F55A8E" w:rsidRPr="00F1462B" w:rsidRDefault="005766BC">
      <w:pPr>
        <w:rPr>
          <w:rFonts w:ascii="Verdana" w:hAnsi="Verdana"/>
          <w:b/>
          <w:sz w:val="20"/>
          <w:szCs w:val="20"/>
        </w:rPr>
      </w:pPr>
      <w:r>
        <w:rPr>
          <w:rFonts w:ascii="Verdana" w:hAnsi="Verdana"/>
          <w:b/>
          <w:sz w:val="20"/>
          <w:szCs w:val="20"/>
        </w:rPr>
        <w:t>1.1.1</w:t>
      </w:r>
      <w:proofErr w:type="gramStart"/>
      <w:r>
        <w:rPr>
          <w:rFonts w:ascii="Verdana" w:hAnsi="Verdana"/>
          <w:b/>
          <w:sz w:val="20"/>
          <w:szCs w:val="20"/>
        </w:rPr>
        <w:t>.  M</w:t>
      </w:r>
      <w:r w:rsidR="00F55A8E" w:rsidRPr="00F1462B">
        <w:rPr>
          <w:rFonts w:ascii="Verdana" w:hAnsi="Verdana"/>
          <w:b/>
          <w:sz w:val="20"/>
          <w:szCs w:val="20"/>
        </w:rPr>
        <w:t>RA</w:t>
      </w:r>
      <w:proofErr w:type="gramEnd"/>
      <w:r w:rsidR="00F55A8E" w:rsidRPr="00F1462B">
        <w:rPr>
          <w:rFonts w:ascii="Verdana" w:hAnsi="Verdana"/>
          <w:b/>
          <w:sz w:val="20"/>
          <w:szCs w:val="20"/>
        </w:rPr>
        <w:t xml:space="preserve"> Definition</w:t>
      </w:r>
    </w:p>
    <w:p w:rsidR="0047577E" w:rsidRPr="00F1462B" w:rsidRDefault="0047577E">
      <w:pPr>
        <w:rPr>
          <w:rFonts w:ascii="Verdana" w:hAnsi="Verdana"/>
          <w:sz w:val="20"/>
          <w:szCs w:val="20"/>
        </w:rPr>
      </w:pPr>
    </w:p>
    <w:p w:rsidR="005766BC" w:rsidRPr="00B7071E" w:rsidRDefault="005766BC" w:rsidP="008B29B3">
      <w:pPr>
        <w:pStyle w:val="BESAScreenText"/>
        <w:autoSpaceDE w:val="0"/>
        <w:autoSpaceDN w:val="0"/>
        <w:adjustRightInd w:val="0"/>
        <w:ind w:right="3510"/>
        <w:rPr>
          <w:rFonts w:ascii="Verdana" w:hAnsi="Verdana"/>
        </w:rPr>
      </w:pPr>
      <w:r w:rsidRPr="00B7071E">
        <w:rPr>
          <w:rFonts w:ascii="Verdana" w:hAnsi="Verdana"/>
        </w:rPr>
        <w:t>A Manufacturing Readiness Assessment (MRA) is a formal structured evaluation of a technology, component, manufacturing process, weapon system, or subsystem. It uses Manufacturing Readiness Levels (MRLs) as a standard to measure that level of readiness.</w:t>
      </w:r>
    </w:p>
    <w:p w:rsidR="00F1462B" w:rsidRDefault="005766BC" w:rsidP="008B29B3">
      <w:pPr>
        <w:ind w:right="3510"/>
        <w:rPr>
          <w:rFonts w:ascii="Verdana" w:hAnsi="Verdana"/>
          <w:b/>
          <w:sz w:val="20"/>
          <w:szCs w:val="20"/>
        </w:rPr>
      </w:pPr>
      <w:r w:rsidRPr="00FC496B">
        <w:rPr>
          <w:rFonts w:ascii="Verdana" w:hAnsi="Verdana"/>
          <w:sz w:val="20"/>
          <w:szCs w:val="20"/>
        </w:rPr>
        <w:t xml:space="preserve">The MRA is performed to </w:t>
      </w:r>
      <w:r w:rsidRPr="005766BC">
        <w:rPr>
          <w:rFonts w:ascii="Verdana" w:hAnsi="Verdana"/>
          <w:sz w:val="20"/>
          <w:szCs w:val="20"/>
        </w:rPr>
        <w:t>define and identify manufacturing maturities.</w:t>
      </w:r>
      <w:r w:rsidR="00F1462B">
        <w:rPr>
          <w:rFonts w:ascii="Verdana" w:hAnsi="Verdana"/>
          <w:sz w:val="20"/>
          <w:szCs w:val="20"/>
        </w:rPr>
        <w:br/>
      </w:r>
      <w:r w:rsidR="009709B2" w:rsidRPr="00F1462B">
        <w:rPr>
          <w:rFonts w:ascii="Verdana" w:hAnsi="Verdana"/>
          <w:sz w:val="20"/>
          <w:szCs w:val="20"/>
        </w:rPr>
        <w:br/>
      </w:r>
      <w:r w:rsidR="00F1462B">
        <w:rPr>
          <w:rFonts w:ascii="Verdana" w:hAnsi="Verdana"/>
          <w:sz w:val="20"/>
          <w:szCs w:val="20"/>
        </w:rPr>
        <w:br/>
      </w:r>
    </w:p>
    <w:p w:rsidR="00F1462B" w:rsidRDefault="00F1462B">
      <w:pPr>
        <w:rPr>
          <w:rFonts w:ascii="Verdana" w:hAnsi="Verdana"/>
          <w:b/>
          <w:sz w:val="20"/>
          <w:szCs w:val="20"/>
        </w:rPr>
      </w:pPr>
    </w:p>
    <w:p w:rsidR="00B51F3B" w:rsidRDefault="00B51F3B">
      <w:pPr>
        <w:rPr>
          <w:rFonts w:ascii="Verdana" w:hAnsi="Verdana"/>
          <w:b/>
          <w:sz w:val="20"/>
          <w:szCs w:val="20"/>
        </w:rPr>
      </w:pPr>
    </w:p>
    <w:p w:rsidR="00B51F3B" w:rsidRDefault="00B51F3B">
      <w:pPr>
        <w:rPr>
          <w:rFonts w:ascii="Verdana" w:hAnsi="Verdana"/>
          <w:b/>
          <w:sz w:val="20"/>
          <w:szCs w:val="20"/>
        </w:rPr>
      </w:pPr>
    </w:p>
    <w:p w:rsidR="00F55A8E" w:rsidRPr="00F1462B" w:rsidRDefault="005766BC">
      <w:pPr>
        <w:rPr>
          <w:rFonts w:ascii="Verdana" w:hAnsi="Verdana"/>
          <w:b/>
          <w:sz w:val="20"/>
          <w:szCs w:val="20"/>
        </w:rPr>
      </w:pPr>
      <w:r>
        <w:rPr>
          <w:rFonts w:ascii="Verdana" w:hAnsi="Verdana"/>
          <w:b/>
          <w:sz w:val="20"/>
          <w:szCs w:val="20"/>
        </w:rPr>
        <w:t>1.1.2</w:t>
      </w:r>
      <w:proofErr w:type="gramStart"/>
      <w:r>
        <w:rPr>
          <w:rFonts w:ascii="Verdana" w:hAnsi="Verdana"/>
          <w:b/>
          <w:sz w:val="20"/>
          <w:szCs w:val="20"/>
        </w:rPr>
        <w:t>.  M</w:t>
      </w:r>
      <w:r w:rsidR="00F55A8E" w:rsidRPr="00F1462B">
        <w:rPr>
          <w:rFonts w:ascii="Verdana" w:hAnsi="Verdana"/>
          <w:b/>
          <w:sz w:val="20"/>
          <w:szCs w:val="20"/>
        </w:rPr>
        <w:t>RA</w:t>
      </w:r>
      <w:proofErr w:type="gramEnd"/>
      <w:r w:rsidR="00F55A8E" w:rsidRPr="00F1462B">
        <w:rPr>
          <w:rFonts w:ascii="Verdana" w:hAnsi="Verdana"/>
          <w:b/>
          <w:sz w:val="20"/>
          <w:szCs w:val="20"/>
        </w:rPr>
        <w:t xml:space="preserve"> Purpose</w:t>
      </w:r>
    </w:p>
    <w:p w:rsidR="0047577E" w:rsidRPr="00F1462B" w:rsidRDefault="0047577E">
      <w:pPr>
        <w:rPr>
          <w:rFonts w:ascii="Verdana" w:hAnsi="Verdana"/>
          <w:sz w:val="20"/>
          <w:szCs w:val="20"/>
        </w:rPr>
      </w:pPr>
    </w:p>
    <w:p w:rsidR="008B29B3" w:rsidRPr="00B7071E" w:rsidRDefault="00AD0BCD" w:rsidP="00AD0BCD">
      <w:pPr>
        <w:pStyle w:val="BESABulletedText"/>
        <w:numPr>
          <w:ilvl w:val="0"/>
          <w:numId w:val="0"/>
        </w:numPr>
        <w:rPr>
          <w:rFonts w:ascii="Verdana" w:hAnsi="Verdana"/>
        </w:rPr>
      </w:pPr>
      <w:r>
        <w:rPr>
          <w:rFonts w:ascii="Verdana" w:hAnsi="Verdana"/>
          <w:noProof/>
          <w:szCs w:val="20"/>
        </w:rPr>
        <w:pict>
          <v:shape id="_x0000_s1031" type="#_x0000_t202" style="position:absolute;margin-left:4.55pt;margin-top:8.15pt;width:206.8pt;height:261.85pt;z-index:251655680">
            <v:textbox style="mso-next-textbox:#_x0000_s1031">
              <w:txbxContent>
                <w:p w:rsidR="007C0608" w:rsidRDefault="007C0608" w:rsidP="008B29B3">
                  <w:pPr>
                    <w:pStyle w:val="BESAScreenText"/>
                    <w:autoSpaceDE w:val="0"/>
                    <w:autoSpaceDN w:val="0"/>
                    <w:adjustRightInd w:val="0"/>
                    <w:rPr>
                      <w:rFonts w:ascii="Verdana" w:hAnsi="Verdana"/>
                    </w:rPr>
                  </w:pPr>
                  <w:r w:rsidRPr="004D35A0">
                    <w:rPr>
                      <w:rFonts w:ascii="Verdana" w:hAnsi="Verdana"/>
                    </w:rPr>
                    <w:drawing>
                      <wp:inline distT="0" distB="0" distL="0" distR="0">
                        <wp:extent cx="574358" cy="565785"/>
                        <wp:effectExtent l="19050" t="0" r="0" b="0"/>
                        <wp:docPr id="7" name="Picture 3" descr="\\OKCOK06OFS01\Projects\00-Active\1797_AFIT Task Order 8_MRA_SYS113\04-Development\04-Graphics\coursegraphics\finalimages\module1\lesson1\110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KCOK06OFS01\Projects\00-Active\1797_AFIT Task Order 8_MRA_SYS113\04-Development\04-Graphics\coursegraphics\finalimages\module1\lesson1\11050b.png"/>
                                <pic:cNvPicPr>
                                  <a:picLocks noChangeAspect="1" noChangeArrowheads="1"/>
                                </pic:cNvPicPr>
                              </pic:nvPicPr>
                              <pic:blipFill>
                                <a:blip r:embed="rId8"/>
                                <a:srcRect/>
                                <a:stretch>
                                  <a:fillRect/>
                                </a:stretch>
                              </pic:blipFill>
                              <pic:spPr bwMode="auto">
                                <a:xfrm>
                                  <a:off x="0" y="0"/>
                                  <a:ext cx="574358" cy="565785"/>
                                </a:xfrm>
                                <a:prstGeom prst="rect">
                                  <a:avLst/>
                                </a:prstGeom>
                                <a:noFill/>
                                <a:ln w="9525">
                                  <a:noFill/>
                                  <a:miter lim="800000"/>
                                  <a:headEnd/>
                                  <a:tailEnd/>
                                </a:ln>
                              </pic:spPr>
                            </pic:pic>
                          </a:graphicData>
                        </a:graphic>
                      </wp:inline>
                    </w:drawing>
                  </w:r>
                  <w:r>
                    <w:rPr>
                      <w:rFonts w:ascii="Verdana" w:hAnsi="Verdana"/>
                    </w:rPr>
                    <w:t xml:space="preserve"> 2009 </w:t>
                  </w:r>
                  <w:r w:rsidRPr="00933A96">
                    <w:rPr>
                      <w:rFonts w:ascii="Verdana" w:hAnsi="Verdana"/>
                      <w:szCs w:val="20"/>
                    </w:rPr>
                    <w:t xml:space="preserve">Government </w:t>
                  </w:r>
                  <w:r>
                    <w:rPr>
                      <w:rFonts w:ascii="Verdana" w:hAnsi="Verdana"/>
                      <w:szCs w:val="20"/>
                    </w:rPr>
                    <w:br/>
                    <w:t xml:space="preserve">              </w:t>
                  </w:r>
                  <w:r w:rsidRPr="00933A96">
                    <w:rPr>
                      <w:rFonts w:ascii="Verdana" w:hAnsi="Verdana"/>
                      <w:szCs w:val="20"/>
                    </w:rPr>
                    <w:t>Accountability Office</w:t>
                  </w:r>
                  <w:r>
                    <w:rPr>
                      <w:rFonts w:ascii="Verdana" w:hAnsi="Verdana"/>
                      <w:szCs w:val="20"/>
                    </w:rPr>
                    <w:br/>
                    <w:t xml:space="preserve">              </w:t>
                  </w:r>
                  <w:r>
                    <w:rPr>
                      <w:rFonts w:ascii="Verdana" w:hAnsi="Verdana"/>
                    </w:rPr>
                    <w:t xml:space="preserve">(GAO) Report to </w:t>
                  </w:r>
                  <w:r>
                    <w:rPr>
                      <w:rFonts w:ascii="Verdana" w:hAnsi="Verdana"/>
                    </w:rPr>
                    <w:br/>
                    <w:t xml:space="preserve">              Congressional Committees*</w:t>
                  </w:r>
                </w:p>
                <w:p w:rsidR="007C0608" w:rsidRDefault="007C0608" w:rsidP="008B29B3">
                  <w:pPr>
                    <w:pStyle w:val="BESAScreenText"/>
                    <w:autoSpaceDE w:val="0"/>
                    <w:autoSpaceDN w:val="0"/>
                    <w:adjustRightInd w:val="0"/>
                    <w:rPr>
                      <w:rFonts w:ascii="Verdana" w:hAnsi="Verdana"/>
                    </w:rPr>
                  </w:pPr>
                </w:p>
                <w:p w:rsidR="007C0608" w:rsidRPr="001E0198" w:rsidRDefault="007C0608" w:rsidP="008B29B3">
                  <w:pPr>
                    <w:pStyle w:val="BESAScreenText"/>
                    <w:autoSpaceDE w:val="0"/>
                    <w:autoSpaceDN w:val="0"/>
                    <w:adjustRightInd w:val="0"/>
                    <w:rPr>
                      <w:rFonts w:ascii="Verdana" w:hAnsi="Verdana"/>
                    </w:rPr>
                  </w:pPr>
                  <w:r w:rsidRPr="001E0198">
                    <w:rPr>
                      <w:rFonts w:ascii="Verdana" w:hAnsi="Verdana"/>
                    </w:rPr>
                    <w:t>Without measuring the maturity of the production processes:</w:t>
                  </w:r>
                </w:p>
                <w:p w:rsidR="007C0608" w:rsidRDefault="007C0608" w:rsidP="008B29B3">
                  <w:pPr>
                    <w:pStyle w:val="BESAScreenText"/>
                    <w:autoSpaceDE w:val="0"/>
                    <w:autoSpaceDN w:val="0"/>
                    <w:adjustRightInd w:val="0"/>
                    <w:ind w:left="360" w:hanging="360"/>
                    <w:rPr>
                      <w:rFonts w:ascii="Verdana" w:hAnsi="Verdana"/>
                    </w:rPr>
                  </w:pPr>
                  <w:r>
                    <w:rPr>
                      <w:rFonts w:ascii="Verdana" w:hAnsi="Verdana"/>
                    </w:rPr>
                    <w:t>•</w:t>
                  </w:r>
                  <w:r>
                    <w:rPr>
                      <w:rFonts w:ascii="Verdana" w:hAnsi="Verdana"/>
                    </w:rPr>
                    <w:tab/>
                    <w:t>42% cost increase</w:t>
                  </w:r>
                </w:p>
                <w:p w:rsidR="007C0608" w:rsidRPr="001E0198" w:rsidRDefault="007C0608" w:rsidP="008B29B3">
                  <w:pPr>
                    <w:pStyle w:val="BESAScreenText"/>
                    <w:numPr>
                      <w:ilvl w:val="0"/>
                      <w:numId w:val="5"/>
                    </w:numPr>
                    <w:autoSpaceDE w:val="0"/>
                    <w:autoSpaceDN w:val="0"/>
                    <w:adjustRightInd w:val="0"/>
                    <w:ind w:left="360"/>
                    <w:rPr>
                      <w:rFonts w:ascii="Verdana" w:hAnsi="Verdana"/>
                    </w:rPr>
                  </w:pPr>
                  <w:r w:rsidRPr="001E0198">
                    <w:rPr>
                      <w:rFonts w:ascii="Verdana" w:hAnsi="Verdana"/>
                    </w:rPr>
                    <w:t>$296 bill</w:t>
                  </w:r>
                  <w:r>
                    <w:rPr>
                      <w:rFonts w:ascii="Verdana" w:hAnsi="Verdana"/>
                    </w:rPr>
                    <w:t>ion estimated total cost growth</w:t>
                  </w:r>
                </w:p>
                <w:p w:rsidR="007C0608" w:rsidRDefault="007C0608" w:rsidP="008B29B3">
                  <w:pPr>
                    <w:pStyle w:val="BESAScreenText"/>
                    <w:numPr>
                      <w:ilvl w:val="0"/>
                      <w:numId w:val="5"/>
                    </w:numPr>
                    <w:autoSpaceDE w:val="0"/>
                    <w:autoSpaceDN w:val="0"/>
                    <w:adjustRightInd w:val="0"/>
                    <w:ind w:left="360"/>
                    <w:rPr>
                      <w:rFonts w:ascii="Verdana" w:hAnsi="Verdana"/>
                    </w:rPr>
                  </w:pPr>
                  <w:r w:rsidRPr="001E0198">
                    <w:rPr>
                      <w:rFonts w:ascii="Verdana" w:hAnsi="Verdana"/>
                    </w:rPr>
                    <w:t>22 month average schedule delay</w:t>
                  </w:r>
                  <w:r>
                    <w:rPr>
                      <w:rFonts w:ascii="Verdana" w:hAnsi="Verdana"/>
                    </w:rPr>
                    <w:br/>
                  </w:r>
                </w:p>
                <w:p w:rsidR="007C0608" w:rsidRPr="00B76B99" w:rsidRDefault="007C0608" w:rsidP="008B29B3">
                  <w:pPr>
                    <w:pStyle w:val="BESAScreenText"/>
                    <w:autoSpaceDE w:val="0"/>
                    <w:autoSpaceDN w:val="0"/>
                    <w:adjustRightInd w:val="0"/>
                    <w:rPr>
                      <w:rFonts w:ascii="Verdana" w:hAnsi="Verdana"/>
                      <w:sz w:val="16"/>
                      <w:szCs w:val="16"/>
                    </w:rPr>
                  </w:pPr>
                  <w:r w:rsidRPr="00B76B99">
                    <w:rPr>
                      <w:rFonts w:ascii="Verdana" w:hAnsi="Verdana"/>
                      <w:sz w:val="16"/>
                      <w:szCs w:val="16"/>
                    </w:rPr>
                    <w:t>*Defense Acquisitions: Assessments of Selected Weapon Programs, GAO-0</w:t>
                  </w:r>
                  <w:r>
                    <w:rPr>
                      <w:rFonts w:ascii="Verdana" w:hAnsi="Verdana"/>
                      <w:sz w:val="16"/>
                      <w:szCs w:val="16"/>
                    </w:rPr>
                    <w:t>9</w:t>
                  </w:r>
                  <w:r w:rsidRPr="00B76B99">
                    <w:rPr>
                      <w:rFonts w:ascii="Verdana" w:hAnsi="Verdana"/>
                      <w:sz w:val="16"/>
                      <w:szCs w:val="16"/>
                    </w:rPr>
                    <w:t>-</w:t>
                  </w:r>
                  <w:r>
                    <w:rPr>
                      <w:rFonts w:ascii="Verdana" w:hAnsi="Verdana"/>
                      <w:sz w:val="16"/>
                      <w:szCs w:val="16"/>
                    </w:rPr>
                    <w:t>326SP</w:t>
                  </w:r>
                  <w:r w:rsidRPr="00B76B99">
                    <w:rPr>
                      <w:rFonts w:ascii="Verdana" w:hAnsi="Verdana"/>
                      <w:sz w:val="16"/>
                      <w:szCs w:val="16"/>
                    </w:rPr>
                    <w:t>, March 200</w:t>
                  </w:r>
                  <w:r>
                    <w:rPr>
                      <w:rFonts w:ascii="Verdana" w:hAnsi="Verdana"/>
                      <w:sz w:val="16"/>
                      <w:szCs w:val="16"/>
                    </w:rPr>
                    <w:t>9</w:t>
                  </w:r>
                </w:p>
                <w:p w:rsidR="007C0608" w:rsidRPr="00B76B99" w:rsidRDefault="007C0608" w:rsidP="008B29B3">
                  <w:pPr>
                    <w:pStyle w:val="BESAScreenText"/>
                    <w:autoSpaceDE w:val="0"/>
                    <w:autoSpaceDN w:val="0"/>
                    <w:adjustRightInd w:val="0"/>
                    <w:rPr>
                      <w:rFonts w:ascii="Verdana" w:hAnsi="Verdana"/>
                      <w:sz w:val="16"/>
                      <w:szCs w:val="16"/>
                    </w:rPr>
                  </w:pPr>
                </w:p>
              </w:txbxContent>
            </v:textbox>
            <w10:wrap type="square"/>
          </v:shape>
        </w:pict>
      </w:r>
      <w:r w:rsidR="008B29B3" w:rsidRPr="00B7071E">
        <w:rPr>
          <w:rFonts w:ascii="Verdana" w:hAnsi="Verdana"/>
        </w:rPr>
        <w:t>The purpose of a MRA is to evaluate a program</w:t>
      </w:r>
      <w:r w:rsidR="008B29B3">
        <w:rPr>
          <w:rFonts w:ascii="Verdana" w:hAnsi="Verdana"/>
        </w:rPr>
        <w:t>’</w:t>
      </w:r>
      <w:r w:rsidR="008B29B3" w:rsidRPr="00B7071E">
        <w:rPr>
          <w:rFonts w:ascii="Verdana" w:hAnsi="Verdana"/>
        </w:rPr>
        <w:t>s ability to produce on-schedule while meeting cost and performance requirements, and to develop and implement manufacturing risk mitigation plans and business strategies.</w:t>
      </w:r>
    </w:p>
    <w:p w:rsidR="008B29B3" w:rsidRDefault="00AD0BCD" w:rsidP="008B29B3">
      <w:pPr>
        <w:pStyle w:val="BESAScreenText"/>
        <w:autoSpaceDE w:val="0"/>
        <w:autoSpaceDN w:val="0"/>
        <w:adjustRightInd w:val="0"/>
        <w:rPr>
          <w:rFonts w:ascii="Verdana" w:hAnsi="Verdana"/>
          <w:szCs w:val="20"/>
        </w:rPr>
      </w:pPr>
      <w:r w:rsidRPr="00E30899">
        <w:rPr>
          <w:rFonts w:ascii="Verdana" w:hAnsi="Verdana"/>
          <w:szCs w:val="20"/>
        </w:rPr>
        <w:t xml:space="preserve">In the Science and Technology environment, the purpose is to successfully transition to a weapon system application. This environment is active during the Capabilities Based Planning / Concept Development and Materiel Solution Analysis </w:t>
      </w:r>
      <w:r>
        <w:rPr>
          <w:rFonts w:ascii="Verdana" w:hAnsi="Verdana"/>
          <w:szCs w:val="20"/>
        </w:rPr>
        <w:t xml:space="preserve">(MSA) </w:t>
      </w:r>
      <w:r w:rsidRPr="00E30899">
        <w:rPr>
          <w:rFonts w:ascii="Verdana" w:hAnsi="Verdana"/>
          <w:szCs w:val="20"/>
        </w:rPr>
        <w:t>phases, although it may be active during the Technology Development phase also.</w:t>
      </w:r>
    </w:p>
    <w:p w:rsidR="00AD0BCD" w:rsidRPr="00B7071E" w:rsidRDefault="00AD0BCD" w:rsidP="008B29B3">
      <w:pPr>
        <w:pStyle w:val="BESAScreenText"/>
        <w:autoSpaceDE w:val="0"/>
        <w:autoSpaceDN w:val="0"/>
        <w:adjustRightInd w:val="0"/>
        <w:rPr>
          <w:rFonts w:ascii="Verdana" w:hAnsi="Verdana"/>
        </w:rPr>
      </w:pPr>
      <w:r w:rsidRPr="00E30899">
        <w:rPr>
          <w:rFonts w:ascii="Verdana" w:hAnsi="Verdana"/>
        </w:rPr>
        <w:t xml:space="preserve">In the Acquisition environment, the purpose is to ensure the industrial base to provide the vital components and materials for the weapon system application. This environment is primarily active beginning with the </w:t>
      </w:r>
      <w:r>
        <w:rPr>
          <w:rFonts w:ascii="Verdana" w:hAnsi="Verdana"/>
        </w:rPr>
        <w:t>MSA</w:t>
      </w:r>
      <w:r w:rsidRPr="00E30899">
        <w:rPr>
          <w:rFonts w:ascii="Verdana" w:hAnsi="Verdana"/>
        </w:rPr>
        <w:t xml:space="preserve"> phase and continues through the Production and Deployment / Operations and Support phase.</w:t>
      </w:r>
    </w:p>
    <w:p w:rsidR="00F55A8E" w:rsidRPr="00F1462B" w:rsidRDefault="00F55A8E">
      <w:pPr>
        <w:rPr>
          <w:rFonts w:ascii="Verdana" w:hAnsi="Verdana"/>
          <w:sz w:val="20"/>
          <w:szCs w:val="20"/>
        </w:rPr>
      </w:pPr>
    </w:p>
    <w:p w:rsidR="005906F0" w:rsidRDefault="005906F0">
      <w:pPr>
        <w:rPr>
          <w:rFonts w:ascii="Verdana" w:hAnsi="Verdana"/>
          <w:b/>
          <w:sz w:val="20"/>
          <w:szCs w:val="20"/>
        </w:rPr>
      </w:pPr>
    </w:p>
    <w:p w:rsidR="00F55A8E" w:rsidRPr="00F1462B" w:rsidRDefault="00F55A8E">
      <w:pPr>
        <w:rPr>
          <w:rFonts w:ascii="Verdana" w:hAnsi="Verdana"/>
          <w:b/>
          <w:sz w:val="20"/>
          <w:szCs w:val="20"/>
        </w:rPr>
      </w:pPr>
      <w:r w:rsidRPr="00F1462B">
        <w:rPr>
          <w:rFonts w:ascii="Verdana" w:hAnsi="Verdana"/>
          <w:b/>
          <w:sz w:val="20"/>
          <w:szCs w:val="20"/>
        </w:rPr>
        <w:lastRenderedPageBreak/>
        <w:t>1.1.3</w:t>
      </w:r>
      <w:proofErr w:type="gramStart"/>
      <w:r w:rsidRPr="00F1462B">
        <w:rPr>
          <w:rFonts w:ascii="Verdana" w:hAnsi="Verdana"/>
          <w:b/>
          <w:sz w:val="20"/>
          <w:szCs w:val="20"/>
        </w:rPr>
        <w:t xml:space="preserve">.  </w:t>
      </w:r>
      <w:r w:rsidR="005766BC">
        <w:rPr>
          <w:rFonts w:ascii="Verdana" w:hAnsi="Verdana"/>
          <w:b/>
          <w:sz w:val="20"/>
          <w:szCs w:val="20"/>
        </w:rPr>
        <w:t>M</w:t>
      </w:r>
      <w:r w:rsidR="0047577E" w:rsidRPr="00F1462B">
        <w:rPr>
          <w:rFonts w:ascii="Verdana" w:hAnsi="Verdana"/>
          <w:b/>
          <w:sz w:val="20"/>
          <w:szCs w:val="20"/>
        </w:rPr>
        <w:t>RA</w:t>
      </w:r>
      <w:proofErr w:type="gramEnd"/>
      <w:r w:rsidR="0047577E" w:rsidRPr="00F1462B">
        <w:rPr>
          <w:rFonts w:ascii="Verdana" w:hAnsi="Verdana"/>
          <w:b/>
          <w:sz w:val="20"/>
          <w:szCs w:val="20"/>
        </w:rPr>
        <w:t xml:space="preserve"> Benefits</w:t>
      </w:r>
    </w:p>
    <w:p w:rsidR="00F55A8E" w:rsidRPr="00F1462B" w:rsidRDefault="00F55A8E">
      <w:pPr>
        <w:rPr>
          <w:rFonts w:ascii="Verdana" w:hAnsi="Verdana"/>
          <w:sz w:val="20"/>
          <w:szCs w:val="20"/>
        </w:rPr>
      </w:pPr>
    </w:p>
    <w:p w:rsidR="002E2054" w:rsidRPr="00B7071E" w:rsidRDefault="002E2054" w:rsidP="002E2054">
      <w:pPr>
        <w:pStyle w:val="BESAScreenText"/>
        <w:autoSpaceDE w:val="0"/>
        <w:autoSpaceDN w:val="0"/>
        <w:adjustRightInd w:val="0"/>
        <w:rPr>
          <w:rFonts w:ascii="Verdana" w:hAnsi="Verdana"/>
        </w:rPr>
      </w:pPr>
      <w:r w:rsidRPr="00B7071E">
        <w:rPr>
          <w:rFonts w:ascii="Verdana" w:hAnsi="Verdana"/>
        </w:rPr>
        <w:t xml:space="preserve">There are two main benefits that the Air Force realizes by conducting MRAs. They </w:t>
      </w:r>
      <w:r>
        <w:rPr>
          <w:rFonts w:ascii="Verdana" w:hAnsi="Verdana"/>
        </w:rPr>
        <w:t>include</w:t>
      </w:r>
      <w:r w:rsidRPr="00B7071E">
        <w:rPr>
          <w:rFonts w:ascii="Verdana" w:hAnsi="Verdana"/>
        </w:rPr>
        <w:t>:</w:t>
      </w:r>
    </w:p>
    <w:p w:rsidR="002E2054" w:rsidRPr="0026304A" w:rsidRDefault="002E2054" w:rsidP="00AD0BCD">
      <w:pPr>
        <w:pStyle w:val="BESABulletedText"/>
        <w:tabs>
          <w:tab w:val="clear" w:pos="720"/>
          <w:tab w:val="num" w:pos="450"/>
        </w:tabs>
        <w:ind w:left="450"/>
        <w:rPr>
          <w:rFonts w:ascii="Verdana" w:hAnsi="Verdana"/>
        </w:rPr>
      </w:pPr>
      <w:r w:rsidRPr="0026304A">
        <w:rPr>
          <w:rFonts w:ascii="Verdana" w:hAnsi="Verdana"/>
        </w:rPr>
        <w:t>Improving confidence in weapon system development</w:t>
      </w:r>
    </w:p>
    <w:p w:rsidR="0026304A" w:rsidRPr="0026304A" w:rsidRDefault="0026304A" w:rsidP="0026304A">
      <w:pPr>
        <w:pStyle w:val="BESABulletedText"/>
        <w:numPr>
          <w:ilvl w:val="0"/>
          <w:numId w:val="14"/>
        </w:numPr>
        <w:rPr>
          <w:rFonts w:ascii="Verdana" w:hAnsi="Verdana"/>
        </w:rPr>
      </w:pPr>
      <w:r w:rsidRPr="0026304A">
        <w:rPr>
          <w:rFonts w:ascii="Verdana" w:hAnsi="Verdana"/>
        </w:rPr>
        <w:t>The weapon system:</w:t>
      </w:r>
    </w:p>
    <w:p w:rsidR="0026304A" w:rsidRPr="0026304A" w:rsidRDefault="0026304A" w:rsidP="0026304A">
      <w:pPr>
        <w:pStyle w:val="BESABulletedText"/>
        <w:numPr>
          <w:ilvl w:val="0"/>
          <w:numId w:val="15"/>
        </w:numPr>
        <w:ind w:left="990" w:hanging="270"/>
        <w:rPr>
          <w:rFonts w:ascii="Verdana" w:hAnsi="Verdana"/>
        </w:rPr>
      </w:pPr>
      <w:r w:rsidRPr="0026304A">
        <w:rPr>
          <w:rFonts w:ascii="Verdana" w:hAnsi="Verdana"/>
        </w:rPr>
        <w:t>Meets performance requirements</w:t>
      </w:r>
    </w:p>
    <w:p w:rsidR="0026304A" w:rsidRPr="0026304A" w:rsidRDefault="0026304A" w:rsidP="0026304A">
      <w:pPr>
        <w:pStyle w:val="BESABulletedText"/>
        <w:numPr>
          <w:ilvl w:val="0"/>
          <w:numId w:val="15"/>
        </w:numPr>
        <w:ind w:left="990" w:hanging="270"/>
        <w:rPr>
          <w:rFonts w:ascii="Verdana" w:hAnsi="Verdana"/>
        </w:rPr>
      </w:pPr>
      <w:r w:rsidRPr="0026304A">
        <w:rPr>
          <w:rFonts w:ascii="Verdana" w:hAnsi="Verdana"/>
        </w:rPr>
        <w:t>Is built at predictable cost</w:t>
      </w:r>
    </w:p>
    <w:p w:rsidR="0026304A" w:rsidRPr="0026304A" w:rsidRDefault="0026304A" w:rsidP="0026304A">
      <w:pPr>
        <w:pStyle w:val="BESABulletedText"/>
        <w:numPr>
          <w:ilvl w:val="0"/>
          <w:numId w:val="15"/>
        </w:numPr>
        <w:ind w:left="990" w:hanging="270"/>
        <w:rPr>
          <w:rFonts w:ascii="Verdana" w:hAnsi="Verdana"/>
        </w:rPr>
      </w:pPr>
      <w:r w:rsidRPr="0026304A">
        <w:rPr>
          <w:rFonts w:ascii="Verdana" w:hAnsi="Verdana"/>
        </w:rPr>
        <w:t>Is built on a predictable program schedule</w:t>
      </w:r>
    </w:p>
    <w:p w:rsidR="0026304A" w:rsidRPr="0026304A" w:rsidRDefault="0026304A" w:rsidP="0026304A">
      <w:pPr>
        <w:pStyle w:val="BESABulletedText"/>
        <w:numPr>
          <w:ilvl w:val="0"/>
          <w:numId w:val="15"/>
        </w:numPr>
        <w:ind w:left="990" w:hanging="270"/>
        <w:rPr>
          <w:rFonts w:ascii="Verdana" w:hAnsi="Verdana"/>
        </w:rPr>
      </w:pPr>
      <w:r w:rsidRPr="0026304A">
        <w:rPr>
          <w:rFonts w:ascii="Verdana" w:hAnsi="Verdana"/>
          <w:szCs w:val="20"/>
        </w:rPr>
        <w:t>Has suppliers ready to provide materials and parts</w:t>
      </w:r>
    </w:p>
    <w:p w:rsidR="002E2054" w:rsidRPr="002E2054" w:rsidRDefault="002E2054" w:rsidP="00AD0BCD">
      <w:pPr>
        <w:pStyle w:val="BESABulletedText"/>
        <w:tabs>
          <w:tab w:val="clear" w:pos="720"/>
          <w:tab w:val="num" w:pos="450"/>
        </w:tabs>
        <w:ind w:left="450"/>
        <w:rPr>
          <w:rFonts w:ascii="Verdana" w:hAnsi="Verdana"/>
        </w:rPr>
      </w:pPr>
      <w:r w:rsidRPr="002E2054">
        <w:rPr>
          <w:rFonts w:ascii="Verdana" w:hAnsi="Verdana"/>
        </w:rPr>
        <w:t>Managing cost, schedule, and performance risk</w:t>
      </w:r>
    </w:p>
    <w:p w:rsidR="0026304A" w:rsidRPr="007977B7" w:rsidRDefault="0026304A" w:rsidP="0026304A">
      <w:pPr>
        <w:pStyle w:val="BESABulletedText"/>
        <w:numPr>
          <w:ilvl w:val="0"/>
          <w:numId w:val="14"/>
        </w:numPr>
        <w:rPr>
          <w:rFonts w:ascii="Verdana" w:hAnsi="Verdana"/>
        </w:rPr>
      </w:pPr>
      <w:r w:rsidRPr="007977B7">
        <w:rPr>
          <w:rFonts w:ascii="Verdana" w:hAnsi="Verdana"/>
        </w:rPr>
        <w:t>By examining:</w:t>
      </w:r>
    </w:p>
    <w:p w:rsidR="0026304A" w:rsidRPr="007977B7" w:rsidRDefault="0026304A" w:rsidP="0026304A">
      <w:pPr>
        <w:pStyle w:val="BESABulletedText"/>
        <w:numPr>
          <w:ilvl w:val="0"/>
          <w:numId w:val="17"/>
        </w:numPr>
        <w:ind w:left="990" w:hanging="270"/>
        <w:rPr>
          <w:rFonts w:ascii="Verdana" w:hAnsi="Verdana"/>
        </w:rPr>
      </w:pPr>
      <w:r w:rsidRPr="007977B7">
        <w:rPr>
          <w:rFonts w:ascii="Verdana" w:hAnsi="Verdana"/>
        </w:rPr>
        <w:t>Design producibility and stability</w:t>
      </w:r>
    </w:p>
    <w:p w:rsidR="0026304A" w:rsidRPr="007977B7" w:rsidRDefault="0026304A" w:rsidP="0026304A">
      <w:pPr>
        <w:pStyle w:val="BESABulletedText"/>
        <w:numPr>
          <w:ilvl w:val="0"/>
          <w:numId w:val="17"/>
        </w:numPr>
        <w:ind w:left="990" w:hanging="270"/>
        <w:rPr>
          <w:rFonts w:ascii="Verdana" w:hAnsi="Verdana"/>
        </w:rPr>
      </w:pPr>
      <w:r w:rsidRPr="007977B7">
        <w:rPr>
          <w:rFonts w:ascii="Verdana" w:hAnsi="Verdana"/>
        </w:rPr>
        <w:t>Manufacturing processes and tooling</w:t>
      </w:r>
    </w:p>
    <w:p w:rsidR="0026304A" w:rsidRPr="007977B7" w:rsidRDefault="0026304A" w:rsidP="0026304A">
      <w:pPr>
        <w:pStyle w:val="BESABulletedText"/>
        <w:numPr>
          <w:ilvl w:val="0"/>
          <w:numId w:val="17"/>
        </w:numPr>
        <w:ind w:left="990" w:hanging="270"/>
        <w:rPr>
          <w:rFonts w:ascii="Verdana" w:hAnsi="Verdana"/>
        </w:rPr>
      </w:pPr>
      <w:r w:rsidRPr="007977B7">
        <w:rPr>
          <w:rFonts w:ascii="Verdana" w:hAnsi="Verdana"/>
        </w:rPr>
        <w:t>Workforce skills and training</w:t>
      </w:r>
    </w:p>
    <w:p w:rsidR="0026304A" w:rsidRPr="007977B7" w:rsidRDefault="0026304A" w:rsidP="0026304A">
      <w:pPr>
        <w:pStyle w:val="BESABulletedText"/>
        <w:numPr>
          <w:ilvl w:val="0"/>
          <w:numId w:val="17"/>
        </w:numPr>
        <w:ind w:left="990" w:hanging="270"/>
        <w:rPr>
          <w:rFonts w:ascii="Verdana" w:hAnsi="Verdana"/>
        </w:rPr>
      </w:pPr>
      <w:r w:rsidRPr="007977B7">
        <w:rPr>
          <w:rFonts w:ascii="Verdana" w:hAnsi="Verdana"/>
        </w:rPr>
        <w:t>Supply chain capabilities</w:t>
      </w:r>
    </w:p>
    <w:p w:rsidR="0026304A" w:rsidRPr="007977B7" w:rsidRDefault="0026304A" w:rsidP="0026304A">
      <w:pPr>
        <w:pStyle w:val="BESABulletedText"/>
        <w:numPr>
          <w:ilvl w:val="0"/>
          <w:numId w:val="17"/>
        </w:numPr>
        <w:ind w:left="990" w:hanging="270"/>
        <w:rPr>
          <w:rFonts w:ascii="Verdana" w:hAnsi="Verdana"/>
        </w:rPr>
      </w:pPr>
      <w:r w:rsidRPr="007977B7">
        <w:rPr>
          <w:rFonts w:ascii="Verdana" w:hAnsi="Verdana"/>
        </w:rPr>
        <w:t>Key materials and components</w:t>
      </w:r>
    </w:p>
    <w:p w:rsidR="00F1462B" w:rsidRDefault="0026304A" w:rsidP="0026304A">
      <w:pPr>
        <w:numPr>
          <w:ilvl w:val="0"/>
          <w:numId w:val="17"/>
        </w:numPr>
        <w:ind w:left="990" w:hanging="270"/>
        <w:rPr>
          <w:rFonts w:ascii="Verdana" w:hAnsi="Verdana"/>
          <w:b/>
          <w:sz w:val="20"/>
          <w:szCs w:val="20"/>
        </w:rPr>
      </w:pPr>
      <w:r w:rsidRPr="007608AB">
        <w:rPr>
          <w:rFonts w:ascii="Verdana" w:hAnsi="Verdana"/>
          <w:sz w:val="20"/>
          <w:szCs w:val="20"/>
        </w:rPr>
        <w:t>Production test methods and equipment</w:t>
      </w:r>
    </w:p>
    <w:p w:rsidR="00F1462B" w:rsidRDefault="00F1462B">
      <w:pPr>
        <w:rPr>
          <w:rFonts w:ascii="Verdana" w:hAnsi="Verdana"/>
          <w:b/>
          <w:sz w:val="20"/>
          <w:szCs w:val="20"/>
        </w:rPr>
      </w:pPr>
    </w:p>
    <w:p w:rsidR="00F1462B" w:rsidRDefault="00F1462B">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47577E" w:rsidRPr="00F1462B" w:rsidRDefault="005766BC">
      <w:pPr>
        <w:rPr>
          <w:rFonts w:ascii="Verdana" w:hAnsi="Verdana"/>
          <w:b/>
          <w:sz w:val="20"/>
          <w:szCs w:val="20"/>
        </w:rPr>
      </w:pPr>
      <w:r>
        <w:rPr>
          <w:rFonts w:ascii="Verdana" w:hAnsi="Verdana"/>
          <w:b/>
          <w:sz w:val="20"/>
          <w:szCs w:val="20"/>
        </w:rPr>
        <w:t>1.1.4</w:t>
      </w:r>
      <w:proofErr w:type="gramStart"/>
      <w:r>
        <w:rPr>
          <w:rFonts w:ascii="Verdana" w:hAnsi="Verdana"/>
          <w:b/>
          <w:sz w:val="20"/>
          <w:szCs w:val="20"/>
        </w:rPr>
        <w:t>.  M</w:t>
      </w:r>
      <w:r w:rsidR="0047577E" w:rsidRPr="00F1462B">
        <w:rPr>
          <w:rFonts w:ascii="Verdana" w:hAnsi="Verdana"/>
          <w:b/>
          <w:sz w:val="20"/>
          <w:szCs w:val="20"/>
        </w:rPr>
        <w:t>RA</w:t>
      </w:r>
      <w:proofErr w:type="gramEnd"/>
      <w:r w:rsidR="0047577E" w:rsidRPr="00F1462B">
        <w:rPr>
          <w:rFonts w:ascii="Verdana" w:hAnsi="Verdana"/>
          <w:b/>
          <w:sz w:val="20"/>
          <w:szCs w:val="20"/>
        </w:rPr>
        <w:t xml:space="preserve"> Drawbacks</w:t>
      </w:r>
    </w:p>
    <w:p w:rsidR="0047577E" w:rsidRPr="00F1462B" w:rsidRDefault="0047577E">
      <w:pPr>
        <w:rPr>
          <w:rFonts w:ascii="Verdana" w:hAnsi="Verdana"/>
          <w:sz w:val="20"/>
          <w:szCs w:val="20"/>
        </w:rPr>
      </w:pPr>
    </w:p>
    <w:p w:rsidR="004751B3" w:rsidRDefault="00FF4271" w:rsidP="00ED4B1A">
      <w:pPr>
        <w:pStyle w:val="BESAPopupTextNotice"/>
        <w:spacing w:after="120"/>
        <w:rPr>
          <w:rFonts w:ascii="Verdana" w:hAnsi="Verdana"/>
          <w:i w:val="0"/>
          <w:sz w:val="20"/>
          <w:szCs w:val="20"/>
        </w:rPr>
      </w:pPr>
      <w:r>
        <w:rPr>
          <w:rFonts w:ascii="Verdana" w:hAnsi="Verdana"/>
          <w:i w:val="0"/>
          <w:noProof/>
          <w:sz w:val="20"/>
          <w:szCs w:val="20"/>
        </w:rPr>
        <w:pict>
          <v:shape id="_x0000_s1034" type="#_x0000_t202" style="position:absolute;margin-left:3.25pt;margin-top:8.2pt;width:209.5pt;height:242.7pt;z-index:251657728;mso-position-horizontal-relative:margin;mso-width-relative:margin;mso-height-relative:margin">
            <v:textbox>
              <w:txbxContent>
                <w:p w:rsidR="007C0608" w:rsidRPr="00873252" w:rsidRDefault="007C0608" w:rsidP="004751B3">
                  <w:pPr>
                    <w:jc w:val="center"/>
                    <w:rPr>
                      <w:rFonts w:ascii="Verdana" w:hAnsi="Verdana"/>
                      <w:sz w:val="20"/>
                      <w:szCs w:val="20"/>
                    </w:rPr>
                  </w:pPr>
                  <w:r>
                    <w:rPr>
                      <w:noProof/>
                    </w:rPr>
                    <w:drawing>
                      <wp:inline distT="0" distB="0" distL="0" distR="0">
                        <wp:extent cx="2468245" cy="2427782"/>
                        <wp:effectExtent l="0" t="0" r="0" b="0"/>
                        <wp:docPr id="8" name="Picture 4" descr="\\OKCOK06OFS01\Projects\00-Active\1797_AFIT Task Order 8_MRA_SYS113\04-Development\04-Graphics\coursegraphics\finalimages\module1\lesson1\111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COK06OFS01\Projects\00-Active\1797_AFIT Task Order 8_MRA_SYS113\04-Development\04-Graphics\coursegraphics\finalimages\module1\lesson1\11180a.png"/>
                                <pic:cNvPicPr>
                                  <a:picLocks noChangeAspect="1" noChangeArrowheads="1"/>
                                </pic:cNvPicPr>
                              </pic:nvPicPr>
                              <pic:blipFill>
                                <a:blip r:embed="rId9"/>
                                <a:srcRect/>
                                <a:stretch>
                                  <a:fillRect/>
                                </a:stretch>
                              </pic:blipFill>
                              <pic:spPr bwMode="auto">
                                <a:xfrm>
                                  <a:off x="0" y="0"/>
                                  <a:ext cx="2468245" cy="2427782"/>
                                </a:xfrm>
                                <a:prstGeom prst="rect">
                                  <a:avLst/>
                                </a:prstGeom>
                                <a:noFill/>
                                <a:ln w="9525">
                                  <a:noFill/>
                                  <a:miter lim="800000"/>
                                  <a:headEnd/>
                                  <a:tailEnd/>
                                </a:ln>
                              </pic:spPr>
                            </pic:pic>
                          </a:graphicData>
                        </a:graphic>
                      </wp:inline>
                    </w:drawing>
                  </w:r>
                </w:p>
              </w:txbxContent>
            </v:textbox>
            <w10:wrap type="square" anchorx="margin"/>
          </v:shape>
        </w:pict>
      </w:r>
    </w:p>
    <w:p w:rsidR="0026304A" w:rsidRDefault="0026304A" w:rsidP="002E2054">
      <w:pPr>
        <w:pStyle w:val="BESAPopupTextNotice"/>
        <w:spacing w:after="120"/>
        <w:rPr>
          <w:rFonts w:ascii="Verdana" w:hAnsi="Verdana"/>
          <w:i w:val="0"/>
          <w:sz w:val="20"/>
          <w:szCs w:val="20"/>
        </w:rPr>
      </w:pPr>
    </w:p>
    <w:p w:rsidR="002E2054" w:rsidRPr="002E2054" w:rsidRDefault="002E2054" w:rsidP="002E2054">
      <w:pPr>
        <w:pStyle w:val="BESAPopupTextNotice"/>
        <w:spacing w:after="120"/>
        <w:rPr>
          <w:rFonts w:ascii="Verdana" w:hAnsi="Verdana"/>
          <w:i w:val="0"/>
          <w:sz w:val="20"/>
          <w:szCs w:val="20"/>
        </w:rPr>
      </w:pPr>
      <w:r w:rsidRPr="002E2054">
        <w:rPr>
          <w:rFonts w:ascii="Verdana" w:hAnsi="Verdana"/>
          <w:i w:val="0"/>
          <w:sz w:val="20"/>
          <w:szCs w:val="20"/>
        </w:rPr>
        <w:t>MRA Drawbacks include:</w:t>
      </w:r>
    </w:p>
    <w:p w:rsidR="002E2054" w:rsidRPr="002E2054" w:rsidRDefault="002E2054" w:rsidP="002E2054">
      <w:pPr>
        <w:pStyle w:val="BESAScreenText"/>
        <w:numPr>
          <w:ilvl w:val="0"/>
          <w:numId w:val="7"/>
        </w:numPr>
        <w:autoSpaceDE w:val="0"/>
        <w:autoSpaceDN w:val="0"/>
        <w:adjustRightInd w:val="0"/>
        <w:rPr>
          <w:rFonts w:ascii="Verdana" w:hAnsi="Verdana"/>
          <w:szCs w:val="20"/>
        </w:rPr>
      </w:pPr>
      <w:r w:rsidRPr="002E2054">
        <w:rPr>
          <w:rFonts w:ascii="Verdana" w:hAnsi="Verdana"/>
          <w:szCs w:val="20"/>
        </w:rPr>
        <w:t>MRAs are perceived as using limited resources and unnecessary time</w:t>
      </w:r>
    </w:p>
    <w:p w:rsidR="002E2054" w:rsidRPr="002E2054" w:rsidRDefault="002E2054" w:rsidP="002E2054">
      <w:pPr>
        <w:pStyle w:val="BESAScreenText"/>
        <w:numPr>
          <w:ilvl w:val="0"/>
          <w:numId w:val="7"/>
        </w:numPr>
        <w:autoSpaceDE w:val="0"/>
        <w:autoSpaceDN w:val="0"/>
        <w:adjustRightInd w:val="0"/>
        <w:rPr>
          <w:rFonts w:ascii="Verdana" w:hAnsi="Verdana"/>
          <w:szCs w:val="20"/>
        </w:rPr>
      </w:pPr>
      <w:r w:rsidRPr="002E2054">
        <w:rPr>
          <w:rFonts w:ascii="Verdana" w:hAnsi="Verdana"/>
          <w:szCs w:val="20"/>
        </w:rPr>
        <w:t>MRAs may find unwanted new or hidden issues in the program</w:t>
      </w:r>
    </w:p>
    <w:p w:rsidR="002E2054" w:rsidRPr="002E2054" w:rsidRDefault="002E2054" w:rsidP="002E2054">
      <w:pPr>
        <w:pStyle w:val="BESAScreenText"/>
        <w:numPr>
          <w:ilvl w:val="0"/>
          <w:numId w:val="7"/>
        </w:numPr>
        <w:autoSpaceDE w:val="0"/>
        <w:autoSpaceDN w:val="0"/>
        <w:adjustRightInd w:val="0"/>
        <w:rPr>
          <w:rFonts w:ascii="Verdana" w:hAnsi="Verdana"/>
          <w:szCs w:val="20"/>
        </w:rPr>
      </w:pPr>
      <w:r w:rsidRPr="002E2054">
        <w:rPr>
          <w:rFonts w:ascii="Verdana" w:hAnsi="Verdana"/>
          <w:szCs w:val="20"/>
        </w:rPr>
        <w:t>MRAs cost money, as do the solutions to new issues they may find</w:t>
      </w:r>
    </w:p>
    <w:p w:rsidR="002E2054" w:rsidRPr="002E2054" w:rsidRDefault="002E2054" w:rsidP="002E2054">
      <w:pPr>
        <w:pStyle w:val="BESAScreenText"/>
        <w:autoSpaceDE w:val="0"/>
        <w:autoSpaceDN w:val="0"/>
        <w:adjustRightInd w:val="0"/>
        <w:rPr>
          <w:rFonts w:ascii="Verdana" w:hAnsi="Verdana"/>
          <w:szCs w:val="20"/>
        </w:rPr>
      </w:pPr>
      <w:r w:rsidRPr="002E2054">
        <w:rPr>
          <w:rFonts w:ascii="Verdana" w:hAnsi="Verdana"/>
          <w:szCs w:val="20"/>
        </w:rPr>
        <w:t>Minimize MRA drawbacks by:</w:t>
      </w:r>
    </w:p>
    <w:p w:rsidR="002E2054" w:rsidRDefault="002E2054" w:rsidP="002E2054">
      <w:pPr>
        <w:pStyle w:val="BESAScreenText"/>
        <w:numPr>
          <w:ilvl w:val="0"/>
          <w:numId w:val="6"/>
        </w:numPr>
        <w:autoSpaceDE w:val="0"/>
        <w:autoSpaceDN w:val="0"/>
        <w:adjustRightInd w:val="0"/>
        <w:rPr>
          <w:rFonts w:ascii="Verdana" w:hAnsi="Verdana"/>
          <w:szCs w:val="20"/>
        </w:rPr>
      </w:pPr>
      <w:r w:rsidRPr="002E2054">
        <w:rPr>
          <w:rFonts w:ascii="Verdana" w:hAnsi="Verdana"/>
          <w:szCs w:val="20"/>
        </w:rPr>
        <w:t>Knowing and having a good relationship with your Procuring Contracting Officer (PCO)</w:t>
      </w:r>
    </w:p>
    <w:p w:rsidR="00EE33E8" w:rsidRPr="002E2054" w:rsidRDefault="002E2054" w:rsidP="002E2054">
      <w:pPr>
        <w:pStyle w:val="BESAScreenText"/>
        <w:numPr>
          <w:ilvl w:val="0"/>
          <w:numId w:val="6"/>
        </w:numPr>
        <w:autoSpaceDE w:val="0"/>
        <w:autoSpaceDN w:val="0"/>
        <w:adjustRightInd w:val="0"/>
        <w:rPr>
          <w:rFonts w:ascii="Verdana" w:hAnsi="Verdana"/>
          <w:szCs w:val="20"/>
        </w:rPr>
      </w:pPr>
      <w:r w:rsidRPr="002E2054">
        <w:rPr>
          <w:rFonts w:ascii="Verdana" w:hAnsi="Verdana"/>
          <w:szCs w:val="20"/>
        </w:rPr>
        <w:t>Building a well-rounded MRA team</w:t>
      </w:r>
    </w:p>
    <w:p w:rsidR="00EE33E8" w:rsidRPr="00F1462B" w:rsidRDefault="00EE33E8">
      <w:pPr>
        <w:rPr>
          <w:rFonts w:ascii="Verdana" w:hAnsi="Verdana"/>
          <w:b/>
          <w:sz w:val="20"/>
          <w:szCs w:val="20"/>
        </w:rPr>
      </w:pPr>
    </w:p>
    <w:p w:rsidR="004751B3" w:rsidRDefault="004751B3">
      <w:pPr>
        <w:rPr>
          <w:rFonts w:ascii="Verdana" w:hAnsi="Verdana"/>
          <w:b/>
          <w:sz w:val="20"/>
          <w:szCs w:val="20"/>
        </w:rPr>
      </w:pPr>
    </w:p>
    <w:p w:rsidR="004751B3" w:rsidRDefault="004751B3">
      <w:pPr>
        <w:rPr>
          <w:rFonts w:ascii="Verdana" w:hAnsi="Verdana"/>
          <w:b/>
          <w:sz w:val="20"/>
          <w:szCs w:val="20"/>
        </w:rPr>
      </w:pPr>
    </w:p>
    <w:p w:rsidR="0026304A" w:rsidRDefault="003044A6">
      <w:pPr>
        <w:rPr>
          <w:rFonts w:ascii="Verdana" w:hAnsi="Verdana"/>
          <w:b/>
          <w:sz w:val="20"/>
          <w:szCs w:val="20"/>
        </w:rPr>
      </w:pPr>
      <w:r>
        <w:rPr>
          <w:rFonts w:ascii="Verdana" w:hAnsi="Verdana"/>
          <w:b/>
          <w:sz w:val="20"/>
          <w:szCs w:val="20"/>
        </w:rPr>
        <w:br/>
      </w:r>
    </w:p>
    <w:p w:rsidR="007C0608" w:rsidRDefault="007C0608">
      <w:pPr>
        <w:rPr>
          <w:rFonts w:ascii="Verdana" w:hAnsi="Verdana"/>
          <w:b/>
          <w:sz w:val="20"/>
          <w:szCs w:val="20"/>
        </w:rPr>
      </w:pPr>
    </w:p>
    <w:p w:rsidR="0026304A" w:rsidRDefault="0026304A">
      <w:pPr>
        <w:rPr>
          <w:rFonts w:ascii="Verdana" w:hAnsi="Verdana"/>
          <w:b/>
          <w:sz w:val="20"/>
          <w:szCs w:val="20"/>
        </w:rPr>
      </w:pPr>
    </w:p>
    <w:p w:rsidR="0047577E" w:rsidRPr="00F1462B" w:rsidRDefault="0047577E">
      <w:pPr>
        <w:rPr>
          <w:rFonts w:ascii="Verdana" w:hAnsi="Verdana"/>
          <w:b/>
          <w:sz w:val="20"/>
          <w:szCs w:val="20"/>
        </w:rPr>
      </w:pPr>
      <w:r w:rsidRPr="00F1462B">
        <w:rPr>
          <w:rFonts w:ascii="Verdana" w:hAnsi="Verdana"/>
          <w:b/>
          <w:sz w:val="20"/>
          <w:szCs w:val="20"/>
        </w:rPr>
        <w:lastRenderedPageBreak/>
        <w:t>1.1.5</w:t>
      </w:r>
      <w:proofErr w:type="gramStart"/>
      <w:r w:rsidRPr="00F1462B">
        <w:rPr>
          <w:rFonts w:ascii="Verdana" w:hAnsi="Verdana"/>
          <w:b/>
          <w:sz w:val="20"/>
          <w:szCs w:val="20"/>
        </w:rPr>
        <w:t xml:space="preserve">.  </w:t>
      </w:r>
      <w:r w:rsidR="005766BC">
        <w:rPr>
          <w:rFonts w:ascii="Verdana" w:hAnsi="Verdana"/>
          <w:b/>
          <w:sz w:val="20"/>
          <w:szCs w:val="20"/>
        </w:rPr>
        <w:t>MRA</w:t>
      </w:r>
      <w:proofErr w:type="gramEnd"/>
      <w:r w:rsidR="005766BC">
        <w:rPr>
          <w:rFonts w:ascii="Verdana" w:hAnsi="Verdana"/>
          <w:b/>
          <w:sz w:val="20"/>
          <w:szCs w:val="20"/>
        </w:rPr>
        <w:t xml:space="preserve"> Report Results</w:t>
      </w:r>
    </w:p>
    <w:p w:rsidR="0047577E" w:rsidRPr="00F1462B" w:rsidRDefault="0047577E">
      <w:pPr>
        <w:rPr>
          <w:rFonts w:ascii="Verdana" w:hAnsi="Verdana"/>
          <w:sz w:val="20"/>
          <w:szCs w:val="20"/>
        </w:rPr>
      </w:pPr>
    </w:p>
    <w:p w:rsidR="002E2054" w:rsidRPr="001E3D01" w:rsidRDefault="002E2054" w:rsidP="002E2054">
      <w:pPr>
        <w:spacing w:before="120" w:after="120"/>
        <w:rPr>
          <w:rFonts w:ascii="Verdana" w:hAnsi="Verdana"/>
          <w:bCs/>
          <w:sz w:val="20"/>
          <w:szCs w:val="20"/>
        </w:rPr>
      </w:pPr>
      <w:r>
        <w:rPr>
          <w:rFonts w:ascii="Verdana" w:hAnsi="Verdana"/>
          <w:bCs/>
          <w:sz w:val="20"/>
          <w:szCs w:val="20"/>
        </w:rPr>
        <w:t xml:space="preserve">GAO </w:t>
      </w:r>
      <w:r w:rsidR="00662020">
        <w:rPr>
          <w:rFonts w:ascii="Verdana" w:hAnsi="Verdana"/>
          <w:bCs/>
          <w:sz w:val="20"/>
          <w:szCs w:val="20"/>
        </w:rPr>
        <w:t xml:space="preserve">Report </w:t>
      </w:r>
      <w:r>
        <w:rPr>
          <w:rFonts w:ascii="Verdana" w:hAnsi="Verdana"/>
          <w:bCs/>
          <w:sz w:val="20"/>
          <w:szCs w:val="20"/>
        </w:rPr>
        <w:t>knowledge points include:</w:t>
      </w:r>
    </w:p>
    <w:p w:rsidR="002E2054" w:rsidRDefault="002E2054" w:rsidP="002E2054">
      <w:pPr>
        <w:pStyle w:val="BESABulletedText"/>
        <w:rPr>
          <w:rFonts w:ascii="Verdana" w:hAnsi="Verdana"/>
        </w:rPr>
      </w:pPr>
      <w:r w:rsidRPr="002E2054">
        <w:rPr>
          <w:rFonts w:ascii="Verdana" w:hAnsi="Verdana"/>
        </w:rPr>
        <w:t>Are the product’s technologies matu</w:t>
      </w:r>
      <w:r>
        <w:rPr>
          <w:rFonts w:ascii="Verdana" w:hAnsi="Verdana"/>
        </w:rPr>
        <w:t>re at the start of development?</w:t>
      </w:r>
    </w:p>
    <w:p w:rsidR="003B75FF" w:rsidRPr="003B75FF" w:rsidRDefault="003B75FF" w:rsidP="003B75FF">
      <w:pPr>
        <w:pStyle w:val="BESABulletedText"/>
        <w:numPr>
          <w:ilvl w:val="0"/>
          <w:numId w:val="0"/>
        </w:numPr>
        <w:ind w:left="720"/>
        <w:rPr>
          <w:rFonts w:ascii="Verdana" w:hAnsi="Verdana"/>
        </w:rPr>
      </w:pPr>
      <w:r w:rsidRPr="003B75FF">
        <w:rPr>
          <w:rFonts w:ascii="Verdana" w:hAnsi="Verdana"/>
        </w:rPr>
        <w:t>This point is achieved when it has been demonstrated that the company can manufacture the product within cost, schedule, and quality targets.</w:t>
      </w:r>
      <w:r w:rsidR="00FC77CB">
        <w:rPr>
          <w:rFonts w:ascii="Verdana" w:hAnsi="Verdana"/>
        </w:rPr>
        <w:br/>
      </w:r>
    </w:p>
    <w:p w:rsidR="003B75FF" w:rsidRPr="003B75FF" w:rsidRDefault="003B75FF" w:rsidP="003B75FF">
      <w:pPr>
        <w:pStyle w:val="BESABulletedText"/>
        <w:numPr>
          <w:ilvl w:val="0"/>
          <w:numId w:val="0"/>
        </w:numPr>
        <w:ind w:left="720"/>
        <w:rPr>
          <w:rFonts w:ascii="Verdana" w:hAnsi="Verdana"/>
          <w:bCs/>
        </w:rPr>
      </w:pPr>
      <w:r w:rsidRPr="003B75FF">
        <w:rPr>
          <w:rFonts w:ascii="Verdana" w:hAnsi="Verdana"/>
          <w:bCs/>
        </w:rPr>
        <w:t>A best practice is to ensure that all key manufacturing processes are in statistical control—that is, they are repeatable, sustainable, and capable of consistently producing parts within the product’s quality standards—at the start of production.</w:t>
      </w:r>
    </w:p>
    <w:p w:rsidR="003B75FF" w:rsidRDefault="003B75FF" w:rsidP="003B75FF">
      <w:pPr>
        <w:pStyle w:val="BESABulletedText"/>
        <w:numPr>
          <w:ilvl w:val="0"/>
          <w:numId w:val="0"/>
        </w:numPr>
        <w:ind w:left="720"/>
        <w:rPr>
          <w:rFonts w:ascii="Verdana" w:hAnsi="Verdana"/>
        </w:rPr>
      </w:pPr>
    </w:p>
    <w:p w:rsidR="002E2054" w:rsidRPr="002E2054" w:rsidRDefault="002E2054" w:rsidP="002E2054">
      <w:pPr>
        <w:pStyle w:val="BESABulletedText"/>
        <w:rPr>
          <w:rFonts w:ascii="Verdana" w:hAnsi="Verdana"/>
        </w:rPr>
      </w:pPr>
      <w:r w:rsidRPr="002E2054">
        <w:rPr>
          <w:rFonts w:ascii="Verdana" w:hAnsi="Verdana"/>
        </w:rPr>
        <w:t>Is the product design stable at the design review?</w:t>
      </w:r>
    </w:p>
    <w:p w:rsidR="002E2054" w:rsidRDefault="002E2054" w:rsidP="002E2054">
      <w:pPr>
        <w:pStyle w:val="BESABulletedText"/>
        <w:rPr>
          <w:rFonts w:ascii="Verdana" w:hAnsi="Verdana"/>
        </w:rPr>
      </w:pPr>
      <w:r w:rsidRPr="002E2054">
        <w:rPr>
          <w:rFonts w:ascii="Verdana" w:hAnsi="Verdana"/>
        </w:rPr>
        <w:t>Are manufacturing processes mature prior to production start?</w:t>
      </w:r>
      <w:r w:rsidR="00FC77CB">
        <w:rPr>
          <w:rFonts w:ascii="Verdana" w:hAnsi="Verdana"/>
        </w:rPr>
        <w:br/>
      </w:r>
    </w:p>
    <w:p w:rsidR="00FC77CB" w:rsidRDefault="00FC77CB" w:rsidP="002E2054">
      <w:pPr>
        <w:pStyle w:val="BESAScreenText"/>
        <w:autoSpaceDE w:val="0"/>
        <w:autoSpaceDN w:val="0"/>
        <w:adjustRightInd w:val="0"/>
        <w:rPr>
          <w:rFonts w:ascii="Verdana" w:hAnsi="Verdana"/>
        </w:rPr>
      </w:pPr>
    </w:p>
    <w:p w:rsidR="00FC77CB" w:rsidRDefault="00FC77CB" w:rsidP="002E2054">
      <w:pPr>
        <w:pStyle w:val="BESAScreenText"/>
        <w:autoSpaceDE w:val="0"/>
        <w:autoSpaceDN w:val="0"/>
        <w:adjustRightInd w:val="0"/>
        <w:rPr>
          <w:rFonts w:ascii="Verdana" w:hAnsi="Verdana"/>
        </w:rPr>
      </w:pPr>
    </w:p>
    <w:p w:rsidR="00FC77CB" w:rsidRDefault="00E85BEF" w:rsidP="002E2054">
      <w:pPr>
        <w:pStyle w:val="BESAScreenText"/>
        <w:autoSpaceDE w:val="0"/>
        <w:autoSpaceDN w:val="0"/>
        <w:adjustRightInd w:val="0"/>
        <w:rPr>
          <w:rFonts w:ascii="Verdana" w:hAnsi="Verdana"/>
        </w:rPr>
      </w:pPr>
      <w:r>
        <w:rPr>
          <w:rFonts w:ascii="Verdana" w:hAnsi="Verdana"/>
          <w:b/>
          <w:i/>
          <w:noProof/>
          <w:szCs w:val="20"/>
        </w:rPr>
        <w:pict>
          <v:shape id="_x0000_s1041" type="#_x0000_t202" style="position:absolute;margin-left:260.25pt;margin-top:.1pt;width:215.25pt;height:249.45pt;z-index:251659776;mso-position-horizontal-relative:margin;mso-width-relative:margin;mso-height-relative:margin">
            <v:textbox style="mso-next-textbox:#_x0000_s1041">
              <w:txbxContent>
                <w:p w:rsidR="00E85BEF" w:rsidRDefault="00E85BEF" w:rsidP="00FC77CB">
                  <w:pPr>
                    <w:jc w:val="center"/>
                    <w:rPr>
                      <w:rFonts w:ascii="Verdana" w:hAnsi="Verdana"/>
                      <w:sz w:val="20"/>
                      <w:szCs w:val="20"/>
                    </w:rPr>
                  </w:pPr>
                </w:p>
                <w:p w:rsidR="00E85BEF" w:rsidRDefault="00E85BEF" w:rsidP="00FC77CB">
                  <w:pPr>
                    <w:jc w:val="center"/>
                    <w:rPr>
                      <w:rFonts w:ascii="Verdana" w:hAnsi="Verdana"/>
                      <w:sz w:val="20"/>
                      <w:szCs w:val="20"/>
                    </w:rPr>
                  </w:pPr>
                </w:p>
                <w:p w:rsidR="00E85BEF" w:rsidRDefault="00E85BEF" w:rsidP="00FC77CB">
                  <w:pPr>
                    <w:jc w:val="center"/>
                    <w:rPr>
                      <w:rFonts w:ascii="Verdana" w:hAnsi="Verdana"/>
                      <w:sz w:val="20"/>
                      <w:szCs w:val="20"/>
                    </w:rPr>
                  </w:pPr>
                </w:p>
                <w:p w:rsidR="00E85BEF" w:rsidRDefault="00E85BEF" w:rsidP="00FC77CB">
                  <w:pPr>
                    <w:jc w:val="center"/>
                    <w:rPr>
                      <w:rFonts w:ascii="Verdana" w:hAnsi="Verdana"/>
                      <w:sz w:val="20"/>
                      <w:szCs w:val="20"/>
                    </w:rPr>
                  </w:pPr>
                </w:p>
                <w:p w:rsidR="00E85BEF" w:rsidRDefault="00E85BEF" w:rsidP="00FC77CB">
                  <w:pPr>
                    <w:jc w:val="center"/>
                    <w:rPr>
                      <w:rFonts w:ascii="Verdana" w:hAnsi="Verdana"/>
                      <w:sz w:val="20"/>
                      <w:szCs w:val="20"/>
                    </w:rPr>
                  </w:pPr>
                </w:p>
                <w:p w:rsidR="007C0608" w:rsidRPr="00FC77CB" w:rsidRDefault="007C0608" w:rsidP="00FC77CB">
                  <w:pPr>
                    <w:jc w:val="center"/>
                    <w:rPr>
                      <w:rFonts w:ascii="Verdana" w:hAnsi="Verdana"/>
                      <w:sz w:val="20"/>
                      <w:szCs w:val="20"/>
                    </w:rPr>
                  </w:pPr>
                  <w:r>
                    <w:rPr>
                      <w:noProof/>
                    </w:rPr>
                    <w:drawing>
                      <wp:inline distT="0" distB="0" distL="0" distR="0">
                        <wp:extent cx="2541270" cy="1367445"/>
                        <wp:effectExtent l="19050" t="0" r="0" b="0"/>
                        <wp:docPr id="9" name="Picture 5" descr="\\OKCOK06OFS01\Projects\00-Active\1797_AFIT Task Order 8_MRA_SYS113\04-Development\04-Graphics\coursegraphics\finalimages\module1\lesson1\112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KCOK06OFS01\Projects\00-Active\1797_AFIT Task Order 8_MRA_SYS113\04-Development\04-Graphics\coursegraphics\finalimages\module1\lesson1\11210a.png"/>
                                <pic:cNvPicPr>
                                  <a:picLocks noChangeAspect="1" noChangeArrowheads="1"/>
                                </pic:cNvPicPr>
                              </pic:nvPicPr>
                              <pic:blipFill>
                                <a:blip r:embed="rId10"/>
                                <a:srcRect/>
                                <a:stretch>
                                  <a:fillRect/>
                                </a:stretch>
                              </pic:blipFill>
                              <pic:spPr bwMode="auto">
                                <a:xfrm>
                                  <a:off x="0" y="0"/>
                                  <a:ext cx="2541270" cy="1367445"/>
                                </a:xfrm>
                                <a:prstGeom prst="rect">
                                  <a:avLst/>
                                </a:prstGeom>
                                <a:noFill/>
                                <a:ln w="9525">
                                  <a:noFill/>
                                  <a:miter lim="800000"/>
                                  <a:headEnd/>
                                  <a:tailEnd/>
                                </a:ln>
                              </pic:spPr>
                            </pic:pic>
                          </a:graphicData>
                        </a:graphic>
                      </wp:inline>
                    </w:drawing>
                  </w:r>
                </w:p>
              </w:txbxContent>
            </v:textbox>
            <w10:wrap type="square" anchorx="margin"/>
          </v:shape>
        </w:pict>
      </w:r>
    </w:p>
    <w:p w:rsidR="00FC77CB" w:rsidRDefault="00FC77CB" w:rsidP="002E2054">
      <w:pPr>
        <w:pStyle w:val="BESAScreenText"/>
        <w:autoSpaceDE w:val="0"/>
        <w:autoSpaceDN w:val="0"/>
        <w:adjustRightInd w:val="0"/>
        <w:rPr>
          <w:rFonts w:ascii="Verdana" w:hAnsi="Verdana"/>
        </w:rPr>
      </w:pPr>
    </w:p>
    <w:p w:rsidR="002E2054" w:rsidRPr="00B7071E" w:rsidRDefault="002E2054" w:rsidP="002E2054">
      <w:pPr>
        <w:pStyle w:val="BESAScreenText"/>
        <w:autoSpaceDE w:val="0"/>
        <w:autoSpaceDN w:val="0"/>
        <w:adjustRightInd w:val="0"/>
        <w:rPr>
          <w:rFonts w:ascii="Verdana" w:hAnsi="Verdana"/>
        </w:rPr>
      </w:pPr>
      <w:r w:rsidRPr="00C441B0">
        <w:rPr>
          <w:rFonts w:ascii="Verdana" w:hAnsi="Verdana"/>
        </w:rPr>
        <w:t>ASC 360</w:t>
      </w:r>
      <w:r w:rsidR="003B75FF">
        <w:rPr>
          <w:rFonts w:ascii="Verdana" w:hAnsi="Verdana"/>
          <w:vertAlign w:val="superscript"/>
        </w:rPr>
        <w:t>°</w:t>
      </w:r>
      <w:r w:rsidRPr="00C441B0">
        <w:rPr>
          <w:rFonts w:ascii="Verdana" w:hAnsi="Verdana"/>
        </w:rPr>
        <w:t xml:space="preserve"> Study</w:t>
      </w:r>
      <w:r>
        <w:rPr>
          <w:rFonts w:ascii="Verdana" w:hAnsi="Verdana"/>
        </w:rPr>
        <w:t>: 5 B</w:t>
      </w:r>
      <w:r w:rsidRPr="00C441B0">
        <w:rPr>
          <w:rFonts w:ascii="Verdana" w:hAnsi="Verdana"/>
        </w:rPr>
        <w:t xml:space="preserve">ig </w:t>
      </w:r>
      <w:r>
        <w:rPr>
          <w:rFonts w:ascii="Verdana" w:hAnsi="Verdana"/>
        </w:rPr>
        <w:t>I</w:t>
      </w:r>
      <w:r w:rsidRPr="00C441B0">
        <w:rPr>
          <w:rFonts w:ascii="Verdana" w:hAnsi="Verdana"/>
        </w:rPr>
        <w:t xml:space="preserve">ndustry </w:t>
      </w:r>
      <w:r>
        <w:rPr>
          <w:rFonts w:ascii="Verdana" w:hAnsi="Verdana"/>
        </w:rPr>
        <w:t>M</w:t>
      </w:r>
      <w:r w:rsidRPr="00C441B0">
        <w:rPr>
          <w:rFonts w:ascii="Verdana" w:hAnsi="Verdana"/>
        </w:rPr>
        <w:t>essages:</w:t>
      </w:r>
    </w:p>
    <w:p w:rsidR="002E2054" w:rsidRPr="002E2054" w:rsidRDefault="002E2054" w:rsidP="002E2054">
      <w:pPr>
        <w:pStyle w:val="BESAPopupTextNotice"/>
        <w:numPr>
          <w:ilvl w:val="0"/>
          <w:numId w:val="8"/>
        </w:numPr>
        <w:spacing w:after="120"/>
        <w:rPr>
          <w:rFonts w:ascii="Verdana" w:hAnsi="Verdana"/>
          <w:i w:val="0"/>
          <w:sz w:val="20"/>
          <w:szCs w:val="20"/>
        </w:rPr>
      </w:pPr>
      <w:r w:rsidRPr="002E2054">
        <w:rPr>
          <w:rFonts w:ascii="Verdana" w:hAnsi="Verdana"/>
          <w:i w:val="0"/>
          <w:sz w:val="20"/>
          <w:szCs w:val="20"/>
        </w:rPr>
        <w:t>Government acquisition strategies do not require an in-depth risk analysis for manufacturing during product design.</w:t>
      </w:r>
    </w:p>
    <w:p w:rsidR="002E2054" w:rsidRPr="002E2054" w:rsidRDefault="002E2054" w:rsidP="002E2054">
      <w:pPr>
        <w:pStyle w:val="BESAPopupTextNotice"/>
        <w:numPr>
          <w:ilvl w:val="0"/>
          <w:numId w:val="8"/>
        </w:numPr>
        <w:spacing w:after="120"/>
        <w:rPr>
          <w:rFonts w:ascii="Verdana" w:hAnsi="Verdana"/>
          <w:i w:val="0"/>
          <w:sz w:val="20"/>
          <w:szCs w:val="20"/>
        </w:rPr>
      </w:pPr>
      <w:r w:rsidRPr="002E2054">
        <w:rPr>
          <w:rFonts w:ascii="Verdana" w:hAnsi="Verdana"/>
          <w:i w:val="0"/>
          <w:sz w:val="20"/>
          <w:szCs w:val="20"/>
        </w:rPr>
        <w:t>Government acquisition does not specify the right deliverables in contracts.</w:t>
      </w:r>
    </w:p>
    <w:p w:rsidR="002E2054" w:rsidRPr="002E2054" w:rsidRDefault="002E2054" w:rsidP="002E2054">
      <w:pPr>
        <w:pStyle w:val="BESAPopupTextNotice"/>
        <w:numPr>
          <w:ilvl w:val="0"/>
          <w:numId w:val="8"/>
        </w:numPr>
        <w:spacing w:after="120"/>
        <w:rPr>
          <w:rFonts w:ascii="Verdana" w:hAnsi="Verdana"/>
          <w:i w:val="0"/>
          <w:sz w:val="20"/>
          <w:szCs w:val="20"/>
        </w:rPr>
      </w:pPr>
      <w:r w:rsidRPr="002E2054">
        <w:rPr>
          <w:rFonts w:ascii="Verdana" w:hAnsi="Verdana"/>
          <w:i w:val="0"/>
          <w:sz w:val="20"/>
          <w:szCs w:val="20"/>
        </w:rPr>
        <w:t>Benchmarking other industries will give a better picture of manufacturing-related issues during product development and risk mitigation plans.</w:t>
      </w:r>
    </w:p>
    <w:p w:rsidR="002E2054" w:rsidRPr="002E2054" w:rsidRDefault="002E2054" w:rsidP="002E2054">
      <w:pPr>
        <w:pStyle w:val="BESAPopupTextNotice"/>
        <w:numPr>
          <w:ilvl w:val="0"/>
          <w:numId w:val="8"/>
        </w:numPr>
        <w:spacing w:after="120"/>
        <w:rPr>
          <w:rFonts w:ascii="Verdana" w:hAnsi="Verdana"/>
          <w:i w:val="0"/>
          <w:sz w:val="20"/>
          <w:szCs w:val="20"/>
        </w:rPr>
      </w:pPr>
      <w:r w:rsidRPr="002E2054">
        <w:rPr>
          <w:rFonts w:ascii="Verdana" w:hAnsi="Verdana"/>
          <w:i w:val="0"/>
          <w:sz w:val="20"/>
          <w:szCs w:val="20"/>
        </w:rPr>
        <w:t>Production readiness must be assessed in a meaningful way.</w:t>
      </w:r>
    </w:p>
    <w:p w:rsidR="002E2054" w:rsidRPr="002E2054" w:rsidRDefault="002E2054" w:rsidP="002E2054">
      <w:pPr>
        <w:pStyle w:val="BESAPopupTextNotice"/>
        <w:numPr>
          <w:ilvl w:val="0"/>
          <w:numId w:val="8"/>
        </w:numPr>
        <w:spacing w:after="120"/>
        <w:rPr>
          <w:rFonts w:ascii="Verdana" w:hAnsi="Verdana"/>
          <w:b/>
          <w:i w:val="0"/>
        </w:rPr>
      </w:pPr>
      <w:r w:rsidRPr="002E2054">
        <w:rPr>
          <w:rFonts w:ascii="Verdana" w:hAnsi="Verdana"/>
          <w:i w:val="0"/>
          <w:sz w:val="20"/>
          <w:szCs w:val="20"/>
        </w:rPr>
        <w:t>Put more emphasis on suppliers during product development.</w:t>
      </w:r>
    </w:p>
    <w:p w:rsidR="002E2054" w:rsidRPr="002E2054" w:rsidRDefault="002E2054" w:rsidP="002E2054">
      <w:pPr>
        <w:pStyle w:val="BESAPopupTextNotice"/>
        <w:spacing w:after="120"/>
        <w:ind w:left="360"/>
        <w:rPr>
          <w:rFonts w:ascii="Verdana" w:hAnsi="Verdana"/>
          <w:b/>
          <w:i w:val="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FC77CB" w:rsidRDefault="00FC77CB" w:rsidP="002E2054">
      <w:pPr>
        <w:pStyle w:val="BESAPopupTextNotice"/>
        <w:spacing w:after="120"/>
        <w:rPr>
          <w:rFonts w:ascii="Verdana" w:hAnsi="Verdana"/>
          <w:b/>
          <w:i w:val="0"/>
          <w:sz w:val="20"/>
          <w:szCs w:val="20"/>
        </w:rPr>
      </w:pPr>
    </w:p>
    <w:p w:rsidR="0047577E" w:rsidRPr="002E2054" w:rsidRDefault="0047577E" w:rsidP="002E2054">
      <w:pPr>
        <w:pStyle w:val="BESAPopupTextNotice"/>
        <w:spacing w:after="120"/>
        <w:rPr>
          <w:rFonts w:ascii="Verdana" w:hAnsi="Verdana"/>
          <w:b/>
          <w:i w:val="0"/>
        </w:rPr>
      </w:pPr>
      <w:r w:rsidRPr="002E2054">
        <w:rPr>
          <w:rFonts w:ascii="Verdana" w:hAnsi="Verdana"/>
          <w:b/>
          <w:i w:val="0"/>
          <w:sz w:val="20"/>
          <w:szCs w:val="20"/>
        </w:rPr>
        <w:lastRenderedPageBreak/>
        <w:t>1.1.</w:t>
      </w:r>
      <w:r w:rsidR="005766BC" w:rsidRPr="002E2054">
        <w:rPr>
          <w:rFonts w:ascii="Verdana" w:hAnsi="Verdana"/>
          <w:b/>
          <w:i w:val="0"/>
          <w:sz w:val="20"/>
          <w:szCs w:val="20"/>
        </w:rPr>
        <w:t>6</w:t>
      </w:r>
      <w:proofErr w:type="gramStart"/>
      <w:r w:rsidR="005766BC" w:rsidRPr="002E2054">
        <w:rPr>
          <w:rFonts w:ascii="Verdana" w:hAnsi="Verdana"/>
          <w:b/>
          <w:i w:val="0"/>
          <w:sz w:val="20"/>
          <w:szCs w:val="20"/>
        </w:rPr>
        <w:t>.  Characteristics</w:t>
      </w:r>
      <w:proofErr w:type="gramEnd"/>
      <w:r w:rsidR="005766BC" w:rsidRPr="002E2054">
        <w:rPr>
          <w:rFonts w:ascii="Verdana" w:hAnsi="Verdana"/>
          <w:b/>
          <w:i w:val="0"/>
          <w:sz w:val="20"/>
          <w:szCs w:val="20"/>
        </w:rPr>
        <w:t xml:space="preserve"> of M</w:t>
      </w:r>
      <w:r w:rsidRPr="002E2054">
        <w:rPr>
          <w:rFonts w:ascii="Verdana" w:hAnsi="Verdana"/>
          <w:b/>
          <w:i w:val="0"/>
          <w:sz w:val="20"/>
          <w:szCs w:val="20"/>
        </w:rPr>
        <w:t>RA Steps</w:t>
      </w:r>
    </w:p>
    <w:p w:rsidR="00865740" w:rsidRPr="00F1462B" w:rsidRDefault="00865740">
      <w:pPr>
        <w:rPr>
          <w:rFonts w:ascii="Verdana" w:hAnsi="Verdana"/>
          <w:b/>
          <w:sz w:val="20"/>
          <w:szCs w:val="20"/>
        </w:rPr>
      </w:pPr>
    </w:p>
    <w:p w:rsidR="00AA3F25" w:rsidRPr="00F1462B" w:rsidRDefault="00AA3F25" w:rsidP="00AA3F25">
      <w:pPr>
        <w:rPr>
          <w:rFonts w:ascii="Verdana" w:hAnsi="Verdana"/>
          <w:i/>
          <w:sz w:val="20"/>
          <w:szCs w:val="20"/>
        </w:rPr>
      </w:pPr>
      <w:r w:rsidRPr="00F1462B">
        <w:rPr>
          <w:rFonts w:ascii="Verdana" w:hAnsi="Verdana"/>
          <w:b/>
          <w:i/>
          <w:sz w:val="20"/>
          <w:szCs w:val="20"/>
        </w:rPr>
        <w:t xml:space="preserve">Step 1 – </w:t>
      </w:r>
      <w:r w:rsidR="009F5698" w:rsidRPr="009F5698">
        <w:rPr>
          <w:rFonts w:ascii="Verdana" w:hAnsi="Verdana"/>
          <w:b/>
          <w:i/>
          <w:sz w:val="20"/>
          <w:szCs w:val="20"/>
        </w:rPr>
        <w:t>Identify the need for a</w:t>
      </w:r>
      <w:r w:rsidR="007E4377">
        <w:rPr>
          <w:rFonts w:ascii="Verdana" w:hAnsi="Verdana"/>
          <w:b/>
          <w:i/>
          <w:sz w:val="20"/>
          <w:szCs w:val="20"/>
        </w:rPr>
        <w:t>n</w:t>
      </w:r>
      <w:r w:rsidR="009F5698" w:rsidRPr="009F5698">
        <w:rPr>
          <w:rFonts w:ascii="Verdana" w:hAnsi="Verdana"/>
          <w:b/>
          <w:i/>
          <w:sz w:val="20"/>
          <w:szCs w:val="20"/>
        </w:rPr>
        <w:t xml:space="preserve"> MRA</w:t>
      </w:r>
    </w:p>
    <w:p w:rsidR="00AA3F25" w:rsidRPr="00F1462B" w:rsidRDefault="00FC77CB" w:rsidP="00AA3F25">
      <w:pPr>
        <w:rPr>
          <w:rFonts w:ascii="Verdana" w:hAnsi="Verdana"/>
          <w:sz w:val="20"/>
          <w:szCs w:val="20"/>
        </w:rPr>
      </w:pPr>
      <w:r w:rsidRPr="002E2054">
        <w:rPr>
          <w:i/>
          <w:noProof/>
        </w:rPr>
        <w:pict>
          <v:shape id="_x0000_s1028" type="#_x0000_t202" style="position:absolute;margin-left:234pt;margin-top:9.8pt;width:227.25pt;height:302.5pt;z-index:251654656;mso-position-horizontal-relative:margin;mso-width-relative:margin;mso-height-relative:margin">
            <v:textbox style="mso-next-textbox:#_x0000_s1028">
              <w:txbxContent>
                <w:p w:rsidR="00E85BEF" w:rsidRDefault="00E85BEF" w:rsidP="00865740">
                  <w:pPr>
                    <w:jc w:val="center"/>
                    <w:rPr>
                      <w:rFonts w:ascii="Verdana" w:hAnsi="Verdana"/>
                      <w:sz w:val="20"/>
                      <w:szCs w:val="20"/>
                    </w:rPr>
                  </w:pPr>
                </w:p>
                <w:p w:rsidR="00E85BEF" w:rsidRDefault="00E85BEF" w:rsidP="00865740">
                  <w:pPr>
                    <w:jc w:val="center"/>
                    <w:rPr>
                      <w:rFonts w:ascii="Verdana" w:hAnsi="Verdana"/>
                      <w:sz w:val="20"/>
                      <w:szCs w:val="20"/>
                    </w:rPr>
                  </w:pPr>
                </w:p>
                <w:p w:rsidR="007C0608" w:rsidRPr="008F139D" w:rsidRDefault="00E85BEF" w:rsidP="00865740">
                  <w:pPr>
                    <w:jc w:val="center"/>
                    <w:rPr>
                      <w:rFonts w:ascii="Verdana" w:hAnsi="Verdana"/>
                      <w:sz w:val="20"/>
                      <w:szCs w:val="20"/>
                    </w:rPr>
                  </w:pPr>
                  <w:r>
                    <w:rPr>
                      <w:noProof/>
                    </w:rPr>
                    <w:drawing>
                      <wp:inline distT="0" distB="0" distL="0" distR="0">
                        <wp:extent cx="2693670" cy="2819129"/>
                        <wp:effectExtent l="19050" t="0" r="0" b="0"/>
                        <wp:docPr id="10" name="Picture 6" descr="\\OKCOK06OFS01\Projects\00-Active\1797_AFIT Task Order 8_MRA_SYS113\04-Development\04-Graphics\coursegraphics\finalimages\module1\lesson1\110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KCOK06OFS01\Projects\00-Active\1797_AFIT Task Order 8_MRA_SYS113\04-Development\04-Graphics\coursegraphics\finalimages\module1\lesson1\11010a.png"/>
                                <pic:cNvPicPr>
                                  <a:picLocks noChangeAspect="1" noChangeArrowheads="1"/>
                                </pic:cNvPicPr>
                              </pic:nvPicPr>
                              <pic:blipFill>
                                <a:blip r:embed="rId11"/>
                                <a:srcRect/>
                                <a:stretch>
                                  <a:fillRect/>
                                </a:stretch>
                              </pic:blipFill>
                              <pic:spPr bwMode="auto">
                                <a:xfrm>
                                  <a:off x="0" y="0"/>
                                  <a:ext cx="2693670" cy="2819129"/>
                                </a:xfrm>
                                <a:prstGeom prst="rect">
                                  <a:avLst/>
                                </a:prstGeom>
                                <a:noFill/>
                                <a:ln w="9525">
                                  <a:noFill/>
                                  <a:miter lim="800000"/>
                                  <a:headEnd/>
                                  <a:tailEnd/>
                                </a:ln>
                              </pic:spPr>
                            </pic:pic>
                          </a:graphicData>
                        </a:graphic>
                      </wp:inline>
                    </w:drawing>
                  </w:r>
                </w:p>
              </w:txbxContent>
            </v:textbox>
            <w10:wrap type="square" anchorx="margin"/>
          </v:shape>
        </w:pict>
      </w:r>
    </w:p>
    <w:p w:rsidR="007E4377" w:rsidRPr="00B7071E" w:rsidRDefault="007E4377" w:rsidP="007E4377">
      <w:pPr>
        <w:pStyle w:val="BESAScreenText"/>
        <w:autoSpaceDE w:val="0"/>
        <w:autoSpaceDN w:val="0"/>
        <w:adjustRightInd w:val="0"/>
        <w:rPr>
          <w:rFonts w:ascii="Verdana" w:hAnsi="Verdana"/>
        </w:rPr>
      </w:pPr>
      <w:r w:rsidRPr="00B7071E">
        <w:rPr>
          <w:rFonts w:ascii="Verdana" w:hAnsi="Verdana"/>
        </w:rPr>
        <w:t xml:space="preserve">The triggers for a </w:t>
      </w:r>
      <w:r>
        <w:rPr>
          <w:rFonts w:ascii="Verdana" w:hAnsi="Verdana"/>
        </w:rPr>
        <w:t>Program Management Office (</w:t>
      </w:r>
      <w:r w:rsidRPr="00B7071E">
        <w:rPr>
          <w:rFonts w:ascii="Verdana" w:hAnsi="Verdana"/>
        </w:rPr>
        <w:t>PMO</w:t>
      </w:r>
      <w:r>
        <w:rPr>
          <w:rFonts w:ascii="Verdana" w:hAnsi="Verdana"/>
        </w:rPr>
        <w:t>)</w:t>
      </w:r>
      <w:r w:rsidRPr="00B7071E">
        <w:rPr>
          <w:rFonts w:ascii="Verdana" w:hAnsi="Verdana"/>
        </w:rPr>
        <w:t xml:space="preserve"> MRA are:</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 xml:space="preserve">An approaching </w:t>
      </w:r>
      <w:r>
        <w:rPr>
          <w:rFonts w:ascii="Verdana" w:hAnsi="Verdana"/>
        </w:rPr>
        <w:t>m</w:t>
      </w:r>
      <w:r w:rsidRPr="00B7071E">
        <w:rPr>
          <w:rFonts w:ascii="Verdana" w:hAnsi="Verdana"/>
        </w:rPr>
        <w:t xml:space="preserve">ilestone </w:t>
      </w:r>
      <w:r>
        <w:rPr>
          <w:rFonts w:ascii="Verdana" w:hAnsi="Verdana"/>
        </w:rPr>
        <w:t>r</w:t>
      </w:r>
      <w:r w:rsidRPr="00B7071E">
        <w:rPr>
          <w:rFonts w:ascii="Verdana" w:hAnsi="Verdana"/>
        </w:rPr>
        <w:t>eview</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Policy</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 xml:space="preserve">A request from </w:t>
      </w:r>
      <w:r>
        <w:rPr>
          <w:rFonts w:ascii="Verdana" w:hAnsi="Verdana"/>
        </w:rPr>
        <w:t>Program Executive Officer (</w:t>
      </w:r>
      <w:r w:rsidRPr="00B7071E">
        <w:rPr>
          <w:rFonts w:ascii="Verdana" w:hAnsi="Verdana"/>
        </w:rPr>
        <w:t>PEO</w:t>
      </w:r>
      <w:r>
        <w:rPr>
          <w:rFonts w:ascii="Verdana" w:hAnsi="Verdana"/>
        </w:rPr>
        <w:t>)</w:t>
      </w:r>
      <w:r w:rsidRPr="00B7071E">
        <w:rPr>
          <w:rFonts w:ascii="Verdana" w:hAnsi="Verdana"/>
        </w:rPr>
        <w:t xml:space="preserve"> / </w:t>
      </w:r>
      <w:r>
        <w:rPr>
          <w:rFonts w:ascii="Verdana" w:hAnsi="Verdana"/>
        </w:rPr>
        <w:t>Office of the Secretary of Defense (</w:t>
      </w:r>
      <w:r w:rsidRPr="00B7071E">
        <w:rPr>
          <w:rFonts w:ascii="Verdana" w:hAnsi="Verdana"/>
        </w:rPr>
        <w:t>OSD</w:t>
      </w:r>
      <w:r>
        <w:rPr>
          <w:rFonts w:ascii="Verdana" w:hAnsi="Verdana"/>
        </w:rPr>
        <w:t>)</w:t>
      </w:r>
      <w:r w:rsidRPr="00B7071E">
        <w:rPr>
          <w:rFonts w:ascii="Verdana" w:hAnsi="Verdana"/>
        </w:rPr>
        <w:t>, etc.</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Contract issues</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Good business sense</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Using draft DoD criteria:</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Cost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Design</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Manufacturing Process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Quality</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Schedule</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Facilities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Supplies / Materials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B7071E">
        <w:rPr>
          <w:rFonts w:ascii="Verdana" w:hAnsi="Verdana"/>
        </w:rPr>
        <w:t>Industrial Base</w:t>
      </w:r>
    </w:p>
    <w:p w:rsidR="00AA3F25" w:rsidRPr="00F1462B" w:rsidRDefault="007E4377" w:rsidP="007E4377">
      <w:pPr>
        <w:rPr>
          <w:rFonts w:ascii="Verdana" w:hAnsi="Verdana"/>
          <w:sz w:val="20"/>
          <w:szCs w:val="20"/>
        </w:rPr>
      </w:pPr>
      <w:r w:rsidRPr="0059650B">
        <w:rPr>
          <w:rFonts w:ascii="Verdana" w:hAnsi="Verdana"/>
          <w:sz w:val="20"/>
          <w:szCs w:val="20"/>
        </w:rPr>
        <w:t>NOTE: MRAs can occur at any stage of a program</w:t>
      </w:r>
      <w:r>
        <w:rPr>
          <w:rFonts w:ascii="Verdana" w:hAnsi="Verdana"/>
          <w:sz w:val="20"/>
          <w:szCs w:val="20"/>
        </w:rPr>
        <w:t>.</w:t>
      </w:r>
    </w:p>
    <w:p w:rsidR="00E23CDD" w:rsidRDefault="00EE33E8" w:rsidP="007E4377">
      <w:pPr>
        <w:pStyle w:val="BESAScreenText"/>
        <w:autoSpaceDE w:val="0"/>
        <w:autoSpaceDN w:val="0"/>
        <w:adjustRightInd w:val="0"/>
        <w:rPr>
          <w:rFonts w:ascii="Verdana" w:hAnsi="Verdana" w:cs="Arial"/>
          <w:b/>
          <w:i/>
          <w:szCs w:val="20"/>
        </w:rPr>
      </w:pPr>
      <w:r w:rsidRPr="00F1462B">
        <w:rPr>
          <w:rFonts w:ascii="Verdana" w:hAnsi="Verdana" w:cs="Arial"/>
          <w:b/>
          <w:i/>
          <w:szCs w:val="20"/>
        </w:rPr>
        <w:br/>
      </w:r>
    </w:p>
    <w:p w:rsidR="007E4377" w:rsidRPr="00B7071E" w:rsidRDefault="00AA3F25" w:rsidP="007E4377">
      <w:pPr>
        <w:pStyle w:val="BESAScreenText"/>
        <w:autoSpaceDE w:val="0"/>
        <w:autoSpaceDN w:val="0"/>
        <w:adjustRightInd w:val="0"/>
        <w:rPr>
          <w:rFonts w:ascii="Verdana" w:hAnsi="Verdana"/>
        </w:rPr>
      </w:pPr>
      <w:r w:rsidRPr="00F1462B">
        <w:rPr>
          <w:rFonts w:ascii="Verdana" w:hAnsi="Verdana" w:cs="Arial"/>
          <w:b/>
          <w:i/>
          <w:szCs w:val="20"/>
        </w:rPr>
        <w:t xml:space="preserve">Step 2 – </w:t>
      </w:r>
      <w:r w:rsidR="009F5698" w:rsidRPr="009F5698">
        <w:rPr>
          <w:rFonts w:ascii="Verdana" w:hAnsi="Verdana"/>
          <w:b/>
          <w:i/>
          <w:szCs w:val="20"/>
        </w:rPr>
        <w:t>Plan for the MRA and identify team members</w:t>
      </w:r>
      <w:r w:rsidRPr="00F1462B">
        <w:rPr>
          <w:rFonts w:ascii="Verdana" w:hAnsi="Verdana" w:cs="Arial"/>
          <w:b/>
          <w:i/>
          <w:szCs w:val="20"/>
        </w:rPr>
        <w:br/>
      </w:r>
      <w:r w:rsidRPr="00F1462B">
        <w:rPr>
          <w:rFonts w:ascii="Verdana" w:hAnsi="Verdana" w:cs="Arial"/>
          <w:b/>
          <w:i/>
          <w:szCs w:val="20"/>
        </w:rPr>
        <w:br/>
      </w:r>
      <w:r w:rsidR="007E4377" w:rsidRPr="00B7071E">
        <w:rPr>
          <w:rFonts w:ascii="Verdana" w:hAnsi="Verdana"/>
        </w:rPr>
        <w:t>The PMO, or office that chartered MRA, designates an MRA Team Lead and identifies members of the MRA</w:t>
      </w:r>
      <w:r w:rsidR="007E4377">
        <w:rPr>
          <w:rFonts w:ascii="Verdana" w:hAnsi="Verdana"/>
        </w:rPr>
        <w:t>.</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A team typically has 2-6 members.</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Best practice dictates selecting some members from outside the PMO.</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Subject Matter Experts should be utilized.</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Provide training for team members, if needed</w:t>
      </w:r>
      <w:r w:rsidRPr="00B7071E">
        <w:rPr>
          <w:rFonts w:ascii="Verdana" w:hAnsi="Verdana"/>
          <w:b/>
        </w:rPr>
        <w:t>.</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Contact Defense Contract Management Agency (DCMA).</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Notify contractor(s) and send orientation package(s).</w:t>
      </w:r>
    </w:p>
    <w:p w:rsidR="007E4377"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 xml:space="preserve">Schedule </w:t>
      </w:r>
      <w:r>
        <w:rPr>
          <w:rFonts w:ascii="Verdana" w:hAnsi="Verdana"/>
        </w:rPr>
        <w:t>o</w:t>
      </w:r>
      <w:r w:rsidRPr="00B7071E">
        <w:rPr>
          <w:rFonts w:ascii="Verdana" w:hAnsi="Verdana"/>
        </w:rPr>
        <w:t>n-site assessments.</w:t>
      </w:r>
    </w:p>
    <w:p w:rsidR="0047577E" w:rsidRPr="007E4377" w:rsidRDefault="007E4377" w:rsidP="007E4377">
      <w:pPr>
        <w:pStyle w:val="BESAScreenText"/>
        <w:numPr>
          <w:ilvl w:val="0"/>
          <w:numId w:val="12"/>
        </w:numPr>
        <w:autoSpaceDE w:val="0"/>
        <w:autoSpaceDN w:val="0"/>
        <w:adjustRightInd w:val="0"/>
        <w:rPr>
          <w:rFonts w:ascii="Verdana" w:hAnsi="Verdana"/>
        </w:rPr>
      </w:pPr>
      <w:r w:rsidRPr="007E4377">
        <w:rPr>
          <w:rFonts w:ascii="Verdana" w:hAnsi="Verdana"/>
          <w:szCs w:val="20"/>
        </w:rPr>
        <w:t>Conduct a team orientation prior to the on-site assessment.</w:t>
      </w:r>
    </w:p>
    <w:p w:rsidR="00E23CDD" w:rsidRDefault="00EE33E8" w:rsidP="007E4377">
      <w:pPr>
        <w:pStyle w:val="BESAScreenText"/>
        <w:autoSpaceDE w:val="0"/>
        <w:autoSpaceDN w:val="0"/>
        <w:adjustRightInd w:val="0"/>
        <w:rPr>
          <w:rFonts w:ascii="Verdana" w:hAnsi="Verdana"/>
          <w:b/>
          <w:i/>
          <w:szCs w:val="20"/>
        </w:rPr>
      </w:pPr>
      <w:r w:rsidRPr="00F1462B">
        <w:rPr>
          <w:rFonts w:ascii="Verdana" w:hAnsi="Verdana"/>
          <w:b/>
          <w:i/>
          <w:szCs w:val="20"/>
        </w:rPr>
        <w:br/>
      </w:r>
    </w:p>
    <w:p w:rsidR="007E4377" w:rsidRPr="00B7071E" w:rsidRDefault="00AA3F25" w:rsidP="007E4377">
      <w:pPr>
        <w:pStyle w:val="BESAScreenText"/>
        <w:autoSpaceDE w:val="0"/>
        <w:autoSpaceDN w:val="0"/>
        <w:adjustRightInd w:val="0"/>
        <w:rPr>
          <w:rFonts w:ascii="Verdana" w:hAnsi="Verdana"/>
        </w:rPr>
      </w:pPr>
      <w:r w:rsidRPr="007E4377">
        <w:rPr>
          <w:rFonts w:ascii="Verdana" w:hAnsi="Verdana"/>
          <w:b/>
          <w:i/>
          <w:szCs w:val="20"/>
        </w:rPr>
        <w:lastRenderedPageBreak/>
        <w:t xml:space="preserve">Step 3 - </w:t>
      </w:r>
      <w:r w:rsidR="009F5698" w:rsidRPr="007E4377">
        <w:rPr>
          <w:rFonts w:ascii="Verdana" w:hAnsi="Verdana"/>
          <w:b/>
          <w:i/>
        </w:rPr>
        <w:t>Define the objectives / scope for the MRA</w:t>
      </w:r>
      <w:r w:rsidRPr="00F1462B">
        <w:rPr>
          <w:rFonts w:ascii="Verdana" w:hAnsi="Verdana"/>
          <w:b/>
          <w:i/>
          <w:szCs w:val="20"/>
        </w:rPr>
        <w:br/>
      </w:r>
      <w:r w:rsidRPr="00F1462B">
        <w:rPr>
          <w:rFonts w:ascii="Verdana" w:hAnsi="Verdana"/>
          <w:b/>
          <w:i/>
          <w:szCs w:val="20"/>
        </w:rPr>
        <w:br/>
      </w:r>
      <w:r w:rsidR="007E4377" w:rsidRPr="00B7071E">
        <w:rPr>
          <w:rFonts w:ascii="Verdana" w:hAnsi="Verdana"/>
        </w:rPr>
        <w:t>The MRA team and the PMO develop the MRA plan</w:t>
      </w:r>
      <w:r w:rsidR="007E4377">
        <w:rPr>
          <w:rFonts w:ascii="Verdana" w:hAnsi="Verdana"/>
        </w:rPr>
        <w:t>.</w:t>
      </w:r>
    </w:p>
    <w:p w:rsidR="007E4377" w:rsidRPr="00B7071E" w:rsidRDefault="007E4377" w:rsidP="007E4377">
      <w:pPr>
        <w:pStyle w:val="BESAScreenText"/>
        <w:numPr>
          <w:ilvl w:val="0"/>
          <w:numId w:val="12"/>
        </w:numPr>
        <w:autoSpaceDE w:val="0"/>
        <w:autoSpaceDN w:val="0"/>
        <w:adjustRightInd w:val="0"/>
        <w:rPr>
          <w:rFonts w:ascii="Verdana" w:hAnsi="Verdana"/>
        </w:rPr>
      </w:pPr>
      <w:r w:rsidRPr="00B7071E">
        <w:rPr>
          <w:rFonts w:ascii="Verdana" w:hAnsi="Verdana"/>
        </w:rPr>
        <w:t>The MRA plan consists of:</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 program description and acquisition strategy</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The manufacturing elements under consideration</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Focus areas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Identification of target MRL</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Planned MRA schedule</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Funding considerations (TDY, labor, etc.)</w:t>
      </w:r>
    </w:p>
    <w:p w:rsidR="00AA3F25" w:rsidRPr="0056444E" w:rsidRDefault="007E4377" w:rsidP="00AA3F25">
      <w:pPr>
        <w:pStyle w:val="BESAScreenText"/>
        <w:numPr>
          <w:ilvl w:val="0"/>
          <w:numId w:val="12"/>
        </w:numPr>
        <w:autoSpaceDE w:val="0"/>
        <w:autoSpaceDN w:val="0"/>
        <w:adjustRightInd w:val="0"/>
        <w:rPr>
          <w:rFonts w:ascii="Verdana" w:hAnsi="Verdana"/>
          <w:szCs w:val="20"/>
        </w:rPr>
      </w:pPr>
      <w:r w:rsidRPr="0056444E">
        <w:rPr>
          <w:rFonts w:ascii="Verdana" w:hAnsi="Verdana"/>
        </w:rPr>
        <w:t>Prior to conducting an on-site MRA the PMO collects and provides data for the MRA team to use in the assessment.</w:t>
      </w:r>
    </w:p>
    <w:p w:rsidR="00E23CDD" w:rsidRDefault="00EE33E8" w:rsidP="007E4377">
      <w:pPr>
        <w:pStyle w:val="BESAScreenText"/>
        <w:autoSpaceDE w:val="0"/>
        <w:autoSpaceDN w:val="0"/>
        <w:adjustRightInd w:val="0"/>
        <w:ind w:left="360"/>
        <w:rPr>
          <w:rFonts w:ascii="Verdana" w:hAnsi="Verdana"/>
          <w:b/>
          <w:i/>
          <w:szCs w:val="20"/>
        </w:rPr>
      </w:pPr>
      <w:r w:rsidRPr="00F1462B">
        <w:rPr>
          <w:rFonts w:ascii="Verdana" w:hAnsi="Verdana"/>
          <w:b/>
          <w:i/>
          <w:szCs w:val="20"/>
        </w:rPr>
        <w:br/>
      </w:r>
    </w:p>
    <w:p w:rsidR="007E4377" w:rsidRDefault="00AA3F25" w:rsidP="007E4377">
      <w:pPr>
        <w:pStyle w:val="BESAScreenText"/>
        <w:autoSpaceDE w:val="0"/>
        <w:autoSpaceDN w:val="0"/>
        <w:adjustRightInd w:val="0"/>
        <w:ind w:left="360"/>
        <w:rPr>
          <w:rFonts w:ascii="Verdana" w:hAnsi="Verdana"/>
        </w:rPr>
      </w:pPr>
      <w:r w:rsidRPr="00F1462B">
        <w:rPr>
          <w:rFonts w:ascii="Verdana" w:hAnsi="Verdana"/>
          <w:b/>
          <w:i/>
          <w:szCs w:val="20"/>
        </w:rPr>
        <w:t xml:space="preserve">Step 4 - </w:t>
      </w:r>
      <w:r w:rsidR="009F5698" w:rsidRPr="009F5698">
        <w:rPr>
          <w:rFonts w:ascii="Verdana" w:hAnsi="Verdana"/>
          <w:b/>
          <w:i/>
          <w:szCs w:val="20"/>
        </w:rPr>
        <w:t>Perform the assessment</w:t>
      </w:r>
      <w:r w:rsidR="00EE33E8" w:rsidRPr="00F1462B">
        <w:rPr>
          <w:rFonts w:ascii="Verdana" w:hAnsi="Verdana"/>
          <w:b/>
          <w:i/>
          <w:szCs w:val="20"/>
        </w:rPr>
        <w:br/>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Contractor welcome, review of agenda</w:t>
      </w:r>
      <w:r>
        <w:rPr>
          <w:rFonts w:ascii="Verdana" w:hAnsi="Verdana"/>
        </w:rPr>
        <w:t>,</w:t>
      </w:r>
      <w:r w:rsidRPr="00C441B0">
        <w:rPr>
          <w:rFonts w:ascii="Verdana" w:hAnsi="Verdana"/>
        </w:rPr>
        <w:t xml:space="preserve"> and orientati</w:t>
      </w:r>
      <w:r>
        <w:rPr>
          <w:rFonts w:ascii="Verdana" w:hAnsi="Verdana"/>
        </w:rPr>
        <w:t>on to facility</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Introduction of assessmen</w:t>
      </w:r>
      <w:r>
        <w:rPr>
          <w:rFonts w:ascii="Verdana" w:hAnsi="Verdana"/>
        </w:rPr>
        <w:t>t team and contractor personnel</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 xml:space="preserve">Government team </w:t>
      </w:r>
      <w:r>
        <w:rPr>
          <w:rFonts w:ascii="Verdana" w:hAnsi="Verdana"/>
        </w:rPr>
        <w:t>led</w:t>
      </w:r>
      <w:r w:rsidRPr="00C441B0">
        <w:rPr>
          <w:rFonts w:ascii="Verdana" w:hAnsi="Verdana"/>
        </w:rPr>
        <w:t xml:space="preserve"> briefing to contractor</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Purpose of M</w:t>
      </w:r>
      <w:r>
        <w:rPr>
          <w:rFonts w:ascii="Verdana" w:hAnsi="Verdana"/>
        </w:rPr>
        <w:t>RA and how results will be used</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O</w:t>
      </w:r>
      <w:r>
        <w:rPr>
          <w:rFonts w:ascii="Verdana" w:hAnsi="Verdana"/>
        </w:rPr>
        <w:t>bjectives of assessment process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Pr>
          <w:rFonts w:ascii="Verdana" w:hAnsi="Verdana"/>
        </w:rPr>
        <w:t>Expectations</w:t>
      </w:r>
    </w:p>
    <w:p w:rsidR="007E4377" w:rsidRPr="00B7071E" w:rsidRDefault="007E4377" w:rsidP="007E4377">
      <w:pPr>
        <w:pStyle w:val="BESAScreenText"/>
        <w:numPr>
          <w:ilvl w:val="0"/>
          <w:numId w:val="12"/>
        </w:numPr>
        <w:autoSpaceDE w:val="0"/>
        <w:autoSpaceDN w:val="0"/>
        <w:adjustRightInd w:val="0"/>
        <w:rPr>
          <w:rFonts w:ascii="Verdana" w:hAnsi="Verdana"/>
        </w:rPr>
      </w:pPr>
      <w:r>
        <w:rPr>
          <w:rFonts w:ascii="Verdana" w:hAnsi="Verdana"/>
        </w:rPr>
        <w:t>Contractor overview</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Highlight responsibilit</w:t>
      </w:r>
      <w:r>
        <w:rPr>
          <w:rFonts w:ascii="Verdana" w:hAnsi="Verdana"/>
        </w:rPr>
        <w:t>ies of contractor participants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R</w:t>
      </w:r>
      <w:r>
        <w:rPr>
          <w:rFonts w:ascii="Verdana" w:hAnsi="Verdana"/>
        </w:rPr>
        <w:t>esults of their self-assessment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Provide detailed responses to quest</w:t>
      </w:r>
      <w:r>
        <w:rPr>
          <w:rFonts w:ascii="Verdana" w:hAnsi="Verdana"/>
        </w:rPr>
        <w:t>ions in the orientation package</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Shop-floor visits to key areas</w:t>
      </w:r>
      <w:r>
        <w:rPr>
          <w:rFonts w:ascii="Verdana" w:hAnsi="Verdana"/>
        </w:rPr>
        <w:t xml:space="preserve"> by individuals or small groups</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One-on-one or small group discussions between assessment team members and contractor subject matter experts</w:t>
      </w:r>
      <w:r>
        <w:rPr>
          <w:rFonts w:ascii="Verdana" w:hAnsi="Verdana"/>
        </w:rPr>
        <w:t>;</w:t>
      </w:r>
      <w:r w:rsidRPr="00C441B0">
        <w:rPr>
          <w:rFonts w:ascii="Verdana" w:hAnsi="Verdana"/>
        </w:rPr>
        <w:t xml:space="preserve"> </w:t>
      </w:r>
      <w:r>
        <w:rPr>
          <w:rFonts w:ascii="Verdana" w:hAnsi="Verdana"/>
        </w:rPr>
        <w:t>discussions focused on key areas</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Private meeting of Government assessment team to:</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Prepare feedbac</w:t>
      </w:r>
      <w:r>
        <w:rPr>
          <w:rFonts w:ascii="Verdana" w:hAnsi="Verdana"/>
        </w:rPr>
        <w:t>k and identify any action items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Pr>
          <w:rFonts w:ascii="Verdana" w:hAnsi="Verdana"/>
        </w:rPr>
        <w:t>Utilize the MRA Tool (MRAT)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In</w:t>
      </w:r>
      <w:r>
        <w:rPr>
          <w:rFonts w:ascii="Verdana" w:hAnsi="Verdana"/>
        </w:rPr>
        <w:t>itial assessment of current MRL</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Key streng</w:t>
      </w:r>
      <w:r>
        <w:rPr>
          <w:rFonts w:ascii="Verdana" w:hAnsi="Verdana"/>
        </w:rPr>
        <w:t>ths / risks / issues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Pr>
          <w:rFonts w:ascii="Verdana" w:hAnsi="Verdana"/>
        </w:rPr>
        <w:t>Key missing data (if any)</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Pr>
          <w:rFonts w:ascii="Verdana" w:hAnsi="Verdana"/>
        </w:rPr>
        <w:t>Proposed action items</w:t>
      </w:r>
    </w:p>
    <w:p w:rsidR="00AA3F25" w:rsidRPr="00F1462B" w:rsidRDefault="007E4377" w:rsidP="007E4377">
      <w:pPr>
        <w:pStyle w:val="BESAScreenText"/>
        <w:numPr>
          <w:ilvl w:val="0"/>
          <w:numId w:val="12"/>
        </w:numPr>
        <w:autoSpaceDE w:val="0"/>
        <w:autoSpaceDN w:val="0"/>
        <w:adjustRightInd w:val="0"/>
        <w:rPr>
          <w:rFonts w:ascii="Verdana" w:hAnsi="Verdana"/>
          <w:szCs w:val="20"/>
        </w:rPr>
      </w:pPr>
      <w:r w:rsidRPr="00C441B0">
        <w:rPr>
          <w:rFonts w:ascii="Verdana" w:hAnsi="Verdana"/>
        </w:rPr>
        <w:t>Out-briefing by Government team to contractor</w:t>
      </w:r>
      <w:r w:rsidR="00AA3F25" w:rsidRPr="00F1462B">
        <w:rPr>
          <w:rFonts w:ascii="Verdana" w:hAnsi="Verdana"/>
          <w:szCs w:val="20"/>
        </w:rPr>
        <w:br/>
      </w:r>
    </w:p>
    <w:p w:rsidR="00C23D26" w:rsidRDefault="00AA3F25" w:rsidP="007E4377">
      <w:pPr>
        <w:pStyle w:val="BESAScreenText"/>
        <w:autoSpaceDE w:val="0"/>
        <w:autoSpaceDN w:val="0"/>
        <w:adjustRightInd w:val="0"/>
        <w:ind w:left="360"/>
        <w:rPr>
          <w:rFonts w:ascii="Verdana" w:hAnsi="Verdana"/>
        </w:rPr>
      </w:pPr>
      <w:r w:rsidRPr="00F1462B">
        <w:rPr>
          <w:rFonts w:ascii="Verdana" w:hAnsi="Verdana"/>
          <w:b/>
          <w:i/>
          <w:szCs w:val="20"/>
        </w:rPr>
        <w:lastRenderedPageBreak/>
        <w:t xml:space="preserve">Step 5 – </w:t>
      </w:r>
      <w:r w:rsidR="009F5698" w:rsidRPr="009F5698">
        <w:rPr>
          <w:rFonts w:ascii="Verdana" w:hAnsi="Verdana"/>
          <w:b/>
          <w:i/>
          <w:szCs w:val="20"/>
        </w:rPr>
        <w:t>Document the results</w:t>
      </w:r>
    </w:p>
    <w:p w:rsidR="007E4377" w:rsidRPr="00B7071E" w:rsidRDefault="007E4377" w:rsidP="00C23D26">
      <w:pPr>
        <w:pStyle w:val="BESAScreenText"/>
        <w:numPr>
          <w:ilvl w:val="0"/>
          <w:numId w:val="12"/>
        </w:numPr>
        <w:autoSpaceDE w:val="0"/>
        <w:autoSpaceDN w:val="0"/>
        <w:adjustRightInd w:val="0"/>
        <w:rPr>
          <w:rFonts w:ascii="Verdana" w:hAnsi="Verdana"/>
        </w:rPr>
      </w:pPr>
      <w:r w:rsidRPr="00C441B0">
        <w:rPr>
          <w:rFonts w:ascii="Verdana" w:hAnsi="Verdana"/>
        </w:rPr>
        <w:t>MRA Team documents its assessment, including:</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 xml:space="preserve">A description of the technology that identifies the key elements; the key objectives of the technology development effort; and a discussion </w:t>
      </w:r>
      <w:r>
        <w:rPr>
          <w:rFonts w:ascii="Verdana" w:hAnsi="Verdana"/>
        </w:rPr>
        <w:t>of the current state of the art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Identification of the current TRL</w:t>
      </w:r>
      <w:r>
        <w:rPr>
          <w:rFonts w:ascii="Verdana" w:hAnsi="Verdana"/>
        </w:rPr>
        <w:t xml:space="preserve"> of the key technology elements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 discussion of the companies who are responsible for the key technology eleme</w:t>
      </w:r>
      <w:r>
        <w:rPr>
          <w:rFonts w:ascii="Verdana" w:hAnsi="Verdana"/>
        </w:rPr>
        <w:t>nts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Pr>
          <w:rFonts w:ascii="Verdana" w:hAnsi="Verdana"/>
        </w:rPr>
        <w:t>A list of team members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Dat</w:t>
      </w:r>
      <w:r>
        <w:rPr>
          <w:rFonts w:ascii="Verdana" w:hAnsi="Verdana"/>
        </w:rPr>
        <w:t>es and locations of site visits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 xml:space="preserve">A description of the manufacturing processes </w:t>
      </w:r>
      <w:r>
        <w:rPr>
          <w:rFonts w:ascii="Verdana" w:hAnsi="Verdana"/>
        </w:rPr>
        <w:t>for the key technology elements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 xml:space="preserve">The assessed MRL for each </w:t>
      </w:r>
      <w:r>
        <w:rPr>
          <w:rFonts w:ascii="Verdana" w:hAnsi="Verdana"/>
        </w:rPr>
        <w:t>key process or hardware element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Areas where manufacturing readiness falls short of tar</w:t>
      </w:r>
      <w:r>
        <w:rPr>
          <w:rFonts w:ascii="Verdana" w:hAnsi="Verdana"/>
        </w:rPr>
        <w:t>get MRL</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Identification of program</w:t>
      </w:r>
      <w:r>
        <w:rPr>
          <w:rFonts w:ascii="Verdana" w:hAnsi="Verdana"/>
        </w:rPr>
        <w:t>s and plans to reach target MRL</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Assessment of the type and significance of risk to cost, schedule</w:t>
      </w:r>
      <w:r>
        <w:rPr>
          <w:rFonts w:ascii="Verdana" w:hAnsi="Verdana"/>
        </w:rPr>
        <w:t>, or performance</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Assessment of the effectiveness o</w:t>
      </w:r>
      <w:r>
        <w:rPr>
          <w:rFonts w:ascii="Verdana" w:hAnsi="Verdana"/>
        </w:rPr>
        <w:t>f current risk mitigation plans</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Follow-on activities: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Gather any key miss</w:t>
      </w:r>
      <w:r>
        <w:rPr>
          <w:rFonts w:ascii="Verdana" w:hAnsi="Verdana"/>
        </w:rPr>
        <w:t>ing data</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 xml:space="preserve">Convene a team meeting within 2 </w:t>
      </w:r>
      <w:r>
        <w:rPr>
          <w:rFonts w:ascii="Verdana" w:hAnsi="Verdana"/>
        </w:rPr>
        <w:t>weeks of the on-site assessment</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Disc</w:t>
      </w:r>
      <w:r>
        <w:rPr>
          <w:rFonts w:ascii="Verdana" w:hAnsi="Verdana"/>
        </w:rPr>
        <w:t>uss and finalize the assessment</w:t>
      </w:r>
      <w:r w:rsidRPr="00C441B0">
        <w:rPr>
          <w:rFonts w:ascii="Verdana" w:hAnsi="Verdana"/>
        </w:rPr>
        <w:t xml:space="preserve"> </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Examine the current program and man</w:t>
      </w:r>
      <w:r>
        <w:rPr>
          <w:rFonts w:ascii="Verdana" w:hAnsi="Verdana"/>
        </w:rPr>
        <w:t>ufacturing risk reduction plans</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Agree on likely MRL at the completion of mi</w:t>
      </w:r>
      <w:r>
        <w:rPr>
          <w:rFonts w:ascii="Verdana" w:hAnsi="Verdana"/>
        </w:rPr>
        <w:t>lestone, if the plan is followed</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Sh</w:t>
      </w:r>
      <w:r>
        <w:rPr>
          <w:rFonts w:ascii="Verdana" w:hAnsi="Verdana"/>
        </w:rPr>
        <w:t>are results with the contractor</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Identify the specific risk reduction activities necess</w:t>
      </w:r>
      <w:r>
        <w:rPr>
          <w:rFonts w:ascii="Verdana" w:hAnsi="Verdana"/>
        </w:rPr>
        <w:t>ary to reach the next milestone</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Identify the funding, time-phasing</w:t>
      </w:r>
      <w:r>
        <w:rPr>
          <w:rFonts w:ascii="Verdana" w:hAnsi="Verdana"/>
        </w:rPr>
        <w:t>,</w:t>
      </w:r>
      <w:r w:rsidRPr="00C441B0">
        <w:rPr>
          <w:rFonts w:ascii="Verdana" w:hAnsi="Verdana"/>
        </w:rPr>
        <w:t xml:space="preserve"> and approac</w:t>
      </w:r>
      <w:r>
        <w:rPr>
          <w:rFonts w:ascii="Verdana" w:hAnsi="Verdana"/>
        </w:rPr>
        <w:t>h to carrying out each activity</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Prep</w:t>
      </w:r>
      <w:r>
        <w:rPr>
          <w:rFonts w:ascii="Verdana" w:hAnsi="Verdana"/>
        </w:rPr>
        <w:t>are and submit the final report</w:t>
      </w:r>
    </w:p>
    <w:p w:rsidR="007E4377" w:rsidRPr="00B7071E" w:rsidRDefault="007E4377" w:rsidP="007E4377">
      <w:pPr>
        <w:pStyle w:val="BESAScreenText"/>
        <w:numPr>
          <w:ilvl w:val="0"/>
          <w:numId w:val="12"/>
        </w:numPr>
        <w:autoSpaceDE w:val="0"/>
        <w:autoSpaceDN w:val="0"/>
        <w:adjustRightInd w:val="0"/>
        <w:rPr>
          <w:rFonts w:ascii="Verdana" w:hAnsi="Verdana"/>
        </w:rPr>
      </w:pPr>
      <w:r w:rsidRPr="00C441B0">
        <w:rPr>
          <w:rFonts w:ascii="Verdana" w:hAnsi="Verdana"/>
        </w:rPr>
        <w:t>For MRAs conducted to support a milestone decision:</w:t>
      </w:r>
    </w:p>
    <w:p w:rsidR="007E4377" w:rsidRDefault="007E4377" w:rsidP="007E4377">
      <w:pPr>
        <w:pStyle w:val="BESAScreenText"/>
        <w:numPr>
          <w:ilvl w:val="0"/>
          <w:numId w:val="11"/>
        </w:numPr>
        <w:tabs>
          <w:tab w:val="clear" w:pos="720"/>
          <w:tab w:val="num" w:pos="1080"/>
        </w:tabs>
        <w:autoSpaceDE w:val="0"/>
        <w:autoSpaceDN w:val="0"/>
        <w:adjustRightInd w:val="0"/>
        <w:ind w:left="1080"/>
        <w:rPr>
          <w:rFonts w:ascii="Verdana" w:hAnsi="Verdana"/>
        </w:rPr>
      </w:pPr>
      <w:r w:rsidRPr="00C441B0">
        <w:rPr>
          <w:rFonts w:ascii="Verdana" w:hAnsi="Verdana"/>
        </w:rPr>
        <w:t>PMO will create manufacturing risk mitigation plans and manu</w:t>
      </w:r>
      <w:r>
        <w:rPr>
          <w:rFonts w:ascii="Verdana" w:hAnsi="Verdana"/>
        </w:rPr>
        <w:t>facturing maturation strategies</w:t>
      </w:r>
    </w:p>
    <w:p w:rsidR="00AA3F25" w:rsidRPr="00F1462B" w:rsidRDefault="007144FD" w:rsidP="007E4377">
      <w:pPr>
        <w:pStyle w:val="BESAScreenText"/>
        <w:numPr>
          <w:ilvl w:val="0"/>
          <w:numId w:val="11"/>
        </w:numPr>
        <w:tabs>
          <w:tab w:val="clear" w:pos="720"/>
          <w:tab w:val="num" w:pos="1080"/>
        </w:tabs>
        <w:autoSpaceDE w:val="0"/>
        <w:autoSpaceDN w:val="0"/>
        <w:adjustRightInd w:val="0"/>
        <w:ind w:left="1080"/>
        <w:rPr>
          <w:rFonts w:ascii="Verdana" w:hAnsi="Verdana"/>
          <w:szCs w:val="20"/>
        </w:rPr>
      </w:pPr>
      <w:r w:rsidRPr="00F16E9E">
        <w:rPr>
          <w:rFonts w:ascii="Verdana" w:hAnsi="Verdana"/>
          <w:noProof/>
          <w:szCs w:val="20"/>
          <w:lang w:eastAsia="zh-TW"/>
        </w:rPr>
        <w:pict>
          <v:shape id="_x0000_s1042" type="#_x0000_t202" style="position:absolute;left:0;text-align:left;margin-left:0;margin-top:16.4pt;width:451.6pt;height:123pt;z-index:251660800;mso-position-horizontal:center;mso-position-horizontal-relative:margin;mso-width-relative:margin;mso-height-relative:margin">
            <v:textbox>
              <w:txbxContent>
                <w:p w:rsidR="007C0608" w:rsidRDefault="00E85BEF" w:rsidP="007144FD">
                  <w:pPr>
                    <w:jc w:val="center"/>
                  </w:pPr>
                  <w:r>
                    <w:rPr>
                      <w:rFonts w:ascii="Verdana" w:hAnsi="Verdana"/>
                      <w:b/>
                      <w:noProof/>
                      <w:sz w:val="20"/>
                      <w:szCs w:val="20"/>
                    </w:rPr>
                    <w:drawing>
                      <wp:inline distT="0" distB="0" distL="0" distR="0">
                        <wp:extent cx="5542915" cy="1498815"/>
                        <wp:effectExtent l="19050" t="0" r="635" b="0"/>
                        <wp:docPr id="11" name="Picture 7" descr="\\OKCOK06OFS01\Projects\00-Active\1797_AFIT Task Order 8_MRA_SYS113\04-Development\04-Graphics\coursegraphics\finalimages\module1\lesson1\110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KCOK06OFS01\Projects\00-Active\1797_AFIT Task Order 8_MRA_SYS113\04-Development\04-Graphics\coursegraphics\finalimages\module1\lesson1\11060a.png"/>
                                <pic:cNvPicPr>
                                  <a:picLocks noChangeAspect="1" noChangeArrowheads="1"/>
                                </pic:cNvPicPr>
                              </pic:nvPicPr>
                              <pic:blipFill>
                                <a:blip r:embed="rId12"/>
                                <a:srcRect/>
                                <a:stretch>
                                  <a:fillRect/>
                                </a:stretch>
                              </pic:blipFill>
                              <pic:spPr bwMode="auto">
                                <a:xfrm>
                                  <a:off x="0" y="0"/>
                                  <a:ext cx="5542915" cy="1498815"/>
                                </a:xfrm>
                                <a:prstGeom prst="rect">
                                  <a:avLst/>
                                </a:prstGeom>
                                <a:noFill/>
                                <a:ln w="9525">
                                  <a:noFill/>
                                  <a:miter lim="800000"/>
                                  <a:headEnd/>
                                  <a:tailEnd/>
                                </a:ln>
                              </pic:spPr>
                            </pic:pic>
                          </a:graphicData>
                        </a:graphic>
                      </wp:inline>
                    </w:drawing>
                  </w:r>
                </w:p>
              </w:txbxContent>
            </v:textbox>
            <w10:wrap anchorx="margin"/>
          </v:shape>
        </w:pict>
      </w:r>
      <w:r w:rsidR="007E4377" w:rsidRPr="00546045">
        <w:rPr>
          <w:rFonts w:ascii="Verdana" w:hAnsi="Verdana"/>
          <w:szCs w:val="20"/>
        </w:rPr>
        <w:t>PMO will provide a report to DoD at least one month prior to milestone</w:t>
      </w:r>
    </w:p>
    <w:p w:rsidR="00EE33E8" w:rsidRPr="00F1462B" w:rsidRDefault="00EE33E8" w:rsidP="00AA3F25">
      <w:pPr>
        <w:rPr>
          <w:rFonts w:ascii="Verdana" w:hAnsi="Verdana"/>
          <w:sz w:val="20"/>
          <w:szCs w:val="20"/>
        </w:rPr>
      </w:pPr>
    </w:p>
    <w:p w:rsidR="00E23CDD" w:rsidRDefault="00E23CDD" w:rsidP="00C23D26">
      <w:pPr>
        <w:pStyle w:val="BESAScreenText"/>
        <w:autoSpaceDE w:val="0"/>
        <w:autoSpaceDN w:val="0"/>
        <w:adjustRightInd w:val="0"/>
        <w:rPr>
          <w:rFonts w:ascii="Verdana" w:hAnsi="Verdana"/>
          <w:b/>
          <w:i/>
        </w:rPr>
      </w:pPr>
    </w:p>
    <w:p w:rsidR="00E23CDD" w:rsidRDefault="00E23CDD" w:rsidP="00C23D26">
      <w:pPr>
        <w:pStyle w:val="BESAScreenText"/>
        <w:autoSpaceDE w:val="0"/>
        <w:autoSpaceDN w:val="0"/>
        <w:adjustRightInd w:val="0"/>
        <w:rPr>
          <w:rFonts w:ascii="Verdana" w:hAnsi="Verdana"/>
          <w:b/>
          <w:i/>
        </w:rPr>
      </w:pPr>
    </w:p>
    <w:p w:rsidR="00E23CDD" w:rsidRDefault="00E23CDD" w:rsidP="00C23D26">
      <w:pPr>
        <w:pStyle w:val="BESAScreenText"/>
        <w:autoSpaceDE w:val="0"/>
        <w:autoSpaceDN w:val="0"/>
        <w:adjustRightInd w:val="0"/>
        <w:rPr>
          <w:rFonts w:ascii="Verdana" w:hAnsi="Verdana"/>
          <w:b/>
          <w:i/>
        </w:rPr>
      </w:pPr>
    </w:p>
    <w:p w:rsidR="00E23CDD" w:rsidRDefault="00E23CDD" w:rsidP="00C23D26">
      <w:pPr>
        <w:pStyle w:val="BESAScreenText"/>
        <w:autoSpaceDE w:val="0"/>
        <w:autoSpaceDN w:val="0"/>
        <w:adjustRightInd w:val="0"/>
        <w:rPr>
          <w:rFonts w:ascii="Verdana" w:hAnsi="Verdana"/>
          <w:b/>
          <w:i/>
        </w:rPr>
      </w:pPr>
    </w:p>
    <w:p w:rsidR="00E23CDD" w:rsidRDefault="00E23CDD" w:rsidP="00C23D26">
      <w:pPr>
        <w:pStyle w:val="BESAScreenText"/>
        <w:autoSpaceDE w:val="0"/>
        <w:autoSpaceDN w:val="0"/>
        <w:adjustRightInd w:val="0"/>
        <w:rPr>
          <w:rFonts w:ascii="Verdana" w:hAnsi="Verdana"/>
          <w:b/>
          <w:i/>
        </w:rPr>
      </w:pPr>
    </w:p>
    <w:p w:rsidR="00C23D26" w:rsidRPr="00C23D26" w:rsidRDefault="00C23D26" w:rsidP="00C23D26">
      <w:pPr>
        <w:pStyle w:val="BESAScreenText"/>
        <w:autoSpaceDE w:val="0"/>
        <w:autoSpaceDN w:val="0"/>
        <w:adjustRightInd w:val="0"/>
        <w:rPr>
          <w:rFonts w:ascii="Verdana" w:hAnsi="Verdana"/>
          <w:b/>
          <w:i/>
        </w:rPr>
      </w:pPr>
      <w:r w:rsidRPr="00C23D26">
        <w:rPr>
          <w:rFonts w:ascii="Verdana" w:hAnsi="Verdana"/>
          <w:b/>
          <w:i/>
        </w:rPr>
        <w:lastRenderedPageBreak/>
        <w:t>Step 6 – Manage manufacturing risk items</w:t>
      </w:r>
    </w:p>
    <w:p w:rsidR="00C23D26" w:rsidRPr="00B7071E" w:rsidRDefault="00C23D26" w:rsidP="00C23D26">
      <w:pPr>
        <w:pStyle w:val="BESAScreenText"/>
        <w:numPr>
          <w:ilvl w:val="0"/>
          <w:numId w:val="12"/>
        </w:numPr>
        <w:autoSpaceDE w:val="0"/>
        <w:autoSpaceDN w:val="0"/>
        <w:adjustRightInd w:val="0"/>
        <w:rPr>
          <w:rFonts w:ascii="Verdana" w:hAnsi="Verdana"/>
        </w:rPr>
      </w:pPr>
      <w:r w:rsidRPr="00C441B0">
        <w:rPr>
          <w:rFonts w:ascii="Verdana" w:hAnsi="Verdana"/>
        </w:rPr>
        <w:t xml:space="preserve">MRLs that do not meet the necessary readiness level will have Manufacturing </w:t>
      </w:r>
      <w:r>
        <w:rPr>
          <w:rFonts w:ascii="Verdana" w:hAnsi="Verdana"/>
        </w:rPr>
        <w:t>Maturation Plans (MMPs) created</w:t>
      </w:r>
    </w:p>
    <w:p w:rsidR="00C23D26" w:rsidRPr="00B7071E" w:rsidRDefault="00C23D26" w:rsidP="00C23D26">
      <w:pPr>
        <w:pStyle w:val="BESAScreenText"/>
        <w:numPr>
          <w:ilvl w:val="0"/>
          <w:numId w:val="12"/>
        </w:numPr>
        <w:autoSpaceDE w:val="0"/>
        <w:autoSpaceDN w:val="0"/>
        <w:adjustRightInd w:val="0"/>
        <w:rPr>
          <w:rFonts w:ascii="Verdana" w:hAnsi="Verdana"/>
        </w:rPr>
      </w:pPr>
      <w:r w:rsidRPr="00C441B0">
        <w:rPr>
          <w:rFonts w:ascii="Verdana" w:hAnsi="Verdana"/>
        </w:rPr>
        <w:t>The MR</w:t>
      </w:r>
      <w:r>
        <w:rPr>
          <w:rFonts w:ascii="Verdana" w:hAnsi="Verdana"/>
        </w:rPr>
        <w:t>A Team documents the shortfalls</w:t>
      </w:r>
    </w:p>
    <w:p w:rsidR="00C23D26" w:rsidRPr="00B7071E" w:rsidRDefault="00C23D26" w:rsidP="00C23D26">
      <w:pPr>
        <w:pStyle w:val="BESAScreenText"/>
        <w:numPr>
          <w:ilvl w:val="0"/>
          <w:numId w:val="12"/>
        </w:numPr>
        <w:autoSpaceDE w:val="0"/>
        <w:autoSpaceDN w:val="0"/>
        <w:adjustRightInd w:val="0"/>
        <w:rPr>
          <w:rFonts w:ascii="Verdana" w:hAnsi="Verdana"/>
        </w:rPr>
      </w:pPr>
      <w:r w:rsidRPr="00C441B0">
        <w:rPr>
          <w:rFonts w:ascii="Verdana" w:hAnsi="Verdana"/>
        </w:rPr>
        <w:t xml:space="preserve">Plan </w:t>
      </w:r>
      <w:r>
        <w:rPr>
          <w:rFonts w:ascii="Verdana" w:hAnsi="Verdana"/>
        </w:rPr>
        <w:t>and e</w:t>
      </w:r>
      <w:r w:rsidRPr="00C441B0">
        <w:rPr>
          <w:rFonts w:ascii="Verdana" w:hAnsi="Verdana"/>
        </w:rPr>
        <w:t>xecute MMPs</w:t>
      </w:r>
    </w:p>
    <w:p w:rsidR="00C23D26" w:rsidRPr="00B7071E" w:rsidRDefault="00C23D26" w:rsidP="00C23D26">
      <w:pPr>
        <w:pStyle w:val="BESAScreenText"/>
        <w:numPr>
          <w:ilvl w:val="0"/>
          <w:numId w:val="12"/>
        </w:numPr>
        <w:autoSpaceDE w:val="0"/>
        <w:autoSpaceDN w:val="0"/>
        <w:adjustRightInd w:val="0"/>
        <w:rPr>
          <w:rFonts w:ascii="Verdana" w:hAnsi="Verdana"/>
        </w:rPr>
      </w:pPr>
      <w:r w:rsidRPr="00C441B0">
        <w:rPr>
          <w:rFonts w:ascii="Verdana" w:hAnsi="Verdana"/>
        </w:rPr>
        <w:t>Measure mitigation effectiveness on a continuing basis</w:t>
      </w:r>
    </w:p>
    <w:p w:rsidR="00EE33E8" w:rsidRPr="00F1462B" w:rsidRDefault="00C23D26" w:rsidP="00C23D26">
      <w:pPr>
        <w:pStyle w:val="BESAScreenText"/>
        <w:numPr>
          <w:ilvl w:val="0"/>
          <w:numId w:val="12"/>
        </w:numPr>
        <w:autoSpaceDE w:val="0"/>
        <w:autoSpaceDN w:val="0"/>
        <w:adjustRightInd w:val="0"/>
        <w:rPr>
          <w:rFonts w:ascii="Verdana" w:hAnsi="Verdana"/>
          <w:szCs w:val="20"/>
        </w:rPr>
      </w:pPr>
      <w:r w:rsidRPr="00C23D26">
        <w:rPr>
          <w:rFonts w:ascii="Verdana" w:hAnsi="Verdana"/>
        </w:rPr>
        <w:t>Update MMPs, as needed</w:t>
      </w:r>
    </w:p>
    <w:sectPr w:rsidR="00EE33E8" w:rsidRPr="00F1462B" w:rsidSect="00DC5CA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608" w:rsidRDefault="007C0608" w:rsidP="00AA3F25">
      <w:r>
        <w:separator/>
      </w:r>
    </w:p>
  </w:endnote>
  <w:endnote w:type="continuationSeparator" w:id="0">
    <w:p w:rsidR="007C0608" w:rsidRDefault="007C0608" w:rsidP="00AA3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08" w:rsidRDefault="007C0608">
    <w:pPr>
      <w:pStyle w:val="Footer"/>
      <w:jc w:val="center"/>
    </w:pPr>
    <w:fldSimple w:instr=" PAGE   \* MERGEFORMAT ">
      <w:r w:rsidR="00E85BEF">
        <w:rPr>
          <w:noProof/>
        </w:rPr>
        <w:t>6</w:t>
      </w:r>
    </w:fldSimple>
  </w:p>
  <w:p w:rsidR="007C0608" w:rsidRDefault="007C0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608" w:rsidRDefault="007C0608" w:rsidP="00AA3F25">
      <w:r>
        <w:separator/>
      </w:r>
    </w:p>
  </w:footnote>
  <w:footnote w:type="continuationSeparator" w:id="0">
    <w:p w:rsidR="007C0608" w:rsidRDefault="007C0608" w:rsidP="00AA3F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F67A0"/>
    <w:multiLevelType w:val="hybridMultilevel"/>
    <w:tmpl w:val="8A182D06"/>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9B2CC9"/>
    <w:multiLevelType w:val="hybridMultilevel"/>
    <w:tmpl w:val="D352A0D0"/>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0673B6"/>
    <w:multiLevelType w:val="hybridMultilevel"/>
    <w:tmpl w:val="A06CD2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3ED5A1C"/>
    <w:multiLevelType w:val="hybridMultilevel"/>
    <w:tmpl w:val="6F5CAB92"/>
    <w:lvl w:ilvl="0" w:tplc="7444F9B4">
      <w:start w:val="1"/>
      <w:numFmt w:val="decimal"/>
      <w:lvlText w:val="%1."/>
      <w:lvlJc w:val="left"/>
      <w:pPr>
        <w:tabs>
          <w:tab w:val="num" w:pos="720"/>
        </w:tabs>
        <w:ind w:left="720" w:hanging="360"/>
      </w:pPr>
      <w:rPr>
        <w:rFont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4356FC"/>
    <w:multiLevelType w:val="hybridMultilevel"/>
    <w:tmpl w:val="8EBC2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B00A0E"/>
    <w:multiLevelType w:val="hybridMultilevel"/>
    <w:tmpl w:val="8C0667F0"/>
    <w:lvl w:ilvl="0" w:tplc="2D382432">
      <w:start w:val="1"/>
      <w:numFmt w:val="bullet"/>
      <w:pStyle w:val="BESABulletedTex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EC308AD"/>
    <w:multiLevelType w:val="hybridMultilevel"/>
    <w:tmpl w:val="9B16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7440DD"/>
    <w:multiLevelType w:val="hybridMultilevel"/>
    <w:tmpl w:val="48DA40CA"/>
    <w:lvl w:ilvl="0" w:tplc="39909C46">
      <w:start w:val="1"/>
      <w:numFmt w:val="bullet"/>
      <w:lvlText w:val=""/>
      <w:lvlJc w:val="left"/>
      <w:pPr>
        <w:tabs>
          <w:tab w:val="num" w:pos="720"/>
        </w:tabs>
        <w:ind w:left="72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407BBA"/>
    <w:multiLevelType w:val="hybridMultilevel"/>
    <w:tmpl w:val="AABC57CE"/>
    <w:lvl w:ilvl="0" w:tplc="04090001">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ED607AB"/>
    <w:multiLevelType w:val="hybridMultilevel"/>
    <w:tmpl w:val="3AD0A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642C9D"/>
    <w:multiLevelType w:val="hybridMultilevel"/>
    <w:tmpl w:val="6ED0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45553"/>
    <w:multiLevelType w:val="hybridMultilevel"/>
    <w:tmpl w:val="5A16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A1F4F"/>
    <w:multiLevelType w:val="hybridMultilevel"/>
    <w:tmpl w:val="C52A93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B958E2"/>
    <w:multiLevelType w:val="hybridMultilevel"/>
    <w:tmpl w:val="918E6E50"/>
    <w:lvl w:ilvl="0" w:tplc="27E0243C">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63AF3"/>
    <w:multiLevelType w:val="hybridMultilevel"/>
    <w:tmpl w:val="9412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4B0A72"/>
    <w:multiLevelType w:val="hybridMultilevel"/>
    <w:tmpl w:val="07CC6B2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0"/>
  </w:num>
  <w:num w:numId="3">
    <w:abstractNumId w:val="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2"/>
  </w:num>
  <w:num w:numId="7">
    <w:abstractNumId w:val="10"/>
  </w:num>
  <w:num w:numId="8">
    <w:abstractNumId w:val="3"/>
  </w:num>
  <w:num w:numId="9">
    <w:abstractNumId w:val="11"/>
  </w:num>
  <w:num w:numId="10">
    <w:abstractNumId w:val="14"/>
  </w:num>
  <w:num w:numId="11">
    <w:abstractNumId w:val="13"/>
  </w:num>
  <w:num w:numId="12">
    <w:abstractNumId w:val="9"/>
  </w:num>
  <w:num w:numId="13">
    <w:abstractNumId w:val="4"/>
  </w:num>
  <w:num w:numId="14">
    <w:abstractNumId w:val="15"/>
  </w:num>
  <w:num w:numId="15">
    <w:abstractNumId w:val="8"/>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55A8E"/>
    <w:rsid w:val="00022E8C"/>
    <w:rsid w:val="00062E6E"/>
    <w:rsid w:val="00080D24"/>
    <w:rsid w:val="0011716E"/>
    <w:rsid w:val="00121248"/>
    <w:rsid w:val="00142A31"/>
    <w:rsid w:val="00144F95"/>
    <w:rsid w:val="00146A22"/>
    <w:rsid w:val="00150CEC"/>
    <w:rsid w:val="0019361E"/>
    <w:rsid w:val="00195521"/>
    <w:rsid w:val="001C54C1"/>
    <w:rsid w:val="00224F9F"/>
    <w:rsid w:val="0024623D"/>
    <w:rsid w:val="0026304A"/>
    <w:rsid w:val="002C250D"/>
    <w:rsid w:val="002E2054"/>
    <w:rsid w:val="00303164"/>
    <w:rsid w:val="003041DF"/>
    <w:rsid w:val="003044A6"/>
    <w:rsid w:val="00332D0C"/>
    <w:rsid w:val="003643FF"/>
    <w:rsid w:val="003A2977"/>
    <w:rsid w:val="003B75FF"/>
    <w:rsid w:val="003C0ABE"/>
    <w:rsid w:val="00403432"/>
    <w:rsid w:val="00441C9B"/>
    <w:rsid w:val="00447425"/>
    <w:rsid w:val="004751B3"/>
    <w:rsid w:val="0047577E"/>
    <w:rsid w:val="004775F7"/>
    <w:rsid w:val="004D35A0"/>
    <w:rsid w:val="00534688"/>
    <w:rsid w:val="00535CDA"/>
    <w:rsid w:val="00556725"/>
    <w:rsid w:val="0056444E"/>
    <w:rsid w:val="005766BC"/>
    <w:rsid w:val="005906F0"/>
    <w:rsid w:val="00594C07"/>
    <w:rsid w:val="005F6AFC"/>
    <w:rsid w:val="0065147A"/>
    <w:rsid w:val="00662020"/>
    <w:rsid w:val="00683D01"/>
    <w:rsid w:val="006E7A42"/>
    <w:rsid w:val="007144FD"/>
    <w:rsid w:val="007309B5"/>
    <w:rsid w:val="00772A61"/>
    <w:rsid w:val="007C0608"/>
    <w:rsid w:val="007E2D29"/>
    <w:rsid w:val="007E4377"/>
    <w:rsid w:val="007F38C8"/>
    <w:rsid w:val="007F7E5C"/>
    <w:rsid w:val="00861519"/>
    <w:rsid w:val="00865740"/>
    <w:rsid w:val="00873252"/>
    <w:rsid w:val="00874F62"/>
    <w:rsid w:val="008B29B3"/>
    <w:rsid w:val="008C7AD7"/>
    <w:rsid w:val="008F139D"/>
    <w:rsid w:val="00902FFC"/>
    <w:rsid w:val="009155EC"/>
    <w:rsid w:val="00945969"/>
    <w:rsid w:val="0095561A"/>
    <w:rsid w:val="009709B2"/>
    <w:rsid w:val="009C1465"/>
    <w:rsid w:val="009D5DDA"/>
    <w:rsid w:val="009F5698"/>
    <w:rsid w:val="00A266C6"/>
    <w:rsid w:val="00A33DAE"/>
    <w:rsid w:val="00A453D9"/>
    <w:rsid w:val="00A62752"/>
    <w:rsid w:val="00AA3F25"/>
    <w:rsid w:val="00AB21F3"/>
    <w:rsid w:val="00AD0BCD"/>
    <w:rsid w:val="00AE2558"/>
    <w:rsid w:val="00B1709D"/>
    <w:rsid w:val="00B51F3B"/>
    <w:rsid w:val="00B70A1E"/>
    <w:rsid w:val="00C0027D"/>
    <w:rsid w:val="00C126EA"/>
    <w:rsid w:val="00C23D26"/>
    <w:rsid w:val="00C355B9"/>
    <w:rsid w:val="00C66663"/>
    <w:rsid w:val="00C9411F"/>
    <w:rsid w:val="00CB429D"/>
    <w:rsid w:val="00CB533F"/>
    <w:rsid w:val="00CF2F80"/>
    <w:rsid w:val="00CF686B"/>
    <w:rsid w:val="00D16E62"/>
    <w:rsid w:val="00D559EA"/>
    <w:rsid w:val="00DC0CD7"/>
    <w:rsid w:val="00DC5CA8"/>
    <w:rsid w:val="00DD4873"/>
    <w:rsid w:val="00DD7CB3"/>
    <w:rsid w:val="00E23CDD"/>
    <w:rsid w:val="00E40BE6"/>
    <w:rsid w:val="00E62ACE"/>
    <w:rsid w:val="00E85BEF"/>
    <w:rsid w:val="00E96A2F"/>
    <w:rsid w:val="00EA379E"/>
    <w:rsid w:val="00ED4B1A"/>
    <w:rsid w:val="00EE33E8"/>
    <w:rsid w:val="00F1462B"/>
    <w:rsid w:val="00F16E9E"/>
    <w:rsid w:val="00F37D21"/>
    <w:rsid w:val="00F5050C"/>
    <w:rsid w:val="00F55A8E"/>
    <w:rsid w:val="00FC77CB"/>
    <w:rsid w:val="00FD2C14"/>
    <w:rsid w:val="00FF4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A8"/>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ABulletedText">
    <w:name w:val="BESA Bulleted Text"/>
    <w:basedOn w:val="Normal"/>
    <w:rsid w:val="003643FF"/>
    <w:pPr>
      <w:numPr>
        <w:numId w:val="1"/>
      </w:numPr>
      <w:spacing w:before="60" w:after="60"/>
    </w:pPr>
    <w:rPr>
      <w:rFonts w:ascii="Arial" w:eastAsia="SimSun" w:hAnsi="Arial"/>
      <w:sz w:val="20"/>
      <w:szCs w:val="24"/>
    </w:rPr>
  </w:style>
  <w:style w:type="paragraph" w:customStyle="1" w:styleId="BESAScreenText">
    <w:name w:val="BESA Screen Text"/>
    <w:basedOn w:val="Normal"/>
    <w:rsid w:val="006E7A42"/>
    <w:pPr>
      <w:spacing w:before="120" w:after="120"/>
    </w:pPr>
    <w:rPr>
      <w:rFonts w:ascii="Arial" w:eastAsia="SimSun" w:hAnsi="Arial"/>
      <w:sz w:val="20"/>
      <w:szCs w:val="24"/>
    </w:rPr>
  </w:style>
  <w:style w:type="character" w:customStyle="1" w:styleId="BESAPopupTextNoticeChar">
    <w:name w:val="BESA Popup Text Notice Char"/>
    <w:basedOn w:val="DefaultParagraphFont"/>
    <w:link w:val="BESAPopupTextNotice"/>
    <w:locked/>
    <w:rsid w:val="00ED4B1A"/>
    <w:rPr>
      <w:rFonts w:ascii="Arial" w:eastAsia="SimSun" w:hAnsi="Arial"/>
      <w:i/>
      <w:szCs w:val="24"/>
    </w:rPr>
  </w:style>
  <w:style w:type="paragraph" w:customStyle="1" w:styleId="BESAPopupTextNotice">
    <w:name w:val="BESA Popup Text Notice"/>
    <w:basedOn w:val="Normal"/>
    <w:link w:val="BESAPopupTextNoticeChar"/>
    <w:rsid w:val="00ED4B1A"/>
    <w:pPr>
      <w:spacing w:before="120" w:after="240"/>
    </w:pPr>
    <w:rPr>
      <w:rFonts w:ascii="Arial" w:eastAsia="SimSun" w:hAnsi="Arial"/>
      <w:i/>
      <w:szCs w:val="24"/>
    </w:rPr>
  </w:style>
  <w:style w:type="paragraph" w:styleId="Header">
    <w:name w:val="header"/>
    <w:basedOn w:val="Normal"/>
    <w:link w:val="HeaderChar"/>
    <w:unhideWhenUsed/>
    <w:rsid w:val="00AA3F25"/>
    <w:pPr>
      <w:tabs>
        <w:tab w:val="center" w:pos="4680"/>
        <w:tab w:val="right" w:pos="9360"/>
      </w:tabs>
    </w:pPr>
  </w:style>
  <w:style w:type="character" w:customStyle="1" w:styleId="HeaderChar">
    <w:name w:val="Header Char"/>
    <w:basedOn w:val="DefaultParagraphFont"/>
    <w:link w:val="Header"/>
    <w:uiPriority w:val="99"/>
    <w:semiHidden/>
    <w:rsid w:val="00AA3F25"/>
  </w:style>
  <w:style w:type="paragraph" w:styleId="Footer">
    <w:name w:val="footer"/>
    <w:basedOn w:val="Normal"/>
    <w:link w:val="FooterChar"/>
    <w:unhideWhenUsed/>
    <w:rsid w:val="00AA3F25"/>
    <w:pPr>
      <w:tabs>
        <w:tab w:val="center" w:pos="4680"/>
        <w:tab w:val="right" w:pos="9360"/>
      </w:tabs>
    </w:pPr>
  </w:style>
  <w:style w:type="character" w:customStyle="1" w:styleId="FooterChar">
    <w:name w:val="Footer Char"/>
    <w:basedOn w:val="DefaultParagraphFont"/>
    <w:link w:val="Footer"/>
    <w:uiPriority w:val="99"/>
    <w:rsid w:val="00AA3F25"/>
  </w:style>
  <w:style w:type="paragraph" w:styleId="BalloonText">
    <w:name w:val="Balloon Text"/>
    <w:basedOn w:val="Normal"/>
    <w:link w:val="BalloonTextChar"/>
    <w:uiPriority w:val="99"/>
    <w:semiHidden/>
    <w:unhideWhenUsed/>
    <w:rsid w:val="008F139D"/>
    <w:rPr>
      <w:rFonts w:ascii="Tahoma" w:hAnsi="Tahoma" w:cs="Tahoma"/>
      <w:sz w:val="16"/>
      <w:szCs w:val="16"/>
    </w:rPr>
  </w:style>
  <w:style w:type="character" w:customStyle="1" w:styleId="BalloonTextChar">
    <w:name w:val="Balloon Text Char"/>
    <w:basedOn w:val="DefaultParagraphFont"/>
    <w:link w:val="BalloonText"/>
    <w:uiPriority w:val="99"/>
    <w:semiHidden/>
    <w:rsid w:val="008F139D"/>
    <w:rPr>
      <w:rFonts w:ascii="Tahoma" w:hAnsi="Tahoma" w:cs="Tahoma"/>
      <w:sz w:val="16"/>
      <w:szCs w:val="16"/>
    </w:rPr>
  </w:style>
  <w:style w:type="paragraph" w:styleId="ListParagraph">
    <w:name w:val="List Paragraph"/>
    <w:basedOn w:val="Normal"/>
    <w:uiPriority w:val="34"/>
    <w:qFormat/>
    <w:rsid w:val="007E437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Woodward</dc:creator>
  <cp:keywords/>
  <cp:lastModifiedBy>Jamie Liske</cp:lastModifiedBy>
  <cp:revision>5</cp:revision>
  <dcterms:created xsi:type="dcterms:W3CDTF">2010-06-14T20:25:00Z</dcterms:created>
  <dcterms:modified xsi:type="dcterms:W3CDTF">2010-06-14T20:45:00Z</dcterms:modified>
</cp:coreProperties>
</file>