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67" w:rsidRDefault="008D5167" w:rsidP="008D5167">
      <w:pPr>
        <w:jc w:val="center"/>
        <w:rPr>
          <w:rFonts w:ascii="Verdana" w:hAnsi="Verdana"/>
          <w:b/>
          <w:sz w:val="32"/>
          <w:szCs w:val="32"/>
        </w:rPr>
      </w:pPr>
      <w:r>
        <w:rPr>
          <w:rFonts w:ascii="Verdana" w:hAnsi="Verdana"/>
          <w:b/>
          <w:sz w:val="32"/>
          <w:szCs w:val="32"/>
        </w:rPr>
        <w:t>Manufacturing</w:t>
      </w:r>
      <w:r w:rsidRPr="00AA3F25">
        <w:rPr>
          <w:rFonts w:ascii="Verdana" w:hAnsi="Verdana"/>
          <w:b/>
          <w:sz w:val="32"/>
          <w:szCs w:val="32"/>
        </w:rPr>
        <w:t xml:space="preserve"> Readiness Assessment</w:t>
      </w:r>
    </w:p>
    <w:p w:rsidR="008D5167" w:rsidRDefault="008D5167" w:rsidP="008D5167">
      <w:pPr>
        <w:jc w:val="center"/>
        <w:rPr>
          <w:sz w:val="24"/>
          <w:szCs w:val="24"/>
        </w:rPr>
      </w:pPr>
    </w:p>
    <w:p w:rsidR="008D5167" w:rsidRDefault="00065917" w:rsidP="008D5167">
      <w:pPr>
        <w:rPr>
          <w:rFonts w:ascii="Verdana" w:hAnsi="Verdana"/>
          <w:b/>
          <w:sz w:val="24"/>
          <w:szCs w:val="24"/>
        </w:rPr>
      </w:pPr>
      <w:r w:rsidRPr="00065917">
        <w:rPr>
          <w:rFonts w:ascii="Verdana" w:hAnsi="Verdana"/>
          <w:noProof/>
          <w:sz w:val="20"/>
          <w:szCs w:val="20"/>
        </w:rPr>
        <w:pict>
          <v:shapetype id="_x0000_t202" coordsize="21600,21600" o:spt="202" path="m,l,21600r21600,l21600,xe">
            <v:stroke joinstyle="miter"/>
            <v:path gradientshapeok="t" o:connecttype="rect"/>
          </v:shapetype>
          <v:shape id="_x0000_s1026" type="#_x0000_t202" style="position:absolute;margin-left:243pt;margin-top:5.95pt;width:205.2pt;height:243.45pt;z-index:251660288;mso-position-horizontal-relative:margin;mso-width-relative:margin;mso-height-relative:margin">
            <v:textbox>
              <w:txbxContent>
                <w:p w:rsidR="008D5167" w:rsidRPr="00F270C2" w:rsidRDefault="00812B07" w:rsidP="008D5167">
                  <w:pPr>
                    <w:jc w:val="center"/>
                    <w:rPr>
                      <w:rFonts w:ascii="Verdana" w:hAnsi="Verdana"/>
                      <w:sz w:val="20"/>
                      <w:szCs w:val="20"/>
                    </w:rPr>
                  </w:pPr>
                  <w:r>
                    <w:rPr>
                      <w:noProof/>
                    </w:rPr>
                    <w:drawing>
                      <wp:inline distT="0" distB="0" distL="0" distR="0">
                        <wp:extent cx="2236851" cy="3098292"/>
                        <wp:effectExtent l="19050" t="0" r="0" b="0"/>
                        <wp:docPr id="1" name="Picture 1" descr="\\OKCOK06OFS01\Projects\00-Active\1797_AFIT Task Order 8_MRA_SYS113\04-Development\04-Graphics\coursegraphics\finalimages\module2\lesson3\23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7_AFIT Task Order 8_MRA_SYS113\04-Development\04-Graphics\coursegraphics\finalimages\module2\lesson3\23010a.png"/>
                                <pic:cNvPicPr>
                                  <a:picLocks noChangeAspect="1" noChangeArrowheads="1"/>
                                </pic:cNvPicPr>
                              </pic:nvPicPr>
                              <pic:blipFill>
                                <a:blip r:embed="rId7"/>
                                <a:srcRect/>
                                <a:stretch>
                                  <a:fillRect/>
                                </a:stretch>
                              </pic:blipFill>
                              <pic:spPr bwMode="auto">
                                <a:xfrm>
                                  <a:off x="0" y="0"/>
                                  <a:ext cx="2236851" cy="3098292"/>
                                </a:xfrm>
                                <a:prstGeom prst="rect">
                                  <a:avLst/>
                                </a:prstGeom>
                                <a:noFill/>
                                <a:ln w="9525">
                                  <a:noFill/>
                                  <a:miter lim="800000"/>
                                  <a:headEnd/>
                                  <a:tailEnd/>
                                </a:ln>
                              </pic:spPr>
                            </pic:pic>
                          </a:graphicData>
                        </a:graphic>
                      </wp:inline>
                    </w:drawing>
                  </w:r>
                </w:p>
              </w:txbxContent>
            </v:textbox>
            <w10:wrap type="square" anchorx="margin"/>
          </v:shape>
        </w:pict>
      </w:r>
      <w:r w:rsidR="008D5167">
        <w:rPr>
          <w:rFonts w:ascii="Verdana" w:hAnsi="Verdana"/>
          <w:b/>
          <w:sz w:val="24"/>
          <w:szCs w:val="24"/>
        </w:rPr>
        <w:t>2</w:t>
      </w:r>
      <w:r w:rsidR="008D5167" w:rsidRPr="00F55A8E">
        <w:rPr>
          <w:rFonts w:ascii="Verdana" w:hAnsi="Verdana"/>
          <w:b/>
          <w:sz w:val="24"/>
          <w:szCs w:val="24"/>
        </w:rPr>
        <w:t>.</w:t>
      </w:r>
      <w:r w:rsidR="008D5167">
        <w:rPr>
          <w:rFonts w:ascii="Verdana" w:hAnsi="Verdana"/>
          <w:b/>
          <w:sz w:val="24"/>
          <w:szCs w:val="24"/>
        </w:rPr>
        <w:t xml:space="preserve">  MRA PROCESS</w:t>
      </w:r>
    </w:p>
    <w:p w:rsidR="008D5167" w:rsidRDefault="008D5167" w:rsidP="008D5167">
      <w:pPr>
        <w:rPr>
          <w:rFonts w:ascii="Verdana" w:hAnsi="Verdana"/>
          <w:b/>
          <w:sz w:val="24"/>
          <w:szCs w:val="24"/>
        </w:rPr>
      </w:pPr>
    </w:p>
    <w:p w:rsidR="00DC58ED" w:rsidRDefault="00DC58ED" w:rsidP="008D5167">
      <w:pPr>
        <w:rPr>
          <w:rFonts w:ascii="Verdana" w:hAnsi="Verdana"/>
          <w:b/>
        </w:rPr>
      </w:pPr>
    </w:p>
    <w:p w:rsidR="00DC58ED" w:rsidRDefault="00DC58ED" w:rsidP="008D5167">
      <w:pPr>
        <w:rPr>
          <w:rFonts w:ascii="Verdana" w:hAnsi="Verdana"/>
          <w:b/>
        </w:rPr>
      </w:pPr>
    </w:p>
    <w:p w:rsidR="00DC58ED" w:rsidRDefault="00DC58ED" w:rsidP="008D5167">
      <w:pPr>
        <w:rPr>
          <w:rFonts w:ascii="Verdana" w:hAnsi="Verdana"/>
          <w:b/>
        </w:rPr>
      </w:pPr>
    </w:p>
    <w:p w:rsidR="008D5167" w:rsidRDefault="008D5167" w:rsidP="008D5167">
      <w:pPr>
        <w:rPr>
          <w:rFonts w:ascii="Verdana" w:hAnsi="Verdana"/>
          <w:b/>
        </w:rPr>
      </w:pPr>
      <w:r>
        <w:rPr>
          <w:rFonts w:ascii="Verdana" w:hAnsi="Verdana"/>
          <w:b/>
        </w:rPr>
        <w:t>2.</w:t>
      </w:r>
      <w:r w:rsidR="005517E1">
        <w:rPr>
          <w:rFonts w:ascii="Verdana" w:hAnsi="Verdana"/>
          <w:b/>
        </w:rPr>
        <w:t>3</w:t>
      </w:r>
      <w:proofErr w:type="gramStart"/>
      <w:r>
        <w:rPr>
          <w:rFonts w:ascii="Verdana" w:hAnsi="Verdana"/>
          <w:b/>
        </w:rPr>
        <w:t xml:space="preserve">.  </w:t>
      </w:r>
      <w:r w:rsidR="005517E1" w:rsidRPr="005517E1">
        <w:rPr>
          <w:rFonts w:ascii="Verdana" w:hAnsi="Verdana"/>
          <w:b/>
        </w:rPr>
        <w:t>Define</w:t>
      </w:r>
      <w:proofErr w:type="gramEnd"/>
      <w:r w:rsidR="005517E1" w:rsidRPr="005517E1">
        <w:rPr>
          <w:rFonts w:ascii="Verdana" w:hAnsi="Verdana"/>
          <w:b/>
        </w:rPr>
        <w:t xml:space="preserve"> Objectives / Scope for a MRA</w:t>
      </w:r>
      <w:r>
        <w:rPr>
          <w:rFonts w:ascii="Verdana" w:hAnsi="Verdana"/>
          <w:b/>
        </w:rPr>
        <w:t xml:space="preserve"> </w:t>
      </w:r>
    </w:p>
    <w:p w:rsidR="008D5167" w:rsidRPr="002E37C5" w:rsidRDefault="008D5167" w:rsidP="008D5167">
      <w:pPr>
        <w:rPr>
          <w:rFonts w:ascii="Verdana" w:hAnsi="Verdana"/>
          <w:sz w:val="20"/>
          <w:szCs w:val="20"/>
        </w:rPr>
      </w:pPr>
    </w:p>
    <w:p w:rsidR="008D5167" w:rsidRDefault="008D5167" w:rsidP="008D5167">
      <w:pPr>
        <w:rPr>
          <w:rFonts w:ascii="Verdana" w:hAnsi="Verdana"/>
          <w:sz w:val="20"/>
          <w:szCs w:val="20"/>
        </w:rPr>
      </w:pPr>
      <w:r w:rsidRPr="005C6AF3">
        <w:rPr>
          <w:rFonts w:ascii="Verdana" w:hAnsi="Verdana"/>
          <w:sz w:val="20"/>
          <w:szCs w:val="20"/>
        </w:rPr>
        <w:t xml:space="preserve">The objective of this lesson is for each student to comprehend the process </w:t>
      </w:r>
      <w:r w:rsidRPr="000773D3">
        <w:rPr>
          <w:rFonts w:ascii="Verdana" w:hAnsi="Verdana"/>
          <w:sz w:val="20"/>
          <w:szCs w:val="20"/>
        </w:rPr>
        <w:t xml:space="preserve">for </w:t>
      </w:r>
      <w:r w:rsidR="000773D3" w:rsidRPr="000773D3">
        <w:rPr>
          <w:rFonts w:ascii="Verdana" w:hAnsi="Verdana"/>
          <w:sz w:val="20"/>
          <w:szCs w:val="20"/>
        </w:rPr>
        <w:t>defining objectives / scope for a MRA.</w:t>
      </w:r>
    </w:p>
    <w:p w:rsidR="008D5167" w:rsidRDefault="008D5167" w:rsidP="008D5167">
      <w:pPr>
        <w:rPr>
          <w:rFonts w:ascii="Verdana" w:hAnsi="Verdana"/>
          <w:sz w:val="20"/>
          <w:szCs w:val="20"/>
        </w:rPr>
      </w:pPr>
    </w:p>
    <w:p w:rsidR="00B6196F" w:rsidRDefault="00B6196F" w:rsidP="008D5167">
      <w:pPr>
        <w:rPr>
          <w:rFonts w:ascii="Verdana" w:hAnsi="Verdana"/>
          <w:b/>
          <w:sz w:val="20"/>
          <w:szCs w:val="20"/>
        </w:rPr>
      </w:pPr>
      <w:r>
        <w:rPr>
          <w:rFonts w:ascii="Verdana" w:hAnsi="Verdana"/>
          <w:b/>
          <w:sz w:val="20"/>
          <w:szCs w:val="20"/>
        </w:rPr>
        <w:br/>
      </w: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B6196F" w:rsidRDefault="00B6196F" w:rsidP="008D5167">
      <w:pPr>
        <w:rPr>
          <w:rFonts w:ascii="Verdana" w:hAnsi="Verdana"/>
          <w:b/>
          <w:sz w:val="20"/>
          <w:szCs w:val="20"/>
        </w:rPr>
      </w:pPr>
    </w:p>
    <w:p w:rsidR="008D5167" w:rsidRDefault="008D5167" w:rsidP="008D5167">
      <w:pPr>
        <w:rPr>
          <w:rFonts w:ascii="Verdana" w:hAnsi="Verdana"/>
          <w:b/>
          <w:sz w:val="20"/>
          <w:szCs w:val="20"/>
        </w:rPr>
      </w:pPr>
      <w:r w:rsidRPr="002E37C5">
        <w:rPr>
          <w:rFonts w:ascii="Verdana" w:hAnsi="Verdana"/>
          <w:b/>
          <w:sz w:val="20"/>
          <w:szCs w:val="20"/>
        </w:rPr>
        <w:t>2.</w:t>
      </w:r>
      <w:r w:rsidR="005517E1">
        <w:rPr>
          <w:rFonts w:ascii="Verdana" w:hAnsi="Verdana"/>
          <w:b/>
          <w:sz w:val="20"/>
          <w:szCs w:val="20"/>
        </w:rPr>
        <w:t>3</w:t>
      </w:r>
      <w:r w:rsidRPr="002E37C5">
        <w:rPr>
          <w:rFonts w:ascii="Verdana" w:hAnsi="Verdana"/>
          <w:b/>
          <w:sz w:val="20"/>
          <w:szCs w:val="20"/>
        </w:rPr>
        <w:t>.1</w:t>
      </w:r>
      <w:proofErr w:type="gramStart"/>
      <w:r w:rsidRPr="002E37C5">
        <w:rPr>
          <w:rFonts w:ascii="Verdana" w:hAnsi="Verdana"/>
          <w:b/>
          <w:sz w:val="20"/>
          <w:szCs w:val="20"/>
        </w:rPr>
        <w:t xml:space="preserve">.  </w:t>
      </w:r>
      <w:r>
        <w:rPr>
          <w:rFonts w:ascii="Verdana" w:hAnsi="Verdana"/>
          <w:b/>
          <w:sz w:val="20"/>
          <w:szCs w:val="20"/>
        </w:rPr>
        <w:t>Steps</w:t>
      </w:r>
      <w:proofErr w:type="gramEnd"/>
      <w:r>
        <w:rPr>
          <w:rFonts w:ascii="Verdana" w:hAnsi="Verdana"/>
          <w:b/>
          <w:sz w:val="20"/>
          <w:szCs w:val="20"/>
        </w:rPr>
        <w:t xml:space="preserve"> Associated with </w:t>
      </w:r>
      <w:r w:rsidR="000773D3">
        <w:rPr>
          <w:rFonts w:ascii="Verdana" w:hAnsi="Verdana"/>
          <w:b/>
          <w:sz w:val="20"/>
          <w:szCs w:val="20"/>
        </w:rPr>
        <w:t>Defining Objectives / Scope for</w:t>
      </w:r>
      <w:r>
        <w:rPr>
          <w:rFonts w:ascii="Verdana" w:hAnsi="Verdana"/>
          <w:b/>
          <w:sz w:val="20"/>
          <w:szCs w:val="20"/>
        </w:rPr>
        <w:t xml:space="preserve"> a MRA</w:t>
      </w:r>
    </w:p>
    <w:p w:rsidR="000773D3" w:rsidRDefault="000773D3" w:rsidP="008D5167">
      <w:pPr>
        <w:rPr>
          <w:rFonts w:ascii="Verdana" w:hAnsi="Verdana"/>
          <w:b/>
          <w:sz w:val="20"/>
          <w:szCs w:val="20"/>
        </w:rPr>
      </w:pPr>
    </w:p>
    <w:p w:rsidR="00F03BC0" w:rsidRDefault="00627450" w:rsidP="00F03BC0">
      <w:pPr>
        <w:pStyle w:val="BESABulletedText"/>
        <w:rPr>
          <w:rFonts w:ascii="Verdana" w:hAnsi="Verdana"/>
          <w:szCs w:val="20"/>
        </w:rPr>
      </w:pPr>
      <w:r>
        <w:rPr>
          <w:rFonts w:ascii="Verdana" w:hAnsi="Verdana"/>
          <w:b/>
        </w:rPr>
        <w:t xml:space="preserve">Step 1: Develop a </w:t>
      </w:r>
      <w:r w:rsidR="00F03BC0">
        <w:rPr>
          <w:rFonts w:ascii="Verdana" w:hAnsi="Verdana"/>
          <w:b/>
        </w:rPr>
        <w:t>MRA</w:t>
      </w:r>
      <w:r w:rsidR="00F03BC0" w:rsidRPr="00511364">
        <w:rPr>
          <w:rFonts w:ascii="Verdana" w:hAnsi="Verdana"/>
          <w:b/>
        </w:rPr>
        <w:t xml:space="preserve"> Plan</w:t>
      </w:r>
      <w:r>
        <w:rPr>
          <w:rFonts w:ascii="Verdana" w:hAnsi="Verdana"/>
          <w:b/>
        </w:rPr>
        <w:br/>
      </w:r>
      <w:r>
        <w:rPr>
          <w:rFonts w:ascii="Verdana" w:hAnsi="Verdana"/>
          <w:b/>
        </w:rPr>
        <w:br/>
      </w:r>
      <w:proofErr w:type="gramStart"/>
      <w:r w:rsidRPr="00627450">
        <w:rPr>
          <w:rFonts w:ascii="Verdana" w:hAnsi="Verdana"/>
        </w:rPr>
        <w:t>The</w:t>
      </w:r>
      <w:proofErr w:type="gramEnd"/>
      <w:r w:rsidRPr="00627450">
        <w:rPr>
          <w:rFonts w:ascii="Verdana" w:hAnsi="Verdana"/>
        </w:rPr>
        <w:t xml:space="preserve"> MRA Plan is developed by the MRA Team in conjunction with the Program Management Office (PMO) and the prime contractor.</w:t>
      </w:r>
      <w:r>
        <w:rPr>
          <w:rFonts w:ascii="Verdana" w:hAnsi="Verdana"/>
        </w:rPr>
        <w:br/>
      </w:r>
      <w:r>
        <w:rPr>
          <w:rFonts w:ascii="Verdana" w:hAnsi="Verdana"/>
        </w:rPr>
        <w:br/>
      </w:r>
      <w:r w:rsidR="00F03BC0">
        <w:rPr>
          <w:rFonts w:ascii="Verdana" w:hAnsi="Verdana"/>
          <w:szCs w:val="20"/>
        </w:rPr>
        <w:t>Sections of the plan include:</w:t>
      </w:r>
    </w:p>
    <w:p w:rsidR="00F03BC0" w:rsidRDefault="00F03BC0" w:rsidP="00F03BC0">
      <w:pPr>
        <w:pStyle w:val="BESABulletedText"/>
        <w:numPr>
          <w:ilvl w:val="0"/>
          <w:numId w:val="1"/>
        </w:numPr>
        <w:rPr>
          <w:rFonts w:ascii="Verdana" w:hAnsi="Verdana"/>
          <w:szCs w:val="20"/>
        </w:rPr>
      </w:pPr>
      <w:r>
        <w:rPr>
          <w:rFonts w:ascii="Verdana" w:hAnsi="Verdana"/>
          <w:szCs w:val="20"/>
        </w:rPr>
        <w:t>Program description and acquisition strategy</w:t>
      </w:r>
    </w:p>
    <w:p w:rsidR="00F03BC0" w:rsidRDefault="00F03BC0" w:rsidP="00F03BC0">
      <w:pPr>
        <w:pStyle w:val="BESABulletedText"/>
        <w:numPr>
          <w:ilvl w:val="0"/>
          <w:numId w:val="1"/>
        </w:numPr>
        <w:rPr>
          <w:rFonts w:ascii="Verdana" w:hAnsi="Verdana"/>
          <w:szCs w:val="20"/>
        </w:rPr>
      </w:pPr>
      <w:r>
        <w:rPr>
          <w:rFonts w:ascii="Verdana" w:hAnsi="Verdana"/>
          <w:szCs w:val="20"/>
        </w:rPr>
        <w:t>Manufacturing elements under consideration</w:t>
      </w:r>
    </w:p>
    <w:p w:rsidR="00F03BC0" w:rsidRDefault="00F03BC0" w:rsidP="00F03BC0">
      <w:pPr>
        <w:pStyle w:val="BESABulletedText"/>
        <w:numPr>
          <w:ilvl w:val="0"/>
          <w:numId w:val="1"/>
        </w:numPr>
        <w:rPr>
          <w:rFonts w:ascii="Verdana" w:hAnsi="Verdana"/>
          <w:szCs w:val="20"/>
        </w:rPr>
      </w:pPr>
      <w:r>
        <w:rPr>
          <w:rFonts w:ascii="Verdana" w:hAnsi="Verdana"/>
          <w:szCs w:val="20"/>
        </w:rPr>
        <w:t>Focus areas</w:t>
      </w:r>
    </w:p>
    <w:p w:rsidR="00F03BC0" w:rsidRDefault="00F03BC0" w:rsidP="00F03BC0">
      <w:pPr>
        <w:pStyle w:val="BESABulletedText"/>
        <w:numPr>
          <w:ilvl w:val="0"/>
          <w:numId w:val="1"/>
        </w:numPr>
        <w:rPr>
          <w:rFonts w:ascii="Verdana" w:hAnsi="Verdana"/>
          <w:szCs w:val="20"/>
        </w:rPr>
      </w:pPr>
      <w:r>
        <w:rPr>
          <w:rFonts w:ascii="Verdana" w:hAnsi="Verdana"/>
          <w:szCs w:val="20"/>
        </w:rPr>
        <w:t>Target Manufacturing Readiness Level</w:t>
      </w:r>
    </w:p>
    <w:p w:rsidR="00F03BC0" w:rsidRDefault="00F03BC0" w:rsidP="00F03BC0">
      <w:pPr>
        <w:pStyle w:val="BESABulletedText"/>
        <w:numPr>
          <w:ilvl w:val="0"/>
          <w:numId w:val="1"/>
        </w:numPr>
        <w:rPr>
          <w:rFonts w:ascii="Verdana" w:hAnsi="Verdana"/>
          <w:szCs w:val="20"/>
        </w:rPr>
      </w:pPr>
      <w:r>
        <w:rPr>
          <w:rFonts w:ascii="Verdana" w:hAnsi="Verdana"/>
          <w:szCs w:val="20"/>
        </w:rPr>
        <w:t>Planned Manufacturing Readiness Assessment schedule</w:t>
      </w:r>
    </w:p>
    <w:p w:rsidR="00DC5CA8" w:rsidRPr="00582B7C" w:rsidRDefault="00F03BC0" w:rsidP="00F03BC0">
      <w:pPr>
        <w:pStyle w:val="ListParagraph"/>
        <w:numPr>
          <w:ilvl w:val="0"/>
          <w:numId w:val="1"/>
        </w:numPr>
      </w:pPr>
      <w:r w:rsidRPr="00F03BC0">
        <w:rPr>
          <w:rFonts w:ascii="Verdana" w:hAnsi="Verdana"/>
          <w:szCs w:val="20"/>
        </w:rPr>
        <w:t>Funding considerations</w:t>
      </w:r>
      <w:r w:rsidR="00582B7C">
        <w:rPr>
          <w:rFonts w:ascii="Verdana" w:hAnsi="Verdana"/>
          <w:szCs w:val="20"/>
        </w:rPr>
        <w:br/>
      </w: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B6196F" w:rsidRDefault="00B6196F" w:rsidP="00582B7C">
      <w:pPr>
        <w:rPr>
          <w:rFonts w:ascii="Verdana" w:hAnsi="Verdana"/>
          <w:b/>
          <w:sz w:val="20"/>
          <w:szCs w:val="20"/>
        </w:rPr>
      </w:pPr>
    </w:p>
    <w:p w:rsidR="00582B7C" w:rsidRDefault="00582B7C" w:rsidP="00582B7C">
      <w:pPr>
        <w:rPr>
          <w:rFonts w:ascii="Verdana" w:hAnsi="Verdana"/>
          <w:b/>
          <w:sz w:val="20"/>
          <w:szCs w:val="20"/>
        </w:rPr>
      </w:pPr>
      <w:r w:rsidRPr="00582B7C">
        <w:rPr>
          <w:rFonts w:ascii="Verdana" w:hAnsi="Verdana"/>
          <w:b/>
          <w:sz w:val="20"/>
          <w:szCs w:val="20"/>
        </w:rPr>
        <w:lastRenderedPageBreak/>
        <w:t>Step 2: PMO Activities</w:t>
      </w:r>
    </w:p>
    <w:p w:rsidR="00582B7C" w:rsidRDefault="00582B7C" w:rsidP="00582B7C">
      <w:pPr>
        <w:rPr>
          <w:rFonts w:ascii="Verdana" w:hAnsi="Verdana"/>
          <w:b/>
          <w:sz w:val="20"/>
          <w:szCs w:val="20"/>
        </w:rPr>
      </w:pPr>
    </w:p>
    <w:p w:rsidR="00582B7C" w:rsidRPr="00A904C8" w:rsidRDefault="00065917" w:rsidP="00B6196F">
      <w:pPr>
        <w:pStyle w:val="BESAPopupTextNotice"/>
        <w:spacing w:after="0"/>
        <w:rPr>
          <w:rFonts w:ascii="Verdana" w:hAnsi="Verdana"/>
          <w:i w:val="0"/>
        </w:rPr>
      </w:pPr>
      <w:r>
        <w:rPr>
          <w:rFonts w:ascii="Verdana" w:hAnsi="Verdana"/>
          <w:i w:val="0"/>
          <w:noProof/>
        </w:rPr>
        <w:pict>
          <v:shape id="_x0000_s1027" type="#_x0000_t202" style="position:absolute;margin-left:-1.25pt;margin-top:12.6pt;width:213.05pt;height:267.1pt;z-index:251661312;mso-position-horizontal-relative:margin;mso-width-relative:margin;mso-height-relative:margin">
            <v:textbox>
              <w:txbxContent>
                <w:p w:rsidR="00582B7C" w:rsidRPr="00131783" w:rsidRDefault="006955B7" w:rsidP="00582B7C">
                  <w:pPr>
                    <w:jc w:val="center"/>
                    <w:rPr>
                      <w:rFonts w:ascii="Verdana" w:hAnsi="Verdana"/>
                      <w:sz w:val="20"/>
                      <w:szCs w:val="20"/>
                    </w:rPr>
                  </w:pPr>
                  <w:r>
                    <w:rPr>
                      <w:noProof/>
                    </w:rPr>
                    <w:drawing>
                      <wp:inline distT="0" distB="0" distL="0" distR="0">
                        <wp:extent cx="2513330" cy="3182824"/>
                        <wp:effectExtent l="0" t="0" r="1270" b="0"/>
                        <wp:docPr id="2" name="Picture 2" descr="\\OKCOK06OFS01\Projects\00-Active\1797_AFIT Task Order 8_MRA_SYS113\04-Development\04-Graphics\coursegraphics\finalimages\module2\lesson3\230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KCOK06OFS01\Projects\00-Active\1797_AFIT Task Order 8_MRA_SYS113\04-Development\04-Graphics\coursegraphics\finalimages\module2\lesson3\23030c.png"/>
                                <pic:cNvPicPr>
                                  <a:picLocks noChangeAspect="1" noChangeArrowheads="1"/>
                                </pic:cNvPicPr>
                              </pic:nvPicPr>
                              <pic:blipFill>
                                <a:blip r:embed="rId8"/>
                                <a:srcRect/>
                                <a:stretch>
                                  <a:fillRect/>
                                </a:stretch>
                              </pic:blipFill>
                              <pic:spPr bwMode="auto">
                                <a:xfrm>
                                  <a:off x="0" y="0"/>
                                  <a:ext cx="2513330" cy="3182824"/>
                                </a:xfrm>
                                <a:prstGeom prst="rect">
                                  <a:avLst/>
                                </a:prstGeom>
                                <a:noFill/>
                                <a:ln w="9525">
                                  <a:noFill/>
                                  <a:miter lim="800000"/>
                                  <a:headEnd/>
                                  <a:tailEnd/>
                                </a:ln>
                              </pic:spPr>
                            </pic:pic>
                          </a:graphicData>
                        </a:graphic>
                      </wp:inline>
                    </w:drawing>
                  </w:r>
                </w:p>
              </w:txbxContent>
            </v:textbox>
            <w10:wrap type="square" anchorx="margin"/>
          </v:shape>
        </w:pict>
      </w:r>
      <w:r w:rsidR="00B6196F">
        <w:rPr>
          <w:rFonts w:ascii="Verdana" w:hAnsi="Verdana"/>
          <w:i w:val="0"/>
        </w:rPr>
        <w:t xml:space="preserve">1.  </w:t>
      </w:r>
      <w:r w:rsidR="00582B7C">
        <w:rPr>
          <w:rFonts w:ascii="Verdana" w:hAnsi="Verdana"/>
          <w:i w:val="0"/>
        </w:rPr>
        <w:t>Program d</w:t>
      </w:r>
      <w:r w:rsidR="00582B7C" w:rsidRPr="00A904C8">
        <w:rPr>
          <w:rFonts w:ascii="Verdana" w:hAnsi="Verdana"/>
          <w:i w:val="0"/>
        </w:rPr>
        <w:t>ata and documentation</w:t>
      </w:r>
      <w:r w:rsidR="00582B7C">
        <w:rPr>
          <w:rFonts w:ascii="Verdana" w:hAnsi="Verdana"/>
          <w:i w:val="0"/>
        </w:rPr>
        <w:t xml:space="preserve"> is collected </w:t>
      </w:r>
      <w:r w:rsidR="00B6196F">
        <w:rPr>
          <w:rFonts w:ascii="Verdana" w:hAnsi="Verdana"/>
          <w:i w:val="0"/>
        </w:rPr>
        <w:br/>
        <w:t xml:space="preserve">     </w:t>
      </w:r>
      <w:r w:rsidR="00582B7C">
        <w:rPr>
          <w:rFonts w:ascii="Verdana" w:hAnsi="Verdana"/>
          <w:i w:val="0"/>
        </w:rPr>
        <w:t>by the PM</w:t>
      </w:r>
      <w:r w:rsidR="00582B7C" w:rsidRPr="00A904C8">
        <w:rPr>
          <w:rFonts w:ascii="Verdana" w:hAnsi="Verdana"/>
          <w:i w:val="0"/>
        </w:rPr>
        <w:t xml:space="preserve"> </w:t>
      </w:r>
      <w:r w:rsidR="00582B7C">
        <w:rPr>
          <w:rFonts w:ascii="Verdana" w:hAnsi="Verdana"/>
          <w:i w:val="0"/>
        </w:rPr>
        <w:t xml:space="preserve">and provided to the MRA Team. </w:t>
      </w:r>
      <w:r w:rsidR="00B6196F">
        <w:rPr>
          <w:rFonts w:ascii="Verdana" w:hAnsi="Verdana"/>
          <w:i w:val="0"/>
        </w:rPr>
        <w:br/>
        <w:t xml:space="preserve">     </w:t>
      </w:r>
      <w:r w:rsidR="00582B7C">
        <w:rPr>
          <w:rFonts w:ascii="Verdana" w:hAnsi="Verdana"/>
          <w:i w:val="0"/>
        </w:rPr>
        <w:t xml:space="preserve">This information </w:t>
      </w:r>
      <w:r w:rsidR="00582B7C" w:rsidRPr="00A904C8">
        <w:rPr>
          <w:rFonts w:ascii="Verdana" w:hAnsi="Verdana"/>
          <w:i w:val="0"/>
        </w:rPr>
        <w:t>include</w:t>
      </w:r>
      <w:r w:rsidR="00582B7C">
        <w:rPr>
          <w:rFonts w:ascii="Verdana" w:hAnsi="Verdana"/>
          <w:i w:val="0"/>
        </w:rPr>
        <w:t>s</w:t>
      </w:r>
      <w:r w:rsidR="00582B7C" w:rsidRPr="00A904C8">
        <w:rPr>
          <w:rFonts w:ascii="Verdana" w:hAnsi="Verdana"/>
          <w:i w:val="0"/>
        </w:rPr>
        <w:t>:</w:t>
      </w:r>
    </w:p>
    <w:p w:rsidR="00582B7C" w:rsidRDefault="00582B7C" w:rsidP="00582B7C">
      <w:pPr>
        <w:pStyle w:val="BESABulletedText"/>
        <w:numPr>
          <w:ilvl w:val="0"/>
          <w:numId w:val="2"/>
        </w:numPr>
        <w:suppressAutoHyphens/>
        <w:ind w:left="656" w:hanging="270"/>
        <w:rPr>
          <w:rFonts w:ascii="Verdana" w:hAnsi="Verdana"/>
          <w:szCs w:val="20"/>
        </w:rPr>
      </w:pPr>
      <w:r w:rsidRPr="00582B7C">
        <w:rPr>
          <w:rFonts w:ascii="Verdana" w:hAnsi="Verdana"/>
          <w:szCs w:val="20"/>
        </w:rPr>
        <w:t xml:space="preserve">Detailed results from any tests or </w:t>
      </w:r>
      <w:r w:rsidR="00B6196F">
        <w:rPr>
          <w:rFonts w:ascii="Verdana" w:hAnsi="Verdana"/>
          <w:szCs w:val="20"/>
        </w:rPr>
        <w:br/>
        <w:t xml:space="preserve">          </w:t>
      </w:r>
      <w:r w:rsidRPr="00582B7C">
        <w:rPr>
          <w:rFonts w:ascii="Verdana" w:hAnsi="Verdana"/>
          <w:szCs w:val="20"/>
        </w:rPr>
        <w:t>demonstrations</w:t>
      </w:r>
    </w:p>
    <w:p w:rsidR="00582B7C" w:rsidRPr="00582B7C" w:rsidRDefault="00582B7C" w:rsidP="004271D9">
      <w:pPr>
        <w:pStyle w:val="BESABulletedText"/>
        <w:numPr>
          <w:ilvl w:val="1"/>
          <w:numId w:val="2"/>
        </w:numPr>
        <w:suppressAutoHyphens/>
        <w:ind w:left="5400" w:hanging="4680"/>
        <w:rPr>
          <w:rFonts w:ascii="Verdana" w:hAnsi="Verdana"/>
          <w:szCs w:val="20"/>
        </w:rPr>
      </w:pPr>
      <w:r w:rsidRPr="00582B7C">
        <w:rPr>
          <w:rFonts w:ascii="Verdana" w:hAnsi="Verdana"/>
        </w:rPr>
        <w:t>The burden of proof is on the contractor to provide evidence that manufacturing maturity has been successfully demonstrated. This is not a threat toward the contractor, but a proof of their quality and over-all process.</w:t>
      </w:r>
      <w:r w:rsidRPr="00582B7C">
        <w:rPr>
          <w:rFonts w:ascii="Verdana" w:hAnsi="Verdana"/>
          <w:szCs w:val="20"/>
        </w:rPr>
        <w:br/>
      </w:r>
    </w:p>
    <w:p w:rsidR="00582B7C" w:rsidRPr="00582B7C" w:rsidRDefault="00582B7C" w:rsidP="00582B7C">
      <w:pPr>
        <w:pStyle w:val="BESABulletedText"/>
        <w:numPr>
          <w:ilvl w:val="0"/>
          <w:numId w:val="2"/>
        </w:numPr>
        <w:suppressAutoHyphens/>
        <w:ind w:left="656" w:hanging="270"/>
        <w:rPr>
          <w:rFonts w:ascii="Verdana" w:hAnsi="Verdana"/>
          <w:b/>
          <w:szCs w:val="20"/>
        </w:rPr>
      </w:pPr>
      <w:r w:rsidRPr="00582B7C">
        <w:rPr>
          <w:rFonts w:ascii="Verdana" w:hAnsi="Verdana"/>
          <w:szCs w:val="20"/>
        </w:rPr>
        <w:t>Self-assessments done by the contractor</w:t>
      </w:r>
    </w:p>
    <w:p w:rsidR="00582B7C" w:rsidRPr="004271D9" w:rsidRDefault="00582B7C" w:rsidP="00B6196F">
      <w:pPr>
        <w:pStyle w:val="BESABulletedText"/>
        <w:numPr>
          <w:ilvl w:val="1"/>
          <w:numId w:val="2"/>
        </w:numPr>
        <w:suppressAutoHyphens/>
        <w:ind w:left="5400" w:hanging="4680"/>
        <w:rPr>
          <w:rFonts w:ascii="Verdana" w:hAnsi="Verdana"/>
          <w:b/>
          <w:szCs w:val="20"/>
        </w:rPr>
      </w:pPr>
      <w:r w:rsidRPr="004271D9">
        <w:rPr>
          <w:rFonts w:ascii="Verdana" w:hAnsi="Verdana"/>
        </w:rPr>
        <w:t>A review of any recent self-assessments completed by the contractor will be a help to the MRA process. This review will show what processes have been assessed in the past, what mitigation techniques have been put into place, and how effective those techniques have been.</w:t>
      </w:r>
      <w:r w:rsidRPr="004271D9">
        <w:rPr>
          <w:rFonts w:ascii="Verdana" w:hAnsi="Verdana"/>
        </w:rPr>
        <w:br/>
      </w:r>
      <w:r w:rsidRPr="004271D9">
        <w:rPr>
          <w:rFonts w:ascii="Verdana" w:hAnsi="Verdana"/>
        </w:rPr>
        <w:br/>
      </w:r>
    </w:p>
    <w:p w:rsidR="00582B7C" w:rsidRPr="008627F6" w:rsidRDefault="00582B7C" w:rsidP="004271D9">
      <w:pPr>
        <w:pStyle w:val="BESABulletedText"/>
        <w:numPr>
          <w:ilvl w:val="0"/>
          <w:numId w:val="4"/>
        </w:numPr>
        <w:suppressAutoHyphens/>
        <w:rPr>
          <w:rFonts w:ascii="Verdana" w:hAnsi="Verdana"/>
          <w:b/>
          <w:szCs w:val="20"/>
        </w:rPr>
      </w:pPr>
      <w:r w:rsidRPr="008627F6">
        <w:rPr>
          <w:rFonts w:ascii="Verdana" w:hAnsi="Verdana"/>
        </w:rPr>
        <w:t xml:space="preserve">After the data and documentation are </w:t>
      </w:r>
      <w:r>
        <w:rPr>
          <w:rFonts w:ascii="Verdana" w:hAnsi="Verdana"/>
        </w:rPr>
        <w:t>provided</w:t>
      </w:r>
      <w:r w:rsidRPr="008627F6">
        <w:rPr>
          <w:rFonts w:ascii="Verdana" w:hAnsi="Verdana"/>
        </w:rPr>
        <w:t xml:space="preserve"> to the </w:t>
      </w:r>
      <w:r>
        <w:rPr>
          <w:rFonts w:ascii="Verdana" w:hAnsi="Verdana"/>
        </w:rPr>
        <w:t>MRA</w:t>
      </w:r>
      <w:r w:rsidRPr="008627F6">
        <w:rPr>
          <w:rFonts w:ascii="Verdana" w:hAnsi="Verdana"/>
        </w:rPr>
        <w:t xml:space="preserve"> Team, the team </w:t>
      </w:r>
      <w:r w:rsidR="004271D9">
        <w:rPr>
          <w:rFonts w:ascii="Verdana" w:hAnsi="Verdana"/>
        </w:rPr>
        <w:t xml:space="preserve">convenes at </w:t>
      </w:r>
      <w:r>
        <w:rPr>
          <w:rFonts w:ascii="Verdana" w:hAnsi="Verdana"/>
        </w:rPr>
        <w:t>the PMO</w:t>
      </w:r>
      <w:r w:rsidRPr="008627F6">
        <w:rPr>
          <w:rFonts w:ascii="Verdana" w:hAnsi="Verdana"/>
        </w:rPr>
        <w:t xml:space="preserve"> for briefings. </w:t>
      </w:r>
      <w:r>
        <w:rPr>
          <w:rFonts w:ascii="Verdana" w:hAnsi="Verdana"/>
        </w:rPr>
        <w:t>A</w:t>
      </w:r>
      <w:r w:rsidRPr="008627F6">
        <w:rPr>
          <w:rFonts w:ascii="Verdana" w:hAnsi="Verdana"/>
        </w:rPr>
        <w:t xml:space="preserve"> video teleconference or telecom may be substituted for a face-to-face meeting.</w:t>
      </w:r>
    </w:p>
    <w:p w:rsidR="00582B7C" w:rsidRPr="00582B7C" w:rsidRDefault="00582B7C" w:rsidP="00582B7C">
      <w:pPr>
        <w:rPr>
          <w:rFonts w:ascii="Verdana" w:hAnsi="Verdana"/>
          <w:b/>
          <w:sz w:val="20"/>
          <w:szCs w:val="20"/>
        </w:rPr>
      </w:pPr>
    </w:p>
    <w:sectPr w:rsidR="00582B7C" w:rsidRPr="00582B7C" w:rsidSect="00DC5CA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60D" w:rsidRDefault="0002760D" w:rsidP="008D5167">
      <w:r>
        <w:separator/>
      </w:r>
    </w:p>
  </w:endnote>
  <w:endnote w:type="continuationSeparator" w:id="0">
    <w:p w:rsidR="0002760D" w:rsidRDefault="0002760D" w:rsidP="008D51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88409"/>
      <w:docPartObj>
        <w:docPartGallery w:val="Page Numbers (Bottom of Page)"/>
        <w:docPartUnique/>
      </w:docPartObj>
    </w:sdtPr>
    <w:sdtContent>
      <w:p w:rsidR="008D5167" w:rsidRDefault="00065917">
        <w:pPr>
          <w:pStyle w:val="Footer"/>
          <w:jc w:val="center"/>
        </w:pPr>
        <w:fldSimple w:instr=" PAGE   \* MERGEFORMAT ">
          <w:r w:rsidR="006955B7">
            <w:rPr>
              <w:noProof/>
            </w:rPr>
            <w:t>2</w:t>
          </w:r>
        </w:fldSimple>
      </w:p>
    </w:sdtContent>
  </w:sdt>
  <w:p w:rsidR="008D5167" w:rsidRDefault="008D51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60D" w:rsidRDefault="0002760D" w:rsidP="008D5167">
      <w:r>
        <w:separator/>
      </w:r>
    </w:p>
  </w:footnote>
  <w:footnote w:type="continuationSeparator" w:id="0">
    <w:p w:rsidR="0002760D" w:rsidRDefault="0002760D" w:rsidP="008D51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579B4"/>
    <w:multiLevelType w:val="hybridMultilevel"/>
    <w:tmpl w:val="52B8C494"/>
    <w:lvl w:ilvl="0" w:tplc="71FC4E3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C931FD"/>
    <w:multiLevelType w:val="hybridMultilevel"/>
    <w:tmpl w:val="8B1C22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5DBC4408"/>
    <w:multiLevelType w:val="hybridMultilevel"/>
    <w:tmpl w:val="9CDC3952"/>
    <w:lvl w:ilvl="0" w:tplc="7256EFD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A05DEC"/>
    <w:multiLevelType w:val="hybridMultilevel"/>
    <w:tmpl w:val="506801E8"/>
    <w:lvl w:ilvl="0" w:tplc="5DEEDD0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D5167"/>
    <w:rsid w:val="0002760D"/>
    <w:rsid w:val="00062E6E"/>
    <w:rsid w:val="00065917"/>
    <w:rsid w:val="000773D3"/>
    <w:rsid w:val="00121248"/>
    <w:rsid w:val="00131783"/>
    <w:rsid w:val="00144F95"/>
    <w:rsid w:val="0019361E"/>
    <w:rsid w:val="00195521"/>
    <w:rsid w:val="00224A51"/>
    <w:rsid w:val="00224F9F"/>
    <w:rsid w:val="0024623D"/>
    <w:rsid w:val="003041DF"/>
    <w:rsid w:val="003A2977"/>
    <w:rsid w:val="00403432"/>
    <w:rsid w:val="004271D9"/>
    <w:rsid w:val="004775F7"/>
    <w:rsid w:val="00490AF5"/>
    <w:rsid w:val="00534688"/>
    <w:rsid w:val="00535CDA"/>
    <w:rsid w:val="005517E1"/>
    <w:rsid w:val="00556725"/>
    <w:rsid w:val="00582B7C"/>
    <w:rsid w:val="00627450"/>
    <w:rsid w:val="0065147A"/>
    <w:rsid w:val="006955B7"/>
    <w:rsid w:val="00812B07"/>
    <w:rsid w:val="00874F62"/>
    <w:rsid w:val="008D5167"/>
    <w:rsid w:val="009155EC"/>
    <w:rsid w:val="0095561A"/>
    <w:rsid w:val="009C1465"/>
    <w:rsid w:val="009D5DDA"/>
    <w:rsid w:val="00A453D9"/>
    <w:rsid w:val="00A62752"/>
    <w:rsid w:val="00AB21F3"/>
    <w:rsid w:val="00B1709D"/>
    <w:rsid w:val="00B6196F"/>
    <w:rsid w:val="00C0027D"/>
    <w:rsid w:val="00CB533F"/>
    <w:rsid w:val="00CF2F80"/>
    <w:rsid w:val="00D12C22"/>
    <w:rsid w:val="00D559EA"/>
    <w:rsid w:val="00DC0CD7"/>
    <w:rsid w:val="00DC58ED"/>
    <w:rsid w:val="00DC5CA8"/>
    <w:rsid w:val="00DD7CB3"/>
    <w:rsid w:val="00E62ACE"/>
    <w:rsid w:val="00EA379E"/>
    <w:rsid w:val="00F03BC0"/>
    <w:rsid w:val="00F270C2"/>
    <w:rsid w:val="00F37D21"/>
    <w:rsid w:val="00F5050C"/>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5167"/>
    <w:pPr>
      <w:tabs>
        <w:tab w:val="center" w:pos="4680"/>
        <w:tab w:val="right" w:pos="9360"/>
      </w:tabs>
    </w:pPr>
  </w:style>
  <w:style w:type="character" w:customStyle="1" w:styleId="HeaderChar">
    <w:name w:val="Header Char"/>
    <w:basedOn w:val="DefaultParagraphFont"/>
    <w:link w:val="Header"/>
    <w:uiPriority w:val="99"/>
    <w:semiHidden/>
    <w:rsid w:val="008D5167"/>
  </w:style>
  <w:style w:type="paragraph" w:styleId="Footer">
    <w:name w:val="footer"/>
    <w:basedOn w:val="Normal"/>
    <w:link w:val="FooterChar"/>
    <w:uiPriority w:val="99"/>
    <w:unhideWhenUsed/>
    <w:rsid w:val="008D5167"/>
    <w:pPr>
      <w:tabs>
        <w:tab w:val="center" w:pos="4680"/>
        <w:tab w:val="right" w:pos="9360"/>
      </w:tabs>
    </w:pPr>
  </w:style>
  <w:style w:type="character" w:customStyle="1" w:styleId="FooterChar">
    <w:name w:val="Footer Char"/>
    <w:basedOn w:val="DefaultParagraphFont"/>
    <w:link w:val="Footer"/>
    <w:uiPriority w:val="99"/>
    <w:rsid w:val="008D5167"/>
  </w:style>
  <w:style w:type="paragraph" w:customStyle="1" w:styleId="BESABulletedText">
    <w:name w:val="BESA Bulleted Text"/>
    <w:basedOn w:val="Normal"/>
    <w:rsid w:val="00F03BC0"/>
    <w:pPr>
      <w:spacing w:before="60" w:after="60"/>
    </w:pPr>
    <w:rPr>
      <w:rFonts w:ascii="Arial" w:eastAsia="SimSun" w:hAnsi="Arial" w:cs="Times New Roman"/>
      <w:sz w:val="20"/>
      <w:szCs w:val="24"/>
    </w:rPr>
  </w:style>
  <w:style w:type="paragraph" w:styleId="ListParagraph">
    <w:name w:val="List Paragraph"/>
    <w:basedOn w:val="Normal"/>
    <w:uiPriority w:val="34"/>
    <w:qFormat/>
    <w:rsid w:val="00F03BC0"/>
    <w:pPr>
      <w:ind w:left="720"/>
      <w:contextualSpacing/>
    </w:pPr>
  </w:style>
  <w:style w:type="paragraph" w:customStyle="1" w:styleId="BESAPopupTextNotice">
    <w:name w:val="BESA Popup Text Notice"/>
    <w:basedOn w:val="Normal"/>
    <w:link w:val="BESAPopupTextNoticeChar"/>
    <w:rsid w:val="00582B7C"/>
    <w:pPr>
      <w:spacing w:before="120" w:after="240"/>
    </w:pPr>
    <w:rPr>
      <w:rFonts w:ascii="Arial" w:eastAsia="SimSun" w:hAnsi="Arial" w:cs="Times New Roman"/>
      <w:i/>
      <w:sz w:val="20"/>
      <w:szCs w:val="24"/>
    </w:rPr>
  </w:style>
  <w:style w:type="character" w:customStyle="1" w:styleId="BESAPopupTextNoticeChar">
    <w:name w:val="BESA Popup Text Notice Char"/>
    <w:basedOn w:val="DefaultParagraphFont"/>
    <w:link w:val="BESAPopupTextNotice"/>
    <w:rsid w:val="00582B7C"/>
    <w:rPr>
      <w:rFonts w:ascii="Arial" w:eastAsia="SimSun" w:hAnsi="Arial" w:cs="Times New Roman"/>
      <w:i/>
      <w:sz w:val="20"/>
      <w:szCs w:val="24"/>
    </w:rPr>
  </w:style>
  <w:style w:type="paragraph" w:styleId="BalloonText">
    <w:name w:val="Balloon Text"/>
    <w:basedOn w:val="Normal"/>
    <w:link w:val="BalloonTextChar"/>
    <w:uiPriority w:val="99"/>
    <w:semiHidden/>
    <w:unhideWhenUsed/>
    <w:rsid w:val="00812B07"/>
    <w:rPr>
      <w:rFonts w:ascii="Tahoma" w:hAnsi="Tahoma" w:cs="Tahoma"/>
      <w:sz w:val="16"/>
      <w:szCs w:val="16"/>
    </w:rPr>
  </w:style>
  <w:style w:type="character" w:customStyle="1" w:styleId="BalloonTextChar">
    <w:name w:val="Balloon Text Char"/>
    <w:basedOn w:val="DefaultParagraphFont"/>
    <w:link w:val="BalloonText"/>
    <w:uiPriority w:val="99"/>
    <w:semiHidden/>
    <w:rsid w:val="00812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Woodward</dc:creator>
  <cp:lastModifiedBy>Jamie Liske</cp:lastModifiedBy>
  <cp:revision>3</cp:revision>
  <dcterms:created xsi:type="dcterms:W3CDTF">2010-06-15T19:54:00Z</dcterms:created>
  <dcterms:modified xsi:type="dcterms:W3CDTF">2010-06-15T19:55:00Z</dcterms:modified>
</cp:coreProperties>
</file>