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CA8" w:rsidRPr="00AA3F25" w:rsidRDefault="00F55A8E" w:rsidP="00F55A8E">
      <w:pPr>
        <w:jc w:val="center"/>
        <w:rPr>
          <w:rFonts w:ascii="Verdana" w:hAnsi="Verdana"/>
          <w:b/>
          <w:sz w:val="32"/>
          <w:szCs w:val="32"/>
        </w:rPr>
      </w:pPr>
      <w:r w:rsidRPr="00AA3F25">
        <w:rPr>
          <w:rFonts w:ascii="Verdana" w:hAnsi="Verdana"/>
          <w:b/>
          <w:sz w:val="32"/>
          <w:szCs w:val="32"/>
        </w:rPr>
        <w:t>Technology Readiness Assessment</w:t>
      </w:r>
    </w:p>
    <w:p w:rsidR="00F55A8E" w:rsidRDefault="00F55A8E">
      <w:pPr>
        <w:rPr>
          <w:rFonts w:ascii="Verdana" w:hAnsi="Verdana"/>
          <w:b/>
          <w:sz w:val="24"/>
          <w:szCs w:val="24"/>
        </w:rPr>
      </w:pPr>
    </w:p>
    <w:p w:rsidR="00F55A8E" w:rsidRPr="00F55A8E" w:rsidRDefault="003044A6">
      <w:pPr>
        <w:rPr>
          <w:rFonts w:ascii="Verdana" w:hAnsi="Verdana"/>
          <w:b/>
          <w:sz w:val="24"/>
          <w:szCs w:val="24"/>
        </w:rPr>
      </w:pPr>
      <w:r>
        <w:rPr>
          <w:rFonts w:ascii="Verdana" w:hAnsi="Verdana"/>
          <w:b/>
          <w:noProof/>
          <w:sz w:val="24"/>
          <w:szCs w:val="24"/>
        </w:rPr>
        <w:drawing>
          <wp:anchor distT="0" distB="0" distL="114300" distR="114300" simplePos="0" relativeHeight="251663360" behindDoc="0" locked="0" layoutInCell="1" allowOverlap="1">
            <wp:simplePos x="0" y="0"/>
            <wp:positionH relativeFrom="column">
              <wp:posOffset>3371850</wp:posOffset>
            </wp:positionH>
            <wp:positionV relativeFrom="paragraph">
              <wp:posOffset>120015</wp:posOffset>
            </wp:positionV>
            <wp:extent cx="2314575" cy="3533775"/>
            <wp:effectExtent l="19050" t="0" r="9525" b="0"/>
            <wp:wrapSquare wrapText="bothSides"/>
            <wp:docPr id="5" name="Picture 1" descr="TRL (NASA_TRL_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L (NASA_TRL_Meter).jpg"/>
                    <pic:cNvPicPr>
                      <a:picLocks noChangeAspect="1" noChangeArrowheads="1"/>
                    </pic:cNvPicPr>
                  </pic:nvPicPr>
                  <pic:blipFill>
                    <a:blip r:embed="rId7" cstate="print"/>
                    <a:srcRect/>
                    <a:stretch>
                      <a:fillRect/>
                    </a:stretch>
                  </pic:blipFill>
                  <pic:spPr bwMode="auto">
                    <a:xfrm>
                      <a:off x="0" y="0"/>
                      <a:ext cx="2314575" cy="3533775"/>
                    </a:xfrm>
                    <a:prstGeom prst="rect">
                      <a:avLst/>
                    </a:prstGeom>
                    <a:noFill/>
                  </pic:spPr>
                </pic:pic>
              </a:graphicData>
            </a:graphic>
          </wp:anchor>
        </w:drawing>
      </w:r>
      <w:r w:rsidR="00F55A8E" w:rsidRPr="00F55A8E">
        <w:rPr>
          <w:rFonts w:ascii="Verdana" w:hAnsi="Verdana"/>
          <w:b/>
          <w:sz w:val="24"/>
          <w:szCs w:val="24"/>
        </w:rPr>
        <w:t>1.</w:t>
      </w:r>
      <w:r w:rsidR="00F55A8E">
        <w:rPr>
          <w:rFonts w:ascii="Verdana" w:hAnsi="Verdana"/>
          <w:b/>
          <w:sz w:val="24"/>
          <w:szCs w:val="24"/>
        </w:rPr>
        <w:t xml:space="preserve">  FUNDAMENTALS OF TRAs</w:t>
      </w:r>
    </w:p>
    <w:p w:rsidR="00F55A8E" w:rsidRPr="003044A6" w:rsidRDefault="008F139D" w:rsidP="008F139D">
      <w:pPr>
        <w:tabs>
          <w:tab w:val="left" w:pos="5793"/>
        </w:tabs>
        <w:rPr>
          <w:rFonts w:ascii="Verdana" w:hAnsi="Verdana"/>
          <w:b/>
          <w:sz w:val="16"/>
          <w:szCs w:val="16"/>
        </w:rPr>
      </w:pPr>
      <w:r w:rsidRPr="003044A6">
        <w:rPr>
          <w:rFonts w:ascii="Verdana" w:hAnsi="Verdana"/>
          <w:b/>
          <w:sz w:val="16"/>
          <w:szCs w:val="16"/>
        </w:rPr>
        <w:tab/>
      </w:r>
    </w:p>
    <w:p w:rsidR="00F55A8E" w:rsidRDefault="003044A6">
      <w:pPr>
        <w:rPr>
          <w:rFonts w:ascii="Verdana" w:hAnsi="Verdana"/>
          <w:b/>
        </w:rPr>
      </w:pPr>
      <w:r>
        <w:rPr>
          <w:rFonts w:ascii="Verdana" w:hAnsi="Verdana"/>
          <w:b/>
          <w:sz w:val="16"/>
          <w:szCs w:val="16"/>
        </w:rPr>
        <w:br/>
      </w:r>
      <w:r w:rsidRPr="003044A6">
        <w:rPr>
          <w:rFonts w:ascii="Verdana" w:hAnsi="Verdana"/>
          <w:b/>
          <w:sz w:val="16"/>
          <w:szCs w:val="16"/>
        </w:rPr>
        <w:br/>
      </w:r>
      <w:r w:rsidR="00F55A8E" w:rsidRPr="00F55A8E">
        <w:rPr>
          <w:rFonts w:ascii="Verdana" w:hAnsi="Verdana"/>
          <w:b/>
        </w:rPr>
        <w:t>1.1</w:t>
      </w:r>
      <w:proofErr w:type="gramStart"/>
      <w:r w:rsidR="00F55A8E">
        <w:rPr>
          <w:rFonts w:ascii="Verdana" w:hAnsi="Verdana"/>
          <w:b/>
        </w:rPr>
        <w:t>.  Introduction</w:t>
      </w:r>
      <w:proofErr w:type="gramEnd"/>
      <w:r w:rsidR="00F55A8E">
        <w:rPr>
          <w:rFonts w:ascii="Verdana" w:hAnsi="Verdana"/>
          <w:b/>
        </w:rPr>
        <w:t xml:space="preserve"> to</w:t>
      </w:r>
      <w:r w:rsidR="00F55A8E" w:rsidRPr="00F55A8E">
        <w:rPr>
          <w:rFonts w:ascii="Verdana" w:hAnsi="Verdana"/>
          <w:b/>
        </w:rPr>
        <w:t xml:space="preserve"> TRAs</w:t>
      </w:r>
    </w:p>
    <w:p w:rsidR="00C66663" w:rsidRPr="00C66663" w:rsidRDefault="00C66663">
      <w:pPr>
        <w:rPr>
          <w:rFonts w:ascii="Verdana" w:hAnsi="Verdana"/>
          <w:sz w:val="20"/>
          <w:szCs w:val="20"/>
        </w:rPr>
      </w:pPr>
    </w:p>
    <w:p w:rsidR="00C66663" w:rsidRPr="00F1462B" w:rsidRDefault="00C66663">
      <w:pPr>
        <w:rPr>
          <w:rFonts w:ascii="Verdana" w:hAnsi="Verdana"/>
          <w:sz w:val="20"/>
          <w:szCs w:val="20"/>
        </w:rPr>
      </w:pPr>
      <w:r w:rsidRPr="00F1462B">
        <w:rPr>
          <w:rFonts w:ascii="Verdana" w:hAnsi="Verdana"/>
          <w:sz w:val="20"/>
          <w:szCs w:val="20"/>
        </w:rPr>
        <w:t xml:space="preserve">The objective of this lesson is for each student to comprehend the </w:t>
      </w:r>
      <w:smartTag w:uri="urn:schemas-microsoft-com:office:smarttags" w:element="stockticker">
        <w:r w:rsidRPr="00F1462B">
          <w:rPr>
            <w:rFonts w:ascii="Verdana" w:hAnsi="Verdana"/>
            <w:sz w:val="20"/>
            <w:szCs w:val="20"/>
          </w:rPr>
          <w:t>TRA</w:t>
        </w:r>
      </w:smartTag>
      <w:r w:rsidRPr="00F1462B">
        <w:rPr>
          <w:rFonts w:ascii="Verdana" w:hAnsi="Verdana"/>
          <w:sz w:val="20"/>
          <w:szCs w:val="20"/>
        </w:rPr>
        <w:t xml:space="preserve"> architecture.</w:t>
      </w:r>
    </w:p>
    <w:p w:rsidR="008F139D" w:rsidRPr="00F1462B" w:rsidRDefault="008F139D">
      <w:pPr>
        <w:rPr>
          <w:rFonts w:ascii="Verdana" w:hAnsi="Verdana"/>
          <w:sz w:val="20"/>
          <w:szCs w:val="20"/>
        </w:rPr>
      </w:pPr>
    </w:p>
    <w:p w:rsidR="008F139D" w:rsidRPr="00F1462B" w:rsidRDefault="008F139D">
      <w:pPr>
        <w:rPr>
          <w:rFonts w:ascii="Verdana" w:hAnsi="Verdana"/>
          <w:sz w:val="20"/>
          <w:szCs w:val="20"/>
        </w:rPr>
      </w:pPr>
    </w:p>
    <w:p w:rsidR="00F55A8E" w:rsidRPr="00F1462B" w:rsidRDefault="00F55A8E">
      <w:pPr>
        <w:rPr>
          <w:rFonts w:ascii="Verdana" w:hAnsi="Verdana"/>
          <w:b/>
          <w:sz w:val="20"/>
          <w:szCs w:val="20"/>
        </w:rPr>
      </w:pPr>
      <w:r w:rsidRPr="00F1462B">
        <w:rPr>
          <w:rFonts w:ascii="Verdana" w:hAnsi="Verdana"/>
          <w:b/>
          <w:sz w:val="20"/>
          <w:szCs w:val="20"/>
        </w:rPr>
        <w:t>1.1.1</w:t>
      </w:r>
      <w:proofErr w:type="gramStart"/>
      <w:r w:rsidRPr="00F1462B">
        <w:rPr>
          <w:rFonts w:ascii="Verdana" w:hAnsi="Verdana"/>
          <w:b/>
          <w:sz w:val="20"/>
          <w:szCs w:val="20"/>
        </w:rPr>
        <w:t>.  TRA</w:t>
      </w:r>
      <w:proofErr w:type="gramEnd"/>
      <w:r w:rsidRPr="00F1462B">
        <w:rPr>
          <w:rFonts w:ascii="Verdana" w:hAnsi="Verdana"/>
          <w:b/>
          <w:sz w:val="20"/>
          <w:szCs w:val="20"/>
        </w:rPr>
        <w:t xml:space="preserve"> Definition</w:t>
      </w:r>
    </w:p>
    <w:p w:rsidR="0047577E" w:rsidRPr="00F1462B" w:rsidRDefault="0047577E">
      <w:pPr>
        <w:rPr>
          <w:rFonts w:ascii="Verdana" w:hAnsi="Verdana"/>
          <w:sz w:val="20"/>
          <w:szCs w:val="20"/>
        </w:rPr>
      </w:pPr>
    </w:p>
    <w:p w:rsidR="00F55A8E" w:rsidRPr="00F1462B" w:rsidRDefault="00C355B9">
      <w:pPr>
        <w:rPr>
          <w:rFonts w:ascii="Verdana" w:hAnsi="Verdana"/>
          <w:sz w:val="20"/>
          <w:szCs w:val="20"/>
        </w:rPr>
      </w:pPr>
      <w:r w:rsidRPr="00F1462B">
        <w:rPr>
          <w:rFonts w:ascii="Verdana" w:hAnsi="Verdana"/>
          <w:sz w:val="20"/>
          <w:szCs w:val="20"/>
        </w:rPr>
        <w:t>A Technology Readiness Assessment (</w:t>
      </w:r>
      <w:smartTag w:uri="urn:schemas-microsoft-com:office:smarttags" w:element="stockticker">
        <w:r w:rsidRPr="00F1462B">
          <w:rPr>
            <w:rFonts w:ascii="Verdana" w:hAnsi="Verdana"/>
            <w:sz w:val="20"/>
            <w:szCs w:val="20"/>
          </w:rPr>
          <w:t>TRA</w:t>
        </w:r>
      </w:smartTag>
      <w:r w:rsidRPr="00F1462B">
        <w:rPr>
          <w:rFonts w:ascii="Verdana" w:hAnsi="Verdana"/>
          <w:sz w:val="20"/>
          <w:szCs w:val="20"/>
        </w:rPr>
        <w:t>) is a formal, systematic, metric-based process and accompanying report that assesses the maturity of technologies called Critical Technology Elements (CTEs) to be used in systems. It is conducted by an Independent Review Team (</w:t>
      </w:r>
      <w:smartTag w:uri="urn:schemas-microsoft-com:office:smarttags" w:element="stockticker">
        <w:r w:rsidRPr="00F1462B">
          <w:rPr>
            <w:rFonts w:ascii="Verdana" w:hAnsi="Verdana"/>
            <w:sz w:val="20"/>
            <w:szCs w:val="20"/>
          </w:rPr>
          <w:t>IRT</w:t>
        </w:r>
      </w:smartTag>
      <w:r w:rsidRPr="00F1462B">
        <w:rPr>
          <w:rFonts w:ascii="Verdana" w:hAnsi="Verdana"/>
          <w:sz w:val="20"/>
          <w:szCs w:val="20"/>
        </w:rPr>
        <w:t>) consisting of subject matter experts (SMEs).</w:t>
      </w:r>
      <w:r w:rsidR="00F1462B">
        <w:rPr>
          <w:rFonts w:ascii="Verdana" w:hAnsi="Verdana"/>
          <w:sz w:val="20"/>
          <w:szCs w:val="20"/>
        </w:rPr>
        <w:br/>
      </w:r>
      <w:r w:rsidR="009709B2" w:rsidRPr="00F1462B">
        <w:rPr>
          <w:rFonts w:ascii="Verdana" w:hAnsi="Verdana"/>
          <w:sz w:val="20"/>
          <w:szCs w:val="20"/>
        </w:rPr>
        <w:br/>
      </w:r>
      <w:r w:rsidR="00F1462B">
        <w:rPr>
          <w:rFonts w:ascii="Verdana" w:hAnsi="Verdana"/>
          <w:sz w:val="20"/>
          <w:szCs w:val="20"/>
        </w:rPr>
        <w:br/>
      </w:r>
      <w:r w:rsidR="00594C07" w:rsidRPr="00F1462B">
        <w:rPr>
          <w:rFonts w:ascii="Verdana" w:hAnsi="Verdana"/>
          <w:sz w:val="20"/>
          <w:szCs w:val="20"/>
        </w:rPr>
        <w:br/>
      </w:r>
    </w:p>
    <w:p w:rsidR="00F1462B" w:rsidRDefault="006E7A42">
      <w:pPr>
        <w:rPr>
          <w:rFonts w:ascii="Verdana" w:hAnsi="Verdana"/>
          <w:b/>
          <w:sz w:val="20"/>
          <w:szCs w:val="20"/>
        </w:rPr>
      </w:pPr>
      <w:r w:rsidRPr="00F1462B">
        <w:rPr>
          <w:rFonts w:ascii="Verdana" w:hAnsi="Verdana"/>
          <w:b/>
          <w:sz w:val="20"/>
          <w:szCs w:val="20"/>
        </w:rPr>
        <w:br/>
      </w:r>
    </w:p>
    <w:p w:rsidR="00F1462B" w:rsidRDefault="00F1462B">
      <w:pPr>
        <w:rPr>
          <w:rFonts w:ascii="Verdana" w:hAnsi="Verdana"/>
          <w:b/>
          <w:sz w:val="20"/>
          <w:szCs w:val="20"/>
        </w:rPr>
      </w:pPr>
    </w:p>
    <w:p w:rsidR="00F55A8E" w:rsidRPr="00F1462B" w:rsidRDefault="00F55A8E">
      <w:pPr>
        <w:rPr>
          <w:rFonts w:ascii="Verdana" w:hAnsi="Verdana"/>
          <w:b/>
          <w:sz w:val="20"/>
          <w:szCs w:val="20"/>
        </w:rPr>
      </w:pPr>
      <w:r w:rsidRPr="00F1462B">
        <w:rPr>
          <w:rFonts w:ascii="Verdana" w:hAnsi="Verdana"/>
          <w:b/>
          <w:sz w:val="20"/>
          <w:szCs w:val="20"/>
        </w:rPr>
        <w:t>1.1.2</w:t>
      </w:r>
      <w:proofErr w:type="gramStart"/>
      <w:r w:rsidRPr="00F1462B">
        <w:rPr>
          <w:rFonts w:ascii="Verdana" w:hAnsi="Verdana"/>
          <w:b/>
          <w:sz w:val="20"/>
          <w:szCs w:val="20"/>
        </w:rPr>
        <w:t>.  TRA</w:t>
      </w:r>
      <w:proofErr w:type="gramEnd"/>
      <w:r w:rsidRPr="00F1462B">
        <w:rPr>
          <w:rFonts w:ascii="Verdana" w:hAnsi="Verdana"/>
          <w:b/>
          <w:sz w:val="20"/>
          <w:szCs w:val="20"/>
        </w:rPr>
        <w:t xml:space="preserve"> Purpose</w:t>
      </w:r>
    </w:p>
    <w:p w:rsidR="0047577E" w:rsidRPr="00F1462B" w:rsidRDefault="0047577E">
      <w:pPr>
        <w:rPr>
          <w:rFonts w:ascii="Verdana" w:hAnsi="Verdana"/>
          <w:sz w:val="20"/>
          <w:szCs w:val="20"/>
        </w:rPr>
      </w:pPr>
    </w:p>
    <w:p w:rsidR="00F1462B" w:rsidRDefault="00203A99" w:rsidP="003643FF">
      <w:pPr>
        <w:pStyle w:val="BESABulletedText"/>
        <w:numPr>
          <w:ilvl w:val="0"/>
          <w:numId w:val="0"/>
        </w:numPr>
        <w:rPr>
          <w:rFonts w:ascii="Verdana" w:hAnsi="Verdana"/>
          <w:szCs w:val="20"/>
        </w:rPr>
      </w:pPr>
      <w:r>
        <w:rPr>
          <w:rFonts w:ascii="Verdana" w:hAnsi="Verdana"/>
          <w:noProof/>
          <w:szCs w:val="20"/>
        </w:rPr>
        <w:pict>
          <v:shapetype id="_x0000_t202" coordsize="21600,21600" o:spt="202" path="m,l,21600r21600,l21600,xe">
            <v:stroke joinstyle="miter"/>
            <v:path gradientshapeok="t" o:connecttype="rect"/>
          </v:shapetype>
          <v:shape id="_x0000_s1031" type="#_x0000_t202" style="position:absolute;margin-left:4.55pt;margin-top:3.65pt;width:206.8pt;height:234pt;z-index:251664384">
            <v:textbox style="mso-next-textbox:#_x0000_s1031">
              <w:txbxContent>
                <w:p w:rsidR="00E42FE2" w:rsidRDefault="00E42FE2" w:rsidP="00F1462B">
                  <w:pPr>
                    <w:pStyle w:val="BESAScreenText"/>
                    <w:autoSpaceDE w:val="0"/>
                    <w:autoSpaceDN w:val="0"/>
                    <w:adjustRightInd w:val="0"/>
                    <w:rPr>
                      <w:rFonts w:ascii="Verdana" w:hAnsi="Verdana"/>
                    </w:rPr>
                  </w:pPr>
                  <w:r>
                    <w:rPr>
                      <w:rFonts w:ascii="Verdana" w:hAnsi="Verdana"/>
                      <w:noProof/>
                      <w:sz w:val="18"/>
                      <w:szCs w:val="18"/>
                    </w:rPr>
                    <w:drawing>
                      <wp:inline distT="0" distB="0" distL="0" distR="0">
                        <wp:extent cx="393905" cy="388795"/>
                        <wp:effectExtent l="0" t="0" r="0" b="0"/>
                        <wp:docPr id="16" name="Picture 7" descr="\\OKCOK06OFS01\Projects\00-Active\1796_AFIT Task Order 7_TRA_SYS109\04-Development\04-Graphics\coursegraphics\finalimages\module1\lesson1\1105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KCOK06OFS01\Projects\00-Active\1796_AFIT Task Order 7_TRA_SYS109\04-Development\04-Graphics\coursegraphics\finalimages\module1\lesson1\11050b.png"/>
                                <pic:cNvPicPr>
                                  <a:picLocks noChangeAspect="1" noChangeArrowheads="1"/>
                                </pic:cNvPicPr>
                              </pic:nvPicPr>
                              <pic:blipFill>
                                <a:blip r:embed="rId8"/>
                                <a:srcRect/>
                                <a:stretch>
                                  <a:fillRect/>
                                </a:stretch>
                              </pic:blipFill>
                              <pic:spPr bwMode="auto">
                                <a:xfrm>
                                  <a:off x="0" y="0"/>
                                  <a:ext cx="393905" cy="388795"/>
                                </a:xfrm>
                                <a:prstGeom prst="rect">
                                  <a:avLst/>
                                </a:prstGeom>
                                <a:noFill/>
                                <a:ln w="9525">
                                  <a:noFill/>
                                  <a:miter lim="800000"/>
                                  <a:headEnd/>
                                  <a:tailEnd/>
                                </a:ln>
                              </pic:spPr>
                            </pic:pic>
                          </a:graphicData>
                        </a:graphic>
                      </wp:inline>
                    </w:drawing>
                  </w:r>
                  <w:r>
                    <w:rPr>
                      <w:rFonts w:ascii="Verdana" w:hAnsi="Verdana"/>
                    </w:rPr>
                    <w:t xml:space="preserve"> 2005 </w:t>
                  </w:r>
                  <w:r w:rsidRPr="00933A96">
                    <w:rPr>
                      <w:rFonts w:ascii="Verdana" w:hAnsi="Verdana"/>
                      <w:szCs w:val="20"/>
                    </w:rPr>
                    <w:t>Government</w:t>
                  </w:r>
                  <w:r>
                    <w:rPr>
                      <w:rFonts w:ascii="Verdana" w:hAnsi="Verdana"/>
                      <w:szCs w:val="20"/>
                    </w:rPr>
                    <w:br/>
                    <w:t xml:space="preserve">          </w:t>
                  </w:r>
                  <w:r w:rsidRPr="00933A96">
                    <w:rPr>
                      <w:rFonts w:ascii="Verdana" w:hAnsi="Verdana"/>
                      <w:szCs w:val="20"/>
                    </w:rPr>
                    <w:t xml:space="preserve">Accountability </w:t>
                  </w:r>
                  <w:r>
                    <w:rPr>
                      <w:rFonts w:ascii="Verdana" w:hAnsi="Verdana"/>
                      <w:szCs w:val="20"/>
                    </w:rPr>
                    <w:br/>
                    <w:t xml:space="preserve">          </w:t>
                  </w:r>
                  <w:r w:rsidRPr="00933A96">
                    <w:rPr>
                      <w:rFonts w:ascii="Verdana" w:hAnsi="Verdana"/>
                      <w:szCs w:val="20"/>
                    </w:rPr>
                    <w:t>Office</w:t>
                  </w:r>
                  <w:r>
                    <w:rPr>
                      <w:rFonts w:ascii="Verdana" w:hAnsi="Verdana"/>
                    </w:rPr>
                    <w:t xml:space="preserve"> (GAO) Review*</w:t>
                  </w:r>
                </w:p>
                <w:p w:rsidR="00E42FE2" w:rsidRDefault="00E42FE2" w:rsidP="00F1462B">
                  <w:pPr>
                    <w:pStyle w:val="BESAScreenText"/>
                    <w:numPr>
                      <w:ilvl w:val="0"/>
                      <w:numId w:val="4"/>
                    </w:numPr>
                    <w:autoSpaceDE w:val="0"/>
                    <w:autoSpaceDN w:val="0"/>
                    <w:adjustRightInd w:val="0"/>
                    <w:rPr>
                      <w:rFonts w:ascii="Verdana" w:hAnsi="Verdana"/>
                    </w:rPr>
                  </w:pPr>
                  <w:r>
                    <w:rPr>
                      <w:rFonts w:ascii="Verdana" w:hAnsi="Verdana"/>
                    </w:rPr>
                    <w:t xml:space="preserve">For mature technology programs, </w:t>
                  </w:r>
                  <w:r w:rsidRPr="00933A96">
                    <w:rPr>
                      <w:rFonts w:ascii="Verdana" w:hAnsi="Verdana"/>
                      <w:szCs w:val="20"/>
                    </w:rPr>
                    <w:t>research, development, test, and evaluation</w:t>
                  </w:r>
                  <w:r>
                    <w:rPr>
                      <w:rFonts w:ascii="Verdana" w:hAnsi="Verdana"/>
                    </w:rPr>
                    <w:t xml:space="preserve"> (RDT&amp;E) costs increased 9% and unit production cost increased &lt;1%.</w:t>
                  </w:r>
                </w:p>
                <w:p w:rsidR="00E42FE2" w:rsidRDefault="00E42FE2" w:rsidP="00F1462B">
                  <w:pPr>
                    <w:pStyle w:val="BESAScreenText"/>
                    <w:numPr>
                      <w:ilvl w:val="0"/>
                      <w:numId w:val="4"/>
                    </w:numPr>
                    <w:autoSpaceDE w:val="0"/>
                    <w:autoSpaceDN w:val="0"/>
                    <w:adjustRightInd w:val="0"/>
                    <w:rPr>
                      <w:rFonts w:ascii="Verdana" w:hAnsi="Verdana"/>
                    </w:rPr>
                  </w:pPr>
                  <w:r>
                    <w:rPr>
                      <w:rFonts w:ascii="Verdana" w:hAnsi="Verdana"/>
                    </w:rPr>
                    <w:t>For immature technology programs, RDT&amp;E costs increased 41% and unit production cost increased 21%.</w:t>
                  </w:r>
                </w:p>
                <w:p w:rsidR="00E42FE2" w:rsidRPr="00B76B99" w:rsidRDefault="00E42FE2" w:rsidP="00F1462B">
                  <w:pPr>
                    <w:pStyle w:val="BESAScreenText"/>
                    <w:autoSpaceDE w:val="0"/>
                    <w:autoSpaceDN w:val="0"/>
                    <w:adjustRightInd w:val="0"/>
                    <w:rPr>
                      <w:rFonts w:ascii="Verdana" w:hAnsi="Verdana"/>
                      <w:sz w:val="16"/>
                      <w:szCs w:val="16"/>
                    </w:rPr>
                  </w:pPr>
                  <w:r w:rsidRPr="00B76B99">
                    <w:rPr>
                      <w:rFonts w:ascii="Verdana" w:hAnsi="Verdana"/>
                      <w:sz w:val="16"/>
                      <w:szCs w:val="16"/>
                    </w:rPr>
                    <w:t>*Defense Acquisitions: Assessments of Selected Major Weapon Programs, GAO-05-301, March 2005</w:t>
                  </w:r>
                </w:p>
              </w:txbxContent>
            </v:textbox>
            <w10:wrap type="square"/>
          </v:shape>
        </w:pict>
      </w:r>
    </w:p>
    <w:p w:rsidR="00F1462B" w:rsidRDefault="00F1462B" w:rsidP="003643FF">
      <w:pPr>
        <w:pStyle w:val="BESABulletedText"/>
        <w:numPr>
          <w:ilvl w:val="0"/>
          <w:numId w:val="0"/>
        </w:numPr>
        <w:rPr>
          <w:rFonts w:ascii="Verdana" w:hAnsi="Verdana"/>
          <w:szCs w:val="20"/>
        </w:rPr>
      </w:pPr>
    </w:p>
    <w:p w:rsidR="00F1462B" w:rsidRDefault="00F1462B" w:rsidP="003643FF">
      <w:pPr>
        <w:pStyle w:val="BESABulletedText"/>
        <w:numPr>
          <w:ilvl w:val="0"/>
          <w:numId w:val="0"/>
        </w:numPr>
        <w:rPr>
          <w:rFonts w:ascii="Verdana" w:hAnsi="Verdana"/>
          <w:szCs w:val="20"/>
        </w:rPr>
      </w:pPr>
    </w:p>
    <w:p w:rsidR="007F7E5C" w:rsidRDefault="007F7E5C" w:rsidP="003643FF">
      <w:pPr>
        <w:pStyle w:val="BESABulletedText"/>
        <w:numPr>
          <w:ilvl w:val="0"/>
          <w:numId w:val="0"/>
        </w:numPr>
        <w:rPr>
          <w:rFonts w:ascii="Verdana" w:hAnsi="Verdana"/>
          <w:szCs w:val="20"/>
        </w:rPr>
      </w:pPr>
    </w:p>
    <w:p w:rsidR="00F55A8E" w:rsidRPr="00F1462B" w:rsidRDefault="003643FF" w:rsidP="003643FF">
      <w:pPr>
        <w:pStyle w:val="BESABulletedText"/>
        <w:numPr>
          <w:ilvl w:val="0"/>
          <w:numId w:val="0"/>
        </w:numPr>
        <w:rPr>
          <w:rFonts w:ascii="Verdana" w:hAnsi="Verdana"/>
          <w:szCs w:val="20"/>
        </w:rPr>
      </w:pPr>
      <w:r w:rsidRPr="00F1462B">
        <w:rPr>
          <w:rFonts w:ascii="Verdana" w:hAnsi="Verdana"/>
          <w:szCs w:val="20"/>
        </w:rPr>
        <w:t>The purpose of TRA is to perform an independent, objective assessment of technology maturity during each phase of the acquisition lifecycle and to assess the technical risk associated with a project.</w:t>
      </w:r>
      <w:r w:rsidR="00AE2558" w:rsidRPr="00F1462B">
        <w:rPr>
          <w:rFonts w:ascii="Verdana" w:hAnsi="Verdana"/>
          <w:szCs w:val="20"/>
        </w:rPr>
        <w:br/>
      </w:r>
      <w:r w:rsidR="00AE2558" w:rsidRPr="00F1462B">
        <w:rPr>
          <w:rFonts w:ascii="Verdana" w:hAnsi="Verdana"/>
          <w:szCs w:val="20"/>
        </w:rPr>
        <w:br/>
      </w:r>
      <w:r w:rsidRPr="00F1462B">
        <w:rPr>
          <w:rFonts w:ascii="Verdana" w:hAnsi="Verdana"/>
          <w:szCs w:val="20"/>
        </w:rPr>
        <w:t>Technologically immature development efforts often lead to cost overruns, schedule slippages, and performance problems, which are associated with the quality triangle elements.</w:t>
      </w:r>
    </w:p>
    <w:p w:rsidR="00F55A8E" w:rsidRPr="00F1462B" w:rsidRDefault="00F55A8E">
      <w:pPr>
        <w:rPr>
          <w:rFonts w:ascii="Verdana" w:hAnsi="Verdana"/>
          <w:sz w:val="20"/>
          <w:szCs w:val="20"/>
        </w:rPr>
      </w:pPr>
    </w:p>
    <w:p w:rsidR="009709B2" w:rsidRPr="00F1462B" w:rsidRDefault="006E7A42">
      <w:pPr>
        <w:rPr>
          <w:rFonts w:ascii="Verdana" w:hAnsi="Verdana"/>
          <w:b/>
          <w:sz w:val="20"/>
          <w:szCs w:val="20"/>
        </w:rPr>
      </w:pPr>
      <w:r w:rsidRPr="00F1462B">
        <w:rPr>
          <w:rFonts w:ascii="Verdana" w:hAnsi="Verdana"/>
          <w:b/>
          <w:sz w:val="20"/>
          <w:szCs w:val="20"/>
        </w:rPr>
        <w:br/>
      </w:r>
    </w:p>
    <w:p w:rsidR="00F1462B" w:rsidRDefault="009709B2">
      <w:pPr>
        <w:rPr>
          <w:rFonts w:ascii="Verdana" w:hAnsi="Verdana"/>
          <w:b/>
          <w:sz w:val="20"/>
          <w:szCs w:val="20"/>
        </w:rPr>
      </w:pPr>
      <w:r w:rsidRPr="00F1462B">
        <w:rPr>
          <w:rFonts w:ascii="Verdana" w:hAnsi="Verdana"/>
          <w:b/>
          <w:sz w:val="20"/>
          <w:szCs w:val="20"/>
        </w:rPr>
        <w:br/>
      </w:r>
      <w:r w:rsidRPr="00F1462B">
        <w:rPr>
          <w:rFonts w:ascii="Verdana" w:hAnsi="Verdana"/>
          <w:b/>
          <w:sz w:val="20"/>
          <w:szCs w:val="20"/>
        </w:rPr>
        <w:br/>
      </w:r>
    </w:p>
    <w:p w:rsidR="00F1462B" w:rsidRDefault="00F1462B">
      <w:pPr>
        <w:rPr>
          <w:rFonts w:ascii="Verdana" w:hAnsi="Verdana"/>
          <w:b/>
          <w:sz w:val="20"/>
          <w:szCs w:val="20"/>
        </w:rPr>
      </w:pPr>
    </w:p>
    <w:p w:rsidR="00F55A8E" w:rsidRPr="00F1462B" w:rsidRDefault="00203A99">
      <w:pPr>
        <w:rPr>
          <w:rFonts w:ascii="Verdana" w:hAnsi="Verdana"/>
          <w:b/>
          <w:sz w:val="20"/>
          <w:szCs w:val="20"/>
        </w:rPr>
      </w:pPr>
      <w:r w:rsidRPr="00203A99">
        <w:rPr>
          <w:rFonts w:ascii="Verdana" w:hAnsi="Verdana"/>
          <w:noProof/>
          <w:szCs w:val="20"/>
        </w:rPr>
        <w:lastRenderedPageBreak/>
        <w:pict>
          <v:shape id="_x0000_s1033" type="#_x0000_t202" style="position:absolute;margin-left:252.25pt;margin-top:-5.7pt;width:182.5pt;height:170.7pt;z-index:251666432;mso-position-horizontal-relative:margin;mso-width-relative:margin;mso-height-relative:margin">
            <v:textbox style="mso-next-textbox:#_x0000_s1033">
              <w:txbxContent>
                <w:p w:rsidR="00E42FE2" w:rsidRPr="00DD4873" w:rsidRDefault="00662D97" w:rsidP="007F7E5C">
                  <w:pPr>
                    <w:jc w:val="center"/>
                    <w:rPr>
                      <w:rFonts w:ascii="Verdana" w:hAnsi="Verdana"/>
                      <w:sz w:val="20"/>
                      <w:szCs w:val="20"/>
                    </w:rPr>
                  </w:pPr>
                  <w:r w:rsidRPr="00662D97">
                    <w:drawing>
                      <wp:inline distT="0" distB="0" distL="0" distR="0">
                        <wp:extent cx="2072005" cy="2035484"/>
                        <wp:effectExtent l="0" t="0" r="0" b="0"/>
                        <wp:docPr id="17" name="Picture 4" descr="\\OKCOK06OFS01\Projects\00-Active\1796_AFIT Task Order 7_TRA_SYS109\04-Development\04-Graphics\coursegraphics\finalimages\module1\lesson1\110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KCOK06OFS01\Projects\00-Active\1796_AFIT Task Order 7_TRA_SYS109\04-Development\04-Graphics\coursegraphics\finalimages\module1\lesson1\11010a.png"/>
                                <pic:cNvPicPr>
                                  <a:picLocks noChangeAspect="1" noChangeArrowheads="1"/>
                                </pic:cNvPicPr>
                              </pic:nvPicPr>
                              <pic:blipFill>
                                <a:blip r:embed="rId9"/>
                                <a:srcRect/>
                                <a:stretch>
                                  <a:fillRect/>
                                </a:stretch>
                              </pic:blipFill>
                              <pic:spPr bwMode="auto">
                                <a:xfrm>
                                  <a:off x="0" y="0"/>
                                  <a:ext cx="2072005" cy="2035484"/>
                                </a:xfrm>
                                <a:prstGeom prst="rect">
                                  <a:avLst/>
                                </a:prstGeom>
                                <a:noFill/>
                                <a:ln w="9525">
                                  <a:noFill/>
                                  <a:miter lim="800000"/>
                                  <a:headEnd/>
                                  <a:tailEnd/>
                                </a:ln>
                              </pic:spPr>
                            </pic:pic>
                          </a:graphicData>
                        </a:graphic>
                      </wp:inline>
                    </w:drawing>
                  </w:r>
                </w:p>
              </w:txbxContent>
            </v:textbox>
            <w10:wrap type="square" anchorx="margin"/>
          </v:shape>
        </w:pict>
      </w:r>
      <w:r w:rsidR="00F55A8E" w:rsidRPr="00F1462B">
        <w:rPr>
          <w:rFonts w:ascii="Verdana" w:hAnsi="Verdana"/>
          <w:b/>
          <w:sz w:val="20"/>
          <w:szCs w:val="20"/>
        </w:rPr>
        <w:t>1.1.3</w:t>
      </w:r>
      <w:proofErr w:type="gramStart"/>
      <w:r w:rsidR="00F55A8E" w:rsidRPr="00F1462B">
        <w:rPr>
          <w:rFonts w:ascii="Verdana" w:hAnsi="Verdana"/>
          <w:b/>
          <w:sz w:val="20"/>
          <w:szCs w:val="20"/>
        </w:rPr>
        <w:t xml:space="preserve">.  </w:t>
      </w:r>
      <w:r w:rsidR="0047577E" w:rsidRPr="00F1462B">
        <w:rPr>
          <w:rFonts w:ascii="Verdana" w:hAnsi="Verdana"/>
          <w:b/>
          <w:sz w:val="20"/>
          <w:szCs w:val="20"/>
        </w:rPr>
        <w:t>TRA</w:t>
      </w:r>
      <w:proofErr w:type="gramEnd"/>
      <w:r w:rsidR="0047577E" w:rsidRPr="00F1462B">
        <w:rPr>
          <w:rFonts w:ascii="Verdana" w:hAnsi="Verdana"/>
          <w:b/>
          <w:sz w:val="20"/>
          <w:szCs w:val="20"/>
        </w:rPr>
        <w:t xml:space="preserve"> Benefits</w:t>
      </w:r>
    </w:p>
    <w:p w:rsidR="00F55A8E" w:rsidRPr="00F1462B" w:rsidRDefault="00F55A8E">
      <w:pPr>
        <w:rPr>
          <w:rFonts w:ascii="Verdana" w:hAnsi="Verdana"/>
          <w:sz w:val="20"/>
          <w:szCs w:val="20"/>
        </w:rPr>
      </w:pPr>
    </w:p>
    <w:p w:rsidR="006E7A42" w:rsidRPr="00F1462B" w:rsidRDefault="006E7A42" w:rsidP="006E7A42">
      <w:pPr>
        <w:pStyle w:val="BESAScreenText"/>
        <w:autoSpaceDE w:val="0"/>
        <w:autoSpaceDN w:val="0"/>
        <w:adjustRightInd w:val="0"/>
        <w:rPr>
          <w:rFonts w:ascii="Verdana" w:hAnsi="Verdana"/>
          <w:szCs w:val="20"/>
        </w:rPr>
      </w:pPr>
      <w:r w:rsidRPr="00F1462B">
        <w:rPr>
          <w:rFonts w:ascii="Verdana" w:hAnsi="Verdana"/>
          <w:szCs w:val="20"/>
        </w:rPr>
        <w:t>There are many benefits that the AF realizes by conducting TRAs.</w:t>
      </w:r>
      <w:r w:rsidRPr="00F1462B">
        <w:rPr>
          <w:rFonts w:ascii="Verdana" w:hAnsi="Verdana"/>
          <w:szCs w:val="20"/>
        </w:rPr>
        <w:br/>
        <w:t>They include:</w:t>
      </w:r>
    </w:p>
    <w:p w:rsidR="006E7A42" w:rsidRPr="00F1462B" w:rsidRDefault="006E7A42" w:rsidP="006E7A42">
      <w:pPr>
        <w:pStyle w:val="BESABulletedText"/>
        <w:rPr>
          <w:rFonts w:ascii="Verdana" w:hAnsi="Verdana"/>
          <w:szCs w:val="20"/>
        </w:rPr>
      </w:pPr>
      <w:r w:rsidRPr="00F1462B">
        <w:rPr>
          <w:rFonts w:ascii="Verdana" w:hAnsi="Verdana"/>
          <w:szCs w:val="20"/>
        </w:rPr>
        <w:t>Better business management</w:t>
      </w:r>
    </w:p>
    <w:p w:rsidR="006E7A42" w:rsidRPr="00F1462B" w:rsidRDefault="006E7A42" w:rsidP="006E7A42">
      <w:pPr>
        <w:pStyle w:val="BESABulletedText"/>
        <w:rPr>
          <w:rFonts w:ascii="Verdana" w:hAnsi="Verdana"/>
          <w:szCs w:val="20"/>
        </w:rPr>
      </w:pPr>
      <w:r w:rsidRPr="00F1462B">
        <w:rPr>
          <w:rFonts w:ascii="Verdana" w:hAnsi="Verdana"/>
          <w:szCs w:val="20"/>
        </w:rPr>
        <w:t>Better technology capabilities</w:t>
      </w:r>
    </w:p>
    <w:p w:rsidR="006E7A42" w:rsidRPr="00F1462B" w:rsidRDefault="006E7A42" w:rsidP="006E7A42">
      <w:pPr>
        <w:pStyle w:val="BESABulletedText"/>
        <w:rPr>
          <w:rFonts w:ascii="Verdana" w:hAnsi="Verdana"/>
          <w:szCs w:val="20"/>
        </w:rPr>
      </w:pPr>
      <w:r w:rsidRPr="00F1462B">
        <w:rPr>
          <w:rFonts w:ascii="Verdana" w:hAnsi="Verdana"/>
          <w:szCs w:val="20"/>
        </w:rPr>
        <w:t>Integration of mature technologies into acquisition programs</w:t>
      </w:r>
    </w:p>
    <w:p w:rsidR="006E7A42" w:rsidRPr="00F1462B" w:rsidRDefault="006E7A42" w:rsidP="006E7A42">
      <w:pPr>
        <w:pStyle w:val="BESABulletedText"/>
        <w:rPr>
          <w:rFonts w:ascii="Verdana" w:hAnsi="Verdana"/>
          <w:szCs w:val="20"/>
        </w:rPr>
      </w:pPr>
      <w:r w:rsidRPr="00F1462B">
        <w:rPr>
          <w:rFonts w:ascii="Verdana" w:hAnsi="Verdana"/>
          <w:szCs w:val="20"/>
        </w:rPr>
        <w:t>Fewer schedule slippages</w:t>
      </w:r>
    </w:p>
    <w:p w:rsidR="006E7A42" w:rsidRPr="00F1462B" w:rsidRDefault="006E7A42" w:rsidP="006E7A42">
      <w:pPr>
        <w:pStyle w:val="BESABulletedText"/>
        <w:rPr>
          <w:rFonts w:ascii="Verdana" w:hAnsi="Verdana"/>
          <w:szCs w:val="20"/>
        </w:rPr>
      </w:pPr>
      <w:r w:rsidRPr="00F1462B">
        <w:rPr>
          <w:rFonts w:ascii="Verdana" w:hAnsi="Verdana"/>
          <w:szCs w:val="20"/>
        </w:rPr>
        <w:t>Less cost overruns</w:t>
      </w:r>
    </w:p>
    <w:p w:rsidR="00F1462B" w:rsidRDefault="00F1462B">
      <w:pPr>
        <w:rPr>
          <w:rFonts w:ascii="Verdana" w:hAnsi="Verdana"/>
          <w:b/>
          <w:sz w:val="20"/>
          <w:szCs w:val="20"/>
        </w:rPr>
      </w:pPr>
    </w:p>
    <w:p w:rsidR="00F1462B" w:rsidRDefault="00F1462B">
      <w:pPr>
        <w:rPr>
          <w:rFonts w:ascii="Verdana" w:hAnsi="Verdana"/>
          <w:b/>
          <w:sz w:val="20"/>
          <w:szCs w:val="20"/>
        </w:rPr>
      </w:pPr>
    </w:p>
    <w:p w:rsidR="00F1462B" w:rsidRDefault="00F1462B">
      <w:pPr>
        <w:rPr>
          <w:rFonts w:ascii="Verdana" w:hAnsi="Verdana"/>
          <w:b/>
          <w:sz w:val="20"/>
          <w:szCs w:val="20"/>
        </w:rPr>
      </w:pPr>
    </w:p>
    <w:p w:rsidR="004751B3" w:rsidRDefault="004751B3">
      <w:pPr>
        <w:rPr>
          <w:rFonts w:ascii="Verdana" w:hAnsi="Verdana"/>
          <w:b/>
          <w:sz w:val="20"/>
          <w:szCs w:val="20"/>
        </w:rPr>
      </w:pPr>
    </w:p>
    <w:p w:rsidR="004751B3" w:rsidRDefault="004751B3">
      <w:pPr>
        <w:rPr>
          <w:rFonts w:ascii="Verdana" w:hAnsi="Verdana"/>
          <w:b/>
          <w:sz w:val="20"/>
          <w:szCs w:val="20"/>
        </w:rPr>
      </w:pPr>
    </w:p>
    <w:p w:rsidR="004751B3" w:rsidRDefault="004751B3">
      <w:pPr>
        <w:rPr>
          <w:rFonts w:ascii="Verdana" w:hAnsi="Verdana"/>
          <w:b/>
          <w:sz w:val="20"/>
          <w:szCs w:val="20"/>
        </w:rPr>
      </w:pPr>
    </w:p>
    <w:p w:rsidR="0047577E" w:rsidRPr="00F1462B" w:rsidRDefault="0047577E">
      <w:pPr>
        <w:rPr>
          <w:rFonts w:ascii="Verdana" w:hAnsi="Verdana"/>
          <w:b/>
          <w:sz w:val="20"/>
          <w:szCs w:val="20"/>
        </w:rPr>
      </w:pPr>
      <w:r w:rsidRPr="00F1462B">
        <w:rPr>
          <w:rFonts w:ascii="Verdana" w:hAnsi="Verdana"/>
          <w:b/>
          <w:sz w:val="20"/>
          <w:szCs w:val="20"/>
        </w:rPr>
        <w:t>1.1.4</w:t>
      </w:r>
      <w:proofErr w:type="gramStart"/>
      <w:r w:rsidRPr="00F1462B">
        <w:rPr>
          <w:rFonts w:ascii="Verdana" w:hAnsi="Verdana"/>
          <w:b/>
          <w:sz w:val="20"/>
          <w:szCs w:val="20"/>
        </w:rPr>
        <w:t>.  TRA</w:t>
      </w:r>
      <w:proofErr w:type="gramEnd"/>
      <w:r w:rsidRPr="00F1462B">
        <w:rPr>
          <w:rFonts w:ascii="Verdana" w:hAnsi="Verdana"/>
          <w:b/>
          <w:sz w:val="20"/>
          <w:szCs w:val="20"/>
        </w:rPr>
        <w:t xml:space="preserve"> Drawbacks</w:t>
      </w:r>
    </w:p>
    <w:p w:rsidR="0047577E" w:rsidRPr="00F1462B" w:rsidRDefault="0047577E">
      <w:pPr>
        <w:rPr>
          <w:rFonts w:ascii="Verdana" w:hAnsi="Verdana"/>
          <w:sz w:val="20"/>
          <w:szCs w:val="20"/>
        </w:rPr>
      </w:pPr>
    </w:p>
    <w:p w:rsidR="004751B3" w:rsidRDefault="00203A99" w:rsidP="00ED4B1A">
      <w:pPr>
        <w:pStyle w:val="BESAPopupTextNotice"/>
        <w:spacing w:after="120"/>
        <w:rPr>
          <w:rFonts w:ascii="Verdana" w:hAnsi="Verdana"/>
          <w:i w:val="0"/>
          <w:sz w:val="20"/>
          <w:szCs w:val="20"/>
        </w:rPr>
      </w:pPr>
      <w:r>
        <w:rPr>
          <w:rFonts w:ascii="Verdana" w:hAnsi="Verdana"/>
          <w:i w:val="0"/>
          <w:noProof/>
          <w:sz w:val="20"/>
          <w:szCs w:val="20"/>
        </w:rPr>
        <w:pict>
          <v:shape id="_x0000_s1034" type="#_x0000_t202" style="position:absolute;margin-left:3.25pt;margin-top:8.2pt;width:182.5pt;height:200.7pt;z-index:251667456;mso-position-horizontal-relative:margin;mso-width-relative:margin;mso-height-relative:margin">
            <v:textbox>
              <w:txbxContent>
                <w:p w:rsidR="00E42FE2" w:rsidRPr="00873252" w:rsidRDefault="00E42FE2" w:rsidP="004751B3">
                  <w:pPr>
                    <w:jc w:val="center"/>
                    <w:rPr>
                      <w:rFonts w:ascii="Verdana" w:hAnsi="Verdana"/>
                      <w:sz w:val="20"/>
                      <w:szCs w:val="20"/>
                    </w:rPr>
                  </w:pPr>
                  <w:r>
                    <w:rPr>
                      <w:noProof/>
                    </w:rPr>
                    <w:drawing>
                      <wp:inline distT="0" distB="0" distL="0" distR="0">
                        <wp:extent cx="2125345" cy="2087884"/>
                        <wp:effectExtent l="0" t="0" r="0" b="0"/>
                        <wp:docPr id="7" name="Picture 5" descr="\\OKCOK06OFS01\Projects\00-Active\1796_AFIT Task Order 7_TRA_SYS109\04-Development\04-Graphics\coursegraphics\finalimages\module1\lesson1\112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KCOK06OFS01\Projects\00-Active\1796_AFIT Task Order 7_TRA_SYS109\04-Development\04-Graphics\coursegraphics\finalimages\module1\lesson1\11210a.png"/>
                                <pic:cNvPicPr>
                                  <a:picLocks noChangeAspect="1" noChangeArrowheads="1"/>
                                </pic:cNvPicPr>
                              </pic:nvPicPr>
                              <pic:blipFill>
                                <a:blip r:embed="rId10"/>
                                <a:srcRect/>
                                <a:stretch>
                                  <a:fillRect/>
                                </a:stretch>
                              </pic:blipFill>
                              <pic:spPr bwMode="auto">
                                <a:xfrm>
                                  <a:off x="0" y="0"/>
                                  <a:ext cx="2125345" cy="2087884"/>
                                </a:xfrm>
                                <a:prstGeom prst="rect">
                                  <a:avLst/>
                                </a:prstGeom>
                                <a:noFill/>
                                <a:ln w="9525">
                                  <a:noFill/>
                                  <a:miter lim="800000"/>
                                  <a:headEnd/>
                                  <a:tailEnd/>
                                </a:ln>
                              </pic:spPr>
                            </pic:pic>
                          </a:graphicData>
                        </a:graphic>
                      </wp:inline>
                    </w:drawing>
                  </w:r>
                </w:p>
              </w:txbxContent>
            </v:textbox>
            <w10:wrap type="square" anchorx="margin"/>
          </v:shape>
        </w:pict>
      </w:r>
    </w:p>
    <w:p w:rsidR="00ED4B1A" w:rsidRPr="00F1462B" w:rsidRDefault="00ED4B1A" w:rsidP="00ED4B1A">
      <w:pPr>
        <w:pStyle w:val="BESAPopupTextNotice"/>
        <w:spacing w:after="120"/>
        <w:rPr>
          <w:rFonts w:ascii="Verdana" w:hAnsi="Verdana"/>
          <w:i w:val="0"/>
          <w:sz w:val="20"/>
          <w:szCs w:val="20"/>
        </w:rPr>
      </w:pPr>
      <w:r w:rsidRPr="00F1462B">
        <w:rPr>
          <w:rFonts w:ascii="Verdana" w:hAnsi="Verdana"/>
          <w:i w:val="0"/>
          <w:sz w:val="20"/>
          <w:szCs w:val="20"/>
        </w:rPr>
        <w:t xml:space="preserve">TRA Drawback </w:t>
      </w:r>
      <w:proofErr w:type="gramStart"/>
      <w:r w:rsidRPr="00F1462B">
        <w:rPr>
          <w:rFonts w:ascii="Verdana" w:hAnsi="Verdana"/>
          <w:i w:val="0"/>
          <w:sz w:val="20"/>
          <w:szCs w:val="20"/>
        </w:rPr>
        <w:t>include</w:t>
      </w:r>
      <w:proofErr w:type="gramEnd"/>
      <w:r w:rsidRPr="00F1462B">
        <w:rPr>
          <w:rFonts w:ascii="Verdana" w:hAnsi="Verdana"/>
          <w:i w:val="0"/>
          <w:sz w:val="20"/>
          <w:szCs w:val="20"/>
        </w:rPr>
        <w:t>:</w:t>
      </w:r>
    </w:p>
    <w:p w:rsidR="00ED4B1A" w:rsidRPr="00F1462B" w:rsidRDefault="00ED4B1A" w:rsidP="00ED4B1A">
      <w:pPr>
        <w:pStyle w:val="BESAPopupTextNotice"/>
        <w:numPr>
          <w:ilvl w:val="0"/>
          <w:numId w:val="2"/>
        </w:numPr>
        <w:spacing w:after="120"/>
        <w:rPr>
          <w:rFonts w:ascii="Verdana" w:hAnsi="Verdana"/>
          <w:i w:val="0"/>
          <w:sz w:val="20"/>
          <w:szCs w:val="20"/>
        </w:rPr>
      </w:pPr>
      <w:r w:rsidRPr="00F1462B">
        <w:rPr>
          <w:rFonts w:ascii="Verdana" w:hAnsi="Verdana"/>
          <w:i w:val="0"/>
          <w:sz w:val="20"/>
          <w:szCs w:val="20"/>
        </w:rPr>
        <w:t xml:space="preserve">TRAs are </w:t>
      </w:r>
      <w:proofErr w:type="gramStart"/>
      <w:r w:rsidRPr="00F1462B">
        <w:rPr>
          <w:rFonts w:ascii="Verdana" w:hAnsi="Verdana"/>
          <w:i w:val="0"/>
          <w:sz w:val="20"/>
          <w:szCs w:val="20"/>
        </w:rPr>
        <w:t>a one-dimensional measurement that only assess</w:t>
      </w:r>
      <w:proofErr w:type="gramEnd"/>
      <w:r w:rsidRPr="00F1462B">
        <w:rPr>
          <w:rFonts w:ascii="Verdana" w:hAnsi="Verdana"/>
          <w:i w:val="0"/>
          <w:sz w:val="20"/>
          <w:szCs w:val="20"/>
        </w:rPr>
        <w:t xml:space="preserve"> individual CTEs, not the way the CTEs integrate with each other, or within systems.</w:t>
      </w:r>
    </w:p>
    <w:p w:rsidR="00ED4B1A" w:rsidRPr="00F1462B" w:rsidRDefault="00ED4B1A" w:rsidP="00ED4B1A">
      <w:pPr>
        <w:pStyle w:val="BESAPopupTextNotice"/>
        <w:numPr>
          <w:ilvl w:val="0"/>
          <w:numId w:val="2"/>
        </w:numPr>
        <w:spacing w:after="120"/>
        <w:rPr>
          <w:rFonts w:ascii="Verdana" w:hAnsi="Verdana"/>
          <w:i w:val="0"/>
          <w:sz w:val="20"/>
          <w:szCs w:val="20"/>
        </w:rPr>
      </w:pPr>
      <w:r w:rsidRPr="00F1462B">
        <w:rPr>
          <w:rFonts w:ascii="Verdana" w:hAnsi="Verdana"/>
          <w:i w:val="0"/>
          <w:sz w:val="20"/>
          <w:szCs w:val="20"/>
        </w:rPr>
        <w:t>TRAs don’t consider outside integration influences like system readiness levels and different points of view.</w:t>
      </w:r>
    </w:p>
    <w:p w:rsidR="00ED4B1A" w:rsidRPr="00F1462B" w:rsidRDefault="00ED4B1A" w:rsidP="00ED4B1A">
      <w:pPr>
        <w:pStyle w:val="BESABulletedText"/>
        <w:numPr>
          <w:ilvl w:val="0"/>
          <w:numId w:val="0"/>
        </w:numPr>
        <w:rPr>
          <w:rFonts w:ascii="Verdana" w:hAnsi="Verdana"/>
          <w:szCs w:val="20"/>
        </w:rPr>
      </w:pPr>
      <w:r w:rsidRPr="00F1462B">
        <w:rPr>
          <w:rFonts w:ascii="Verdana" w:hAnsi="Verdana"/>
          <w:szCs w:val="20"/>
        </w:rPr>
        <w:t>Minimize TRA drawbacks through conscious and deliberate consideration of:</w:t>
      </w:r>
    </w:p>
    <w:p w:rsidR="00ED4B1A" w:rsidRPr="00F1462B" w:rsidRDefault="00ED4B1A" w:rsidP="00ED4B1A">
      <w:pPr>
        <w:pStyle w:val="BESABulletedText"/>
        <w:numPr>
          <w:ilvl w:val="0"/>
          <w:numId w:val="3"/>
        </w:numPr>
        <w:rPr>
          <w:rFonts w:ascii="Verdana" w:hAnsi="Verdana"/>
          <w:szCs w:val="20"/>
        </w:rPr>
      </w:pPr>
      <w:r w:rsidRPr="00F1462B">
        <w:rPr>
          <w:rFonts w:ascii="Verdana" w:hAnsi="Verdana"/>
          <w:szCs w:val="20"/>
        </w:rPr>
        <w:t>The way CTEs integrate with each other</w:t>
      </w:r>
    </w:p>
    <w:p w:rsidR="00ED4B1A" w:rsidRPr="00F1462B" w:rsidRDefault="00ED4B1A" w:rsidP="00ED4B1A">
      <w:pPr>
        <w:pStyle w:val="BESABulletedText"/>
        <w:numPr>
          <w:ilvl w:val="0"/>
          <w:numId w:val="3"/>
        </w:numPr>
        <w:rPr>
          <w:rFonts w:ascii="Verdana" w:hAnsi="Verdana"/>
          <w:szCs w:val="20"/>
        </w:rPr>
      </w:pPr>
      <w:r w:rsidRPr="00F1462B">
        <w:rPr>
          <w:rFonts w:ascii="Verdana" w:hAnsi="Verdana"/>
          <w:szCs w:val="20"/>
        </w:rPr>
        <w:t xml:space="preserve">The way CTEs integrate with other readiness levels during the </w:t>
      </w:r>
      <w:smartTag w:uri="urn:schemas-microsoft-com:office:smarttags" w:element="stockticker">
        <w:r w:rsidRPr="00F1462B">
          <w:rPr>
            <w:rFonts w:ascii="Verdana" w:hAnsi="Verdana"/>
            <w:szCs w:val="20"/>
          </w:rPr>
          <w:t>TRA</w:t>
        </w:r>
      </w:smartTag>
      <w:r w:rsidRPr="00F1462B">
        <w:rPr>
          <w:rFonts w:ascii="Verdana" w:hAnsi="Verdana"/>
          <w:szCs w:val="20"/>
        </w:rPr>
        <w:t xml:space="preserve"> process</w:t>
      </w:r>
    </w:p>
    <w:p w:rsidR="00EE33E8" w:rsidRPr="00F1462B" w:rsidRDefault="00EE33E8">
      <w:pPr>
        <w:rPr>
          <w:rFonts w:ascii="Verdana" w:hAnsi="Verdana"/>
          <w:b/>
          <w:sz w:val="20"/>
          <w:szCs w:val="20"/>
        </w:rPr>
      </w:pPr>
    </w:p>
    <w:p w:rsidR="00EE33E8" w:rsidRPr="00F1462B" w:rsidRDefault="00EE33E8">
      <w:pPr>
        <w:rPr>
          <w:rFonts w:ascii="Verdana" w:hAnsi="Verdana"/>
          <w:b/>
          <w:sz w:val="20"/>
          <w:szCs w:val="20"/>
        </w:rPr>
      </w:pPr>
    </w:p>
    <w:p w:rsidR="004751B3" w:rsidRDefault="004751B3">
      <w:pPr>
        <w:rPr>
          <w:rFonts w:ascii="Verdana" w:hAnsi="Verdana"/>
          <w:b/>
          <w:sz w:val="20"/>
          <w:szCs w:val="20"/>
        </w:rPr>
      </w:pPr>
    </w:p>
    <w:p w:rsidR="004751B3" w:rsidRDefault="004751B3">
      <w:pPr>
        <w:rPr>
          <w:rFonts w:ascii="Verdana" w:hAnsi="Verdana"/>
          <w:b/>
          <w:sz w:val="20"/>
          <w:szCs w:val="20"/>
        </w:rPr>
      </w:pPr>
    </w:p>
    <w:p w:rsidR="0047577E" w:rsidRPr="00F1462B" w:rsidRDefault="003044A6">
      <w:pPr>
        <w:rPr>
          <w:rFonts w:ascii="Verdana" w:hAnsi="Verdana"/>
          <w:b/>
          <w:sz w:val="20"/>
          <w:szCs w:val="20"/>
        </w:rPr>
      </w:pPr>
      <w:r>
        <w:rPr>
          <w:rFonts w:ascii="Verdana" w:hAnsi="Verdana"/>
          <w:b/>
          <w:sz w:val="20"/>
          <w:szCs w:val="20"/>
        </w:rPr>
        <w:br/>
      </w:r>
      <w:r w:rsidR="0047577E" w:rsidRPr="00F1462B">
        <w:rPr>
          <w:rFonts w:ascii="Verdana" w:hAnsi="Verdana"/>
          <w:b/>
          <w:sz w:val="20"/>
          <w:szCs w:val="20"/>
        </w:rPr>
        <w:t>1.1.5</w:t>
      </w:r>
      <w:proofErr w:type="gramStart"/>
      <w:r w:rsidR="0047577E" w:rsidRPr="00F1462B">
        <w:rPr>
          <w:rFonts w:ascii="Verdana" w:hAnsi="Verdana"/>
          <w:b/>
          <w:sz w:val="20"/>
          <w:szCs w:val="20"/>
        </w:rPr>
        <w:t>.  Technology</w:t>
      </w:r>
      <w:proofErr w:type="gramEnd"/>
      <w:r w:rsidR="0047577E" w:rsidRPr="00F1462B">
        <w:rPr>
          <w:rFonts w:ascii="Verdana" w:hAnsi="Verdana"/>
          <w:b/>
          <w:sz w:val="20"/>
          <w:szCs w:val="20"/>
        </w:rPr>
        <w:t xml:space="preserve"> Maturity Definition</w:t>
      </w:r>
    </w:p>
    <w:p w:rsidR="0047577E" w:rsidRPr="00F1462B" w:rsidRDefault="0047577E">
      <w:pPr>
        <w:rPr>
          <w:rFonts w:ascii="Verdana" w:hAnsi="Verdana"/>
          <w:sz w:val="20"/>
          <w:szCs w:val="20"/>
        </w:rPr>
      </w:pPr>
    </w:p>
    <w:p w:rsidR="00945969" w:rsidRPr="00F1462B" w:rsidRDefault="00945969" w:rsidP="00945969">
      <w:pPr>
        <w:spacing w:before="120" w:after="120"/>
        <w:rPr>
          <w:rFonts w:ascii="Verdana" w:hAnsi="Verdana"/>
          <w:bCs/>
          <w:sz w:val="20"/>
          <w:szCs w:val="20"/>
        </w:rPr>
      </w:pPr>
      <w:r w:rsidRPr="00F1462B">
        <w:rPr>
          <w:rFonts w:ascii="Verdana" w:hAnsi="Verdana"/>
          <w:bCs/>
          <w:sz w:val="20"/>
          <w:szCs w:val="20"/>
        </w:rPr>
        <w:t>Technology maturity is a measure of the degree to which proposed CTEs meet program objectives. It is a principal element to consider when determining program risk.</w:t>
      </w:r>
    </w:p>
    <w:p w:rsidR="00945969" w:rsidRPr="00F1462B" w:rsidRDefault="00945969" w:rsidP="00945969">
      <w:pPr>
        <w:pStyle w:val="BESAScreenText"/>
        <w:autoSpaceDE w:val="0"/>
        <w:autoSpaceDN w:val="0"/>
        <w:adjustRightInd w:val="0"/>
        <w:rPr>
          <w:rFonts w:ascii="Verdana" w:hAnsi="Verdana"/>
          <w:szCs w:val="20"/>
        </w:rPr>
      </w:pPr>
      <w:r w:rsidRPr="00F1462B">
        <w:rPr>
          <w:rFonts w:ascii="Verdana" w:hAnsi="Verdana"/>
          <w:szCs w:val="20"/>
        </w:rPr>
        <w:t>Technology maturity is measured in two environments:</w:t>
      </w:r>
    </w:p>
    <w:p w:rsidR="00945969" w:rsidRPr="00F1462B" w:rsidRDefault="00945969" w:rsidP="00945969">
      <w:pPr>
        <w:pStyle w:val="BESABulletedText"/>
        <w:rPr>
          <w:rFonts w:ascii="Verdana" w:hAnsi="Verdana"/>
          <w:szCs w:val="20"/>
        </w:rPr>
      </w:pPr>
      <w:r w:rsidRPr="00F1462B">
        <w:rPr>
          <w:rFonts w:ascii="Verdana" w:hAnsi="Verdana"/>
          <w:szCs w:val="20"/>
        </w:rPr>
        <w:t>Relevant environment</w:t>
      </w:r>
    </w:p>
    <w:p w:rsidR="0047577E" w:rsidRPr="00F1462B" w:rsidRDefault="00945969" w:rsidP="00945969">
      <w:pPr>
        <w:pStyle w:val="BESABulletedText"/>
        <w:rPr>
          <w:rFonts w:ascii="Verdana" w:hAnsi="Verdana"/>
          <w:szCs w:val="20"/>
        </w:rPr>
      </w:pPr>
      <w:r w:rsidRPr="00F1462B">
        <w:rPr>
          <w:rFonts w:ascii="Verdana" w:hAnsi="Verdana"/>
          <w:szCs w:val="20"/>
        </w:rPr>
        <w:t>Operational environment</w:t>
      </w:r>
    </w:p>
    <w:p w:rsidR="0047577E" w:rsidRPr="00F1462B" w:rsidRDefault="0047577E">
      <w:pPr>
        <w:rPr>
          <w:rFonts w:ascii="Verdana" w:hAnsi="Verdana"/>
          <w:sz w:val="20"/>
          <w:szCs w:val="20"/>
        </w:rPr>
      </w:pPr>
    </w:p>
    <w:p w:rsidR="00945969" w:rsidRPr="00F1462B" w:rsidRDefault="00945969">
      <w:pPr>
        <w:rPr>
          <w:rFonts w:ascii="Verdana" w:hAnsi="Verdana"/>
          <w:b/>
          <w:sz w:val="20"/>
          <w:szCs w:val="20"/>
        </w:rPr>
      </w:pPr>
    </w:p>
    <w:p w:rsidR="0047577E" w:rsidRPr="00F1462B" w:rsidRDefault="0047577E">
      <w:pPr>
        <w:rPr>
          <w:rFonts w:ascii="Verdana" w:hAnsi="Verdana"/>
          <w:b/>
          <w:sz w:val="20"/>
          <w:szCs w:val="20"/>
        </w:rPr>
      </w:pPr>
      <w:r w:rsidRPr="00F1462B">
        <w:rPr>
          <w:rFonts w:ascii="Verdana" w:hAnsi="Verdana"/>
          <w:b/>
          <w:sz w:val="20"/>
          <w:szCs w:val="20"/>
        </w:rPr>
        <w:t>1.1.6</w:t>
      </w:r>
      <w:proofErr w:type="gramStart"/>
      <w:r w:rsidRPr="00F1462B">
        <w:rPr>
          <w:rFonts w:ascii="Verdana" w:hAnsi="Verdana"/>
          <w:b/>
          <w:sz w:val="20"/>
          <w:szCs w:val="20"/>
        </w:rPr>
        <w:t>.  MSA</w:t>
      </w:r>
      <w:proofErr w:type="gramEnd"/>
      <w:r w:rsidRPr="00F1462B">
        <w:rPr>
          <w:rFonts w:ascii="Verdana" w:hAnsi="Verdana"/>
          <w:b/>
          <w:sz w:val="20"/>
          <w:szCs w:val="20"/>
        </w:rPr>
        <w:t xml:space="preserve"> Phase of Technology Maturity</w:t>
      </w:r>
    </w:p>
    <w:p w:rsidR="0047577E" w:rsidRPr="00F1462B" w:rsidRDefault="00203A99">
      <w:pPr>
        <w:rPr>
          <w:rFonts w:ascii="Verdana" w:hAnsi="Verdana"/>
          <w:sz w:val="20"/>
          <w:szCs w:val="20"/>
        </w:rPr>
      </w:pPr>
      <w:r>
        <w:rPr>
          <w:rFonts w:ascii="Verdana" w:hAnsi="Verdana"/>
          <w:noProof/>
          <w:sz w:val="20"/>
          <w:szCs w:val="20"/>
          <w:lang w:eastAsia="zh-TW"/>
        </w:rPr>
        <w:pict>
          <v:shape id="_x0000_s1035" type="#_x0000_t202" style="position:absolute;margin-left:10.8pt;margin-top:18.95pt;width:446.4pt;height:105.05pt;z-index:251669504;mso-position-horizontal-relative:margin;mso-width-relative:margin;mso-height-relative:margin">
            <v:textbox>
              <w:txbxContent>
                <w:p w:rsidR="00E42FE2" w:rsidRPr="00332D0C" w:rsidRDefault="00E42FE2" w:rsidP="003C0ABE">
                  <w:pPr>
                    <w:jc w:val="center"/>
                    <w:rPr>
                      <w:rFonts w:ascii="Verdana" w:hAnsi="Verdana"/>
                      <w:b/>
                      <w:sz w:val="20"/>
                      <w:szCs w:val="20"/>
                    </w:rPr>
                  </w:pPr>
                  <w:r>
                    <w:rPr>
                      <w:rFonts w:ascii="Verdana" w:hAnsi="Verdana"/>
                      <w:b/>
                      <w:noProof/>
                      <w:sz w:val="20"/>
                      <w:szCs w:val="20"/>
                    </w:rPr>
                    <w:drawing>
                      <wp:inline distT="0" distB="0" distL="0" distR="0">
                        <wp:extent cx="5476875" cy="1681400"/>
                        <wp:effectExtent l="19050" t="0" r="9525" b="0"/>
                        <wp:docPr id="4" name="Picture 3" descr="\\OKCOK06OFS01\Projects\00-Active\1796_AFIT Task Order 7_TRA_SYS109\04-Development\04-Graphics\coursegraphics\finalimages\module1\lesson1\112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KCOK06OFS01\Projects\00-Active\1796_AFIT Task Order 7_TRA_SYS109\04-Development\04-Graphics\coursegraphics\finalimages\module1\lesson1\11270a.png"/>
                                <pic:cNvPicPr>
                                  <a:picLocks noChangeAspect="1" noChangeArrowheads="1"/>
                                </pic:cNvPicPr>
                              </pic:nvPicPr>
                              <pic:blipFill>
                                <a:blip r:embed="rId11"/>
                                <a:srcRect/>
                                <a:stretch>
                                  <a:fillRect/>
                                </a:stretch>
                              </pic:blipFill>
                              <pic:spPr bwMode="auto">
                                <a:xfrm>
                                  <a:off x="0" y="0"/>
                                  <a:ext cx="5476875" cy="1681400"/>
                                </a:xfrm>
                                <a:prstGeom prst="rect">
                                  <a:avLst/>
                                </a:prstGeom>
                                <a:noFill/>
                                <a:ln w="9525">
                                  <a:noFill/>
                                  <a:miter lim="800000"/>
                                  <a:headEnd/>
                                  <a:tailEnd/>
                                </a:ln>
                              </pic:spPr>
                            </pic:pic>
                          </a:graphicData>
                        </a:graphic>
                      </wp:inline>
                    </w:drawing>
                  </w:r>
                </w:p>
              </w:txbxContent>
            </v:textbox>
            <w10:wrap type="square" anchorx="margin"/>
          </v:shape>
        </w:pict>
      </w:r>
    </w:p>
    <w:p w:rsidR="00303164" w:rsidRDefault="00303164">
      <w:pPr>
        <w:rPr>
          <w:rFonts w:ascii="Verdana" w:hAnsi="Verdana"/>
          <w:sz w:val="20"/>
          <w:szCs w:val="20"/>
        </w:rPr>
      </w:pPr>
    </w:p>
    <w:p w:rsidR="007E2D29" w:rsidRPr="00F1462B" w:rsidRDefault="007E2D29" w:rsidP="00303164">
      <w:pPr>
        <w:rPr>
          <w:rFonts w:ascii="Verdana" w:hAnsi="Verdana"/>
          <w:sz w:val="20"/>
          <w:szCs w:val="20"/>
        </w:rPr>
      </w:pPr>
      <w:r w:rsidRPr="00F1462B">
        <w:rPr>
          <w:rFonts w:ascii="Verdana" w:hAnsi="Verdana"/>
          <w:sz w:val="20"/>
          <w:szCs w:val="20"/>
        </w:rPr>
        <w:t>MSA Phase stands for Materiel Solution Analysis Phase.</w:t>
      </w:r>
      <w:r w:rsidR="00303164">
        <w:rPr>
          <w:rFonts w:ascii="Verdana" w:hAnsi="Verdana"/>
          <w:sz w:val="20"/>
          <w:szCs w:val="20"/>
        </w:rPr>
        <w:br/>
      </w:r>
      <w:r w:rsidR="00303164">
        <w:rPr>
          <w:rFonts w:ascii="Verdana" w:hAnsi="Verdana"/>
          <w:sz w:val="20"/>
          <w:szCs w:val="20"/>
        </w:rPr>
        <w:br/>
      </w:r>
      <w:r w:rsidRPr="00F1462B">
        <w:rPr>
          <w:rFonts w:ascii="Verdana" w:hAnsi="Verdana"/>
          <w:sz w:val="20"/>
          <w:szCs w:val="20"/>
        </w:rPr>
        <w:t>MSA Phase functions include:</w:t>
      </w:r>
    </w:p>
    <w:p w:rsidR="007E2D29" w:rsidRPr="00F1462B" w:rsidRDefault="007E2D29" w:rsidP="007E2D29">
      <w:pPr>
        <w:pStyle w:val="BESABulletedText"/>
        <w:rPr>
          <w:rFonts w:ascii="Verdana" w:hAnsi="Verdana"/>
          <w:szCs w:val="20"/>
        </w:rPr>
      </w:pPr>
      <w:r w:rsidRPr="00F1462B">
        <w:rPr>
          <w:rFonts w:ascii="Verdana" w:hAnsi="Verdana"/>
          <w:szCs w:val="20"/>
        </w:rPr>
        <w:t>Potential materiel solutions are assessed.</w:t>
      </w:r>
    </w:p>
    <w:p w:rsidR="007E2D29" w:rsidRPr="00F1462B" w:rsidRDefault="007E2D29" w:rsidP="007E2D29">
      <w:pPr>
        <w:pStyle w:val="BESABulletedText"/>
        <w:rPr>
          <w:rFonts w:ascii="Verdana" w:hAnsi="Verdana"/>
          <w:szCs w:val="20"/>
        </w:rPr>
      </w:pPr>
      <w:r w:rsidRPr="00F1462B">
        <w:rPr>
          <w:rFonts w:ascii="Verdana" w:hAnsi="Verdana"/>
          <w:szCs w:val="20"/>
        </w:rPr>
        <w:t xml:space="preserve">Phase-specific entry criteria for Milestone </w:t>
      </w:r>
      <w:proofErr w:type="gramStart"/>
      <w:r w:rsidRPr="00F1462B">
        <w:rPr>
          <w:rFonts w:ascii="Verdana" w:hAnsi="Verdana"/>
          <w:szCs w:val="20"/>
        </w:rPr>
        <w:t>A</w:t>
      </w:r>
      <w:proofErr w:type="gramEnd"/>
      <w:r w:rsidRPr="00F1462B">
        <w:rPr>
          <w:rFonts w:ascii="Verdana" w:hAnsi="Verdana"/>
          <w:szCs w:val="20"/>
        </w:rPr>
        <w:t xml:space="preserve"> are satisfied.</w:t>
      </w:r>
    </w:p>
    <w:p w:rsidR="007E2D29" w:rsidRPr="00F1462B" w:rsidRDefault="007E2D29" w:rsidP="007E2D29">
      <w:pPr>
        <w:pStyle w:val="BESABulletedText"/>
        <w:rPr>
          <w:rFonts w:ascii="Verdana" w:hAnsi="Verdana"/>
          <w:szCs w:val="20"/>
        </w:rPr>
      </w:pPr>
      <w:r w:rsidRPr="00F1462B">
        <w:rPr>
          <w:rFonts w:ascii="Verdana" w:hAnsi="Verdana"/>
          <w:szCs w:val="20"/>
        </w:rPr>
        <w:t>A Pre-</w:t>
      </w:r>
      <w:smartTag w:uri="urn:schemas-microsoft-com:office:smarttags" w:element="stockticker">
        <w:r w:rsidRPr="00F1462B">
          <w:rPr>
            <w:rFonts w:ascii="Verdana" w:hAnsi="Verdana"/>
            <w:szCs w:val="20"/>
          </w:rPr>
          <w:t>MSA</w:t>
        </w:r>
      </w:smartTag>
      <w:r w:rsidRPr="00F1462B">
        <w:rPr>
          <w:rFonts w:ascii="Verdana" w:hAnsi="Verdana"/>
          <w:szCs w:val="20"/>
        </w:rPr>
        <w:t xml:space="preserve"> list of potential CTEs is compiled.</w:t>
      </w:r>
    </w:p>
    <w:p w:rsidR="007E2D29" w:rsidRPr="00F1462B" w:rsidRDefault="007E2D29" w:rsidP="007E2D29">
      <w:pPr>
        <w:pStyle w:val="BESABulletedText"/>
        <w:rPr>
          <w:rFonts w:ascii="Verdana" w:hAnsi="Verdana"/>
          <w:szCs w:val="20"/>
        </w:rPr>
      </w:pPr>
      <w:r w:rsidRPr="00F1462B">
        <w:rPr>
          <w:rFonts w:ascii="Verdana" w:hAnsi="Verdana"/>
          <w:szCs w:val="20"/>
        </w:rPr>
        <w:t>An approved initial capabilities document (ICD) is required for phase entry.</w:t>
      </w:r>
    </w:p>
    <w:p w:rsidR="007E2D29" w:rsidRPr="00F1462B" w:rsidRDefault="007E2D29" w:rsidP="007E2D29">
      <w:pPr>
        <w:pStyle w:val="BESABulletedText"/>
        <w:rPr>
          <w:rFonts w:ascii="Verdana" w:hAnsi="Verdana"/>
          <w:szCs w:val="20"/>
        </w:rPr>
      </w:pPr>
      <w:r w:rsidRPr="00F1462B">
        <w:rPr>
          <w:rFonts w:ascii="Verdana" w:hAnsi="Verdana"/>
          <w:szCs w:val="20"/>
        </w:rPr>
        <w:t>An Analysis of Alternatives (</w:t>
      </w:r>
      <w:proofErr w:type="spellStart"/>
      <w:r w:rsidRPr="00F1462B">
        <w:rPr>
          <w:rFonts w:ascii="Verdana" w:hAnsi="Verdana"/>
          <w:szCs w:val="20"/>
        </w:rPr>
        <w:t>AoA</w:t>
      </w:r>
      <w:proofErr w:type="spellEnd"/>
      <w:r w:rsidRPr="00F1462B">
        <w:rPr>
          <w:rFonts w:ascii="Verdana" w:hAnsi="Verdana"/>
          <w:szCs w:val="20"/>
        </w:rPr>
        <w:t>) is performed.</w:t>
      </w:r>
    </w:p>
    <w:p w:rsidR="007E2D29" w:rsidRPr="00F1462B" w:rsidRDefault="007E2D29" w:rsidP="007E2D29">
      <w:pPr>
        <w:pStyle w:val="BESABulletedText"/>
        <w:rPr>
          <w:rFonts w:ascii="Verdana" w:hAnsi="Verdana"/>
          <w:szCs w:val="20"/>
        </w:rPr>
      </w:pPr>
      <w:r w:rsidRPr="00F1462B">
        <w:rPr>
          <w:rFonts w:ascii="Verdana" w:hAnsi="Verdana"/>
          <w:szCs w:val="20"/>
        </w:rPr>
        <w:t>Early Systems Engineering activities are conducted.</w:t>
      </w:r>
    </w:p>
    <w:p w:rsidR="007E2D29" w:rsidRPr="00F1462B" w:rsidRDefault="007E2D29" w:rsidP="007E2D29">
      <w:pPr>
        <w:pStyle w:val="BESABulletedText"/>
        <w:rPr>
          <w:rFonts w:ascii="Verdana" w:hAnsi="Verdana"/>
          <w:noProof/>
          <w:szCs w:val="20"/>
        </w:rPr>
      </w:pPr>
      <w:r w:rsidRPr="00F1462B">
        <w:rPr>
          <w:rFonts w:ascii="Verdana" w:hAnsi="Verdana"/>
          <w:szCs w:val="20"/>
        </w:rPr>
        <w:t>An Early Evaluation of Technological Maturity is conducted.</w:t>
      </w:r>
    </w:p>
    <w:p w:rsidR="007E2D29" w:rsidRPr="00F1462B" w:rsidRDefault="00303164" w:rsidP="007E2D29">
      <w:pPr>
        <w:pStyle w:val="BESAScreenText"/>
        <w:autoSpaceDE w:val="0"/>
        <w:autoSpaceDN w:val="0"/>
        <w:adjustRightInd w:val="0"/>
        <w:rPr>
          <w:rFonts w:ascii="Verdana" w:hAnsi="Verdana"/>
          <w:szCs w:val="20"/>
        </w:rPr>
      </w:pPr>
      <w:r>
        <w:rPr>
          <w:rFonts w:ascii="Verdana" w:hAnsi="Verdana"/>
          <w:szCs w:val="20"/>
        </w:rPr>
        <w:br/>
      </w:r>
      <w:r w:rsidR="007E2D29" w:rsidRPr="00F1462B">
        <w:rPr>
          <w:rFonts w:ascii="Verdana" w:hAnsi="Verdana"/>
          <w:szCs w:val="20"/>
        </w:rPr>
        <w:t>Entrance into this phase depends on an approved Initial Capabilities Document. In this phase, an Analysis of Alternatives is conducted to identify potential materiel need solutions, based on a cost-benefit analysis.</w:t>
      </w:r>
    </w:p>
    <w:p w:rsidR="007E2D29" w:rsidRPr="00F1462B" w:rsidRDefault="007E2D29" w:rsidP="007E2D29">
      <w:pPr>
        <w:pStyle w:val="BESAScreenText"/>
        <w:autoSpaceDE w:val="0"/>
        <w:autoSpaceDN w:val="0"/>
        <w:adjustRightInd w:val="0"/>
        <w:rPr>
          <w:rFonts w:ascii="Verdana" w:hAnsi="Verdana"/>
          <w:szCs w:val="20"/>
        </w:rPr>
      </w:pPr>
      <w:r w:rsidRPr="00F1462B">
        <w:rPr>
          <w:rFonts w:ascii="Verdana" w:hAnsi="Verdana"/>
          <w:szCs w:val="20"/>
        </w:rPr>
        <w:t xml:space="preserve">Early Systems Engineering activities, such as the proposed Engineering Analysis of Potential System Solutions, are conducted. These materiel solutions then undergo an Early Evaluation of Technological Maturity, provided sufficient technical information exists to support such an evaluation. </w:t>
      </w:r>
    </w:p>
    <w:p w:rsidR="0047577E" w:rsidRPr="00F1462B" w:rsidRDefault="007E2D29" w:rsidP="007E2D29">
      <w:pPr>
        <w:rPr>
          <w:rFonts w:ascii="Verdana" w:hAnsi="Verdana"/>
          <w:sz w:val="20"/>
          <w:szCs w:val="20"/>
        </w:rPr>
      </w:pPr>
      <w:r w:rsidRPr="00F1462B">
        <w:rPr>
          <w:rFonts w:ascii="Verdana" w:hAnsi="Verdana"/>
          <w:sz w:val="20"/>
          <w:szCs w:val="20"/>
        </w:rPr>
        <w:t>This evaluation will identify candidate Critical Technologies or Critical Technology Areas for each of the potential materiel solutions.</w:t>
      </w:r>
    </w:p>
    <w:p w:rsidR="00146A22" w:rsidRDefault="00662D97">
      <w:pPr>
        <w:rPr>
          <w:rFonts w:ascii="Verdana" w:hAnsi="Verdana"/>
          <w:b/>
          <w:sz w:val="20"/>
          <w:szCs w:val="20"/>
        </w:rPr>
      </w:pPr>
      <w:r>
        <w:rPr>
          <w:rFonts w:ascii="Verdana" w:hAnsi="Verdana"/>
          <w:b/>
          <w:noProof/>
          <w:sz w:val="20"/>
          <w:szCs w:val="20"/>
        </w:rPr>
        <w:pict>
          <v:shape id="_x0000_s1028" type="#_x0000_t202" style="position:absolute;margin-left:271.7pt;margin-top:25.45pt;width:178.3pt;height:169.9pt;z-index:251662336;mso-position-horizontal-relative:margin;mso-position-vertical-relative:text;mso-width-relative:margin;mso-height-relative:margin">
            <v:textbox style="mso-next-textbox:#_x0000_s1028">
              <w:txbxContent>
                <w:p w:rsidR="00E42FE2" w:rsidRPr="008F139D" w:rsidRDefault="00E42FE2" w:rsidP="00865740">
                  <w:pPr>
                    <w:jc w:val="center"/>
                    <w:rPr>
                      <w:rFonts w:ascii="Verdana" w:hAnsi="Verdana"/>
                      <w:sz w:val="20"/>
                      <w:szCs w:val="20"/>
                    </w:rPr>
                  </w:pPr>
                  <w:r>
                    <w:rPr>
                      <w:noProof/>
                    </w:rPr>
                    <w:drawing>
                      <wp:inline distT="0" distB="0" distL="0" distR="0">
                        <wp:extent cx="2072005" cy="2035484"/>
                        <wp:effectExtent l="0" t="0" r="0" b="0"/>
                        <wp:docPr id="6" name="Picture 4" descr="\\OKCOK06OFS01\Projects\00-Active\1796_AFIT Task Order 7_TRA_SYS109\04-Development\04-Graphics\coursegraphics\finalimages\module1\lesson1\110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KCOK06OFS01\Projects\00-Active\1796_AFIT Task Order 7_TRA_SYS109\04-Development\04-Graphics\coursegraphics\finalimages\module1\lesson1\11010a.png"/>
                                <pic:cNvPicPr>
                                  <a:picLocks noChangeAspect="1" noChangeArrowheads="1"/>
                                </pic:cNvPicPr>
                              </pic:nvPicPr>
                              <pic:blipFill>
                                <a:blip r:embed="rId9"/>
                                <a:srcRect/>
                                <a:stretch>
                                  <a:fillRect/>
                                </a:stretch>
                              </pic:blipFill>
                              <pic:spPr bwMode="auto">
                                <a:xfrm>
                                  <a:off x="0" y="0"/>
                                  <a:ext cx="2072005" cy="2035484"/>
                                </a:xfrm>
                                <a:prstGeom prst="rect">
                                  <a:avLst/>
                                </a:prstGeom>
                                <a:noFill/>
                                <a:ln w="9525">
                                  <a:noFill/>
                                  <a:miter lim="800000"/>
                                  <a:headEnd/>
                                  <a:tailEnd/>
                                </a:ln>
                              </pic:spPr>
                            </pic:pic>
                          </a:graphicData>
                        </a:graphic>
                      </wp:inline>
                    </w:drawing>
                  </w:r>
                </w:p>
              </w:txbxContent>
            </v:textbox>
            <w10:wrap type="square" anchorx="margin"/>
          </v:shape>
        </w:pict>
      </w:r>
      <w:r w:rsidR="00146A22">
        <w:rPr>
          <w:rFonts w:ascii="Verdana" w:hAnsi="Verdana"/>
          <w:b/>
          <w:sz w:val="20"/>
          <w:szCs w:val="20"/>
        </w:rPr>
        <w:br/>
      </w:r>
      <w:r w:rsidR="00146A22">
        <w:rPr>
          <w:rFonts w:ascii="Verdana" w:hAnsi="Verdana"/>
          <w:b/>
          <w:sz w:val="20"/>
          <w:szCs w:val="20"/>
        </w:rPr>
        <w:br/>
      </w:r>
    </w:p>
    <w:p w:rsidR="0047577E" w:rsidRPr="00F1462B" w:rsidRDefault="0047577E">
      <w:pPr>
        <w:rPr>
          <w:rFonts w:ascii="Verdana" w:hAnsi="Verdana"/>
          <w:b/>
          <w:sz w:val="20"/>
          <w:szCs w:val="20"/>
        </w:rPr>
      </w:pPr>
      <w:r w:rsidRPr="00F1462B">
        <w:rPr>
          <w:rFonts w:ascii="Verdana" w:hAnsi="Verdana"/>
          <w:b/>
          <w:sz w:val="20"/>
          <w:szCs w:val="20"/>
        </w:rPr>
        <w:t>1.1.7</w:t>
      </w:r>
      <w:proofErr w:type="gramStart"/>
      <w:r w:rsidRPr="00F1462B">
        <w:rPr>
          <w:rFonts w:ascii="Verdana" w:hAnsi="Verdana"/>
          <w:b/>
          <w:sz w:val="20"/>
          <w:szCs w:val="20"/>
        </w:rPr>
        <w:t>.  Characteristics</w:t>
      </w:r>
      <w:proofErr w:type="gramEnd"/>
      <w:r w:rsidRPr="00F1462B">
        <w:rPr>
          <w:rFonts w:ascii="Verdana" w:hAnsi="Verdana"/>
          <w:b/>
          <w:sz w:val="20"/>
          <w:szCs w:val="20"/>
        </w:rPr>
        <w:t xml:space="preserve"> of TRA Steps</w:t>
      </w:r>
    </w:p>
    <w:p w:rsidR="00865740" w:rsidRPr="00F1462B" w:rsidRDefault="00865740">
      <w:pPr>
        <w:rPr>
          <w:rFonts w:ascii="Verdana" w:hAnsi="Verdana"/>
          <w:b/>
          <w:sz w:val="20"/>
          <w:szCs w:val="20"/>
        </w:rPr>
      </w:pPr>
    </w:p>
    <w:p w:rsidR="00AA3F25" w:rsidRPr="00F1462B" w:rsidRDefault="00AA3F25" w:rsidP="00AA3F25">
      <w:pPr>
        <w:rPr>
          <w:rFonts w:ascii="Verdana" w:hAnsi="Verdana"/>
          <w:i/>
          <w:sz w:val="20"/>
          <w:szCs w:val="20"/>
        </w:rPr>
      </w:pPr>
      <w:r w:rsidRPr="00F1462B">
        <w:rPr>
          <w:rFonts w:ascii="Verdana" w:hAnsi="Verdana"/>
          <w:b/>
          <w:i/>
          <w:sz w:val="20"/>
          <w:szCs w:val="20"/>
        </w:rPr>
        <w:t>Step 1 – Initiate TRA</w:t>
      </w:r>
    </w:p>
    <w:p w:rsidR="00AA3F25" w:rsidRPr="00F1462B" w:rsidRDefault="00AA3F25" w:rsidP="00AA3F25">
      <w:pPr>
        <w:rPr>
          <w:rFonts w:ascii="Verdana" w:hAnsi="Verdana"/>
          <w:sz w:val="20"/>
          <w:szCs w:val="20"/>
        </w:rPr>
      </w:pPr>
    </w:p>
    <w:p w:rsidR="00AA3F25" w:rsidRPr="00F1462B" w:rsidRDefault="00AA3F25" w:rsidP="00AA3F25">
      <w:pPr>
        <w:rPr>
          <w:rFonts w:ascii="Verdana" w:hAnsi="Verdana"/>
          <w:sz w:val="20"/>
          <w:szCs w:val="20"/>
        </w:rPr>
      </w:pPr>
      <w:r w:rsidRPr="00F1462B">
        <w:rPr>
          <w:rFonts w:ascii="Verdana" w:hAnsi="Verdana"/>
          <w:sz w:val="20"/>
          <w:szCs w:val="20"/>
        </w:rPr>
        <w:t xml:space="preserve">To initiate the </w:t>
      </w:r>
      <w:smartTag w:uri="urn:schemas-microsoft-com:office:smarttags" w:element="stockticker">
        <w:r w:rsidRPr="00F1462B">
          <w:rPr>
            <w:rFonts w:ascii="Verdana" w:hAnsi="Verdana"/>
            <w:sz w:val="20"/>
            <w:szCs w:val="20"/>
          </w:rPr>
          <w:t>TRA</w:t>
        </w:r>
      </w:smartTag>
      <w:r w:rsidRPr="00F1462B">
        <w:rPr>
          <w:rFonts w:ascii="Verdana" w:hAnsi="Verdana"/>
          <w:sz w:val="20"/>
          <w:szCs w:val="20"/>
        </w:rPr>
        <w:t xml:space="preserve"> process, the Program Management Office (PMO) contacts the Deputy Assistant Secretary of the Air Force / Science, Technology, and Engineering Executive (SAF / AQR) Service Acquisition Executive / Defense Acquisition Executive (SAE / DAE programs). </w:t>
      </w:r>
    </w:p>
    <w:p w:rsidR="00AA3F25" w:rsidRPr="00F1462B" w:rsidRDefault="00AA3F25" w:rsidP="00AA3F25">
      <w:pPr>
        <w:rPr>
          <w:rFonts w:ascii="Verdana" w:hAnsi="Verdana"/>
          <w:sz w:val="20"/>
          <w:szCs w:val="20"/>
        </w:rPr>
      </w:pPr>
    </w:p>
    <w:p w:rsidR="00146A22" w:rsidRDefault="00146A22" w:rsidP="00AA3F25">
      <w:pPr>
        <w:rPr>
          <w:rFonts w:ascii="Verdana" w:hAnsi="Verdana"/>
          <w:sz w:val="20"/>
          <w:szCs w:val="20"/>
        </w:rPr>
      </w:pPr>
    </w:p>
    <w:p w:rsidR="00146A22" w:rsidRDefault="00662D97" w:rsidP="00AA3F25">
      <w:pPr>
        <w:rPr>
          <w:rFonts w:ascii="Verdana" w:hAnsi="Verdana"/>
          <w:sz w:val="20"/>
          <w:szCs w:val="20"/>
        </w:rPr>
      </w:pPr>
      <w:r>
        <w:rPr>
          <w:rFonts w:ascii="Verdana" w:hAnsi="Verdana"/>
          <w:sz w:val="20"/>
          <w:szCs w:val="20"/>
        </w:rPr>
        <w:t>compel</w:t>
      </w:r>
    </w:p>
    <w:p w:rsidR="00146A22" w:rsidRDefault="00146A22" w:rsidP="00AA3F25">
      <w:pPr>
        <w:rPr>
          <w:rFonts w:ascii="Verdana" w:hAnsi="Verdana"/>
          <w:sz w:val="20"/>
          <w:szCs w:val="20"/>
        </w:rPr>
      </w:pPr>
    </w:p>
    <w:p w:rsidR="0047577E" w:rsidRPr="00F1462B" w:rsidRDefault="00AA3F25" w:rsidP="00AA3F25">
      <w:pPr>
        <w:rPr>
          <w:rFonts w:ascii="Verdana" w:hAnsi="Verdana"/>
          <w:sz w:val="20"/>
          <w:szCs w:val="20"/>
        </w:rPr>
      </w:pPr>
      <w:r w:rsidRPr="00F1462B">
        <w:rPr>
          <w:rFonts w:ascii="Verdana" w:hAnsi="Verdana"/>
          <w:sz w:val="20"/>
          <w:szCs w:val="20"/>
        </w:rPr>
        <w:t xml:space="preserve">SAF / AQR then </w:t>
      </w:r>
      <w:proofErr w:type="gramStart"/>
      <w:r w:rsidRPr="00F1462B">
        <w:rPr>
          <w:rFonts w:ascii="Verdana" w:hAnsi="Verdana"/>
          <w:sz w:val="20"/>
          <w:szCs w:val="20"/>
        </w:rPr>
        <w:t>identifies</w:t>
      </w:r>
      <w:proofErr w:type="gramEnd"/>
      <w:r w:rsidRPr="00F1462B">
        <w:rPr>
          <w:rFonts w:ascii="Verdana" w:hAnsi="Verdana"/>
          <w:sz w:val="20"/>
          <w:szCs w:val="20"/>
        </w:rPr>
        <w:t xml:space="preserve"> Acquisitions Engineering and Technical Management Division (AQRE) and Acquisitions Science and Technology Division (AQRT) action officers. SAF / AQRE </w:t>
      </w:r>
      <w:proofErr w:type="gramStart"/>
      <w:r w:rsidRPr="00F1462B">
        <w:rPr>
          <w:rFonts w:ascii="Verdana" w:hAnsi="Verdana"/>
          <w:sz w:val="20"/>
          <w:szCs w:val="20"/>
        </w:rPr>
        <w:t>is</w:t>
      </w:r>
      <w:proofErr w:type="gramEnd"/>
      <w:r w:rsidRPr="00F1462B">
        <w:rPr>
          <w:rFonts w:ascii="Verdana" w:hAnsi="Verdana"/>
          <w:sz w:val="20"/>
          <w:szCs w:val="20"/>
        </w:rPr>
        <w:t xml:space="preserve"> the Engineering and Technical Management Division. They are the owners of the </w:t>
      </w:r>
      <w:smartTag w:uri="urn:schemas-microsoft-com:office:smarttags" w:element="stockticker">
        <w:r w:rsidRPr="00F1462B">
          <w:rPr>
            <w:rFonts w:ascii="Verdana" w:hAnsi="Verdana"/>
            <w:sz w:val="20"/>
            <w:szCs w:val="20"/>
          </w:rPr>
          <w:t>TRA</w:t>
        </w:r>
      </w:smartTag>
      <w:r w:rsidRPr="00F1462B">
        <w:rPr>
          <w:rFonts w:ascii="Verdana" w:hAnsi="Verdana"/>
          <w:sz w:val="20"/>
          <w:szCs w:val="20"/>
        </w:rPr>
        <w:t xml:space="preserve"> process. SAF / AQRT </w:t>
      </w:r>
      <w:proofErr w:type="gramStart"/>
      <w:r w:rsidRPr="00F1462B">
        <w:rPr>
          <w:rFonts w:ascii="Verdana" w:hAnsi="Verdana"/>
          <w:sz w:val="20"/>
          <w:szCs w:val="20"/>
        </w:rPr>
        <w:t>is</w:t>
      </w:r>
      <w:proofErr w:type="gramEnd"/>
      <w:r w:rsidRPr="00F1462B">
        <w:rPr>
          <w:rFonts w:ascii="Verdana" w:hAnsi="Verdana"/>
          <w:sz w:val="20"/>
          <w:szCs w:val="20"/>
        </w:rPr>
        <w:t xml:space="preserve"> the Science and Technology Division. They provide technology expertise.</w:t>
      </w:r>
    </w:p>
    <w:p w:rsidR="00AA3F25" w:rsidRPr="00F1462B" w:rsidRDefault="00AA3F25" w:rsidP="00AA3F25">
      <w:pPr>
        <w:rPr>
          <w:rFonts w:ascii="Verdana" w:hAnsi="Verdana"/>
          <w:sz w:val="20"/>
          <w:szCs w:val="20"/>
        </w:rPr>
      </w:pPr>
    </w:p>
    <w:p w:rsidR="00AA3F25" w:rsidRPr="00F1462B" w:rsidRDefault="00EE33E8" w:rsidP="00AA3F25">
      <w:pPr>
        <w:rPr>
          <w:rFonts w:ascii="Verdana" w:hAnsi="Verdana" w:cs="Arial"/>
          <w:i/>
          <w:sz w:val="20"/>
          <w:szCs w:val="20"/>
        </w:rPr>
      </w:pPr>
      <w:r w:rsidRPr="00F1462B">
        <w:rPr>
          <w:rFonts w:ascii="Verdana" w:hAnsi="Verdana" w:cs="Arial"/>
          <w:b/>
          <w:i/>
          <w:sz w:val="20"/>
          <w:szCs w:val="20"/>
        </w:rPr>
        <w:br/>
      </w:r>
      <w:r w:rsidR="00AA3F25" w:rsidRPr="00F1462B">
        <w:rPr>
          <w:rFonts w:ascii="Verdana" w:hAnsi="Verdana" w:cs="Arial"/>
          <w:b/>
          <w:i/>
          <w:sz w:val="20"/>
          <w:szCs w:val="20"/>
        </w:rPr>
        <w:t>Step 2 – Plan TRA</w:t>
      </w:r>
      <w:r w:rsidR="00AA3F25" w:rsidRPr="00F1462B">
        <w:rPr>
          <w:rFonts w:ascii="Verdana" w:hAnsi="Verdana" w:cs="Arial"/>
          <w:b/>
          <w:i/>
          <w:sz w:val="20"/>
          <w:szCs w:val="20"/>
        </w:rPr>
        <w:br/>
      </w:r>
      <w:r w:rsidR="00AA3F25" w:rsidRPr="00F1462B">
        <w:rPr>
          <w:rFonts w:ascii="Verdana" w:hAnsi="Verdana" w:cs="Arial"/>
          <w:b/>
          <w:i/>
          <w:sz w:val="20"/>
          <w:szCs w:val="20"/>
        </w:rPr>
        <w:br/>
      </w:r>
      <w:r w:rsidR="00AA3F25" w:rsidRPr="00F1462B">
        <w:rPr>
          <w:rFonts w:ascii="Verdana" w:hAnsi="Verdana"/>
          <w:sz w:val="20"/>
          <w:szCs w:val="20"/>
        </w:rPr>
        <w:t xml:space="preserve">The PMO and SAF / AQR work together to develop the </w:t>
      </w:r>
      <w:smartTag w:uri="urn:schemas-microsoft-com:office:smarttags" w:element="stockticker">
        <w:r w:rsidR="00AA3F25" w:rsidRPr="00F1462B">
          <w:rPr>
            <w:rFonts w:ascii="Verdana" w:hAnsi="Verdana"/>
            <w:sz w:val="20"/>
            <w:szCs w:val="20"/>
          </w:rPr>
          <w:t>TRA</w:t>
        </w:r>
      </w:smartTag>
      <w:r w:rsidR="00AA3F25" w:rsidRPr="00F1462B">
        <w:rPr>
          <w:rFonts w:ascii="Verdana" w:hAnsi="Verdana"/>
          <w:sz w:val="20"/>
          <w:szCs w:val="20"/>
        </w:rPr>
        <w:t xml:space="preserve"> plan. Commonly this is done through a teleconference. Participants may include PMO, SAF / AQR, SAF Capability Directorate, and SAF / ACE, among others. The outcome of the teleconference is a plan, consisting of:</w:t>
      </w:r>
    </w:p>
    <w:p w:rsidR="00AA3F25" w:rsidRPr="00F1462B" w:rsidRDefault="00AA3F25" w:rsidP="00AA3F25">
      <w:pPr>
        <w:pStyle w:val="BESABulletedText"/>
        <w:rPr>
          <w:rFonts w:ascii="Verdana" w:hAnsi="Verdana"/>
          <w:szCs w:val="20"/>
        </w:rPr>
      </w:pPr>
      <w:r w:rsidRPr="00F1462B">
        <w:rPr>
          <w:rFonts w:ascii="Verdana" w:hAnsi="Verdana"/>
          <w:szCs w:val="20"/>
        </w:rPr>
        <w:t>Program description and acquisition strategy</w:t>
      </w:r>
    </w:p>
    <w:p w:rsidR="00AA3F25" w:rsidRPr="00F1462B" w:rsidRDefault="00AA3F25" w:rsidP="00AA3F25">
      <w:pPr>
        <w:pStyle w:val="BESABulletedText"/>
        <w:rPr>
          <w:rFonts w:ascii="Verdana" w:hAnsi="Verdana"/>
          <w:szCs w:val="20"/>
        </w:rPr>
      </w:pPr>
      <w:r w:rsidRPr="00F1462B">
        <w:rPr>
          <w:rFonts w:ascii="Verdana" w:hAnsi="Verdana"/>
          <w:szCs w:val="20"/>
        </w:rPr>
        <w:t>Technologies under consideration</w:t>
      </w:r>
    </w:p>
    <w:p w:rsidR="00AA3F25" w:rsidRPr="00F1462B" w:rsidRDefault="00AA3F25" w:rsidP="00AA3F25">
      <w:pPr>
        <w:pStyle w:val="BESABulletedText"/>
        <w:rPr>
          <w:rFonts w:ascii="Verdana" w:hAnsi="Verdana"/>
          <w:szCs w:val="20"/>
        </w:rPr>
      </w:pPr>
      <w:r w:rsidRPr="00F1462B">
        <w:rPr>
          <w:rFonts w:ascii="Verdana" w:hAnsi="Verdana"/>
          <w:szCs w:val="20"/>
        </w:rPr>
        <w:t xml:space="preserve">Planned </w:t>
      </w:r>
      <w:smartTag w:uri="urn:schemas-microsoft-com:office:smarttags" w:element="stockticker">
        <w:r w:rsidRPr="00F1462B">
          <w:rPr>
            <w:rFonts w:ascii="Verdana" w:hAnsi="Verdana"/>
            <w:szCs w:val="20"/>
          </w:rPr>
          <w:t>TRA</w:t>
        </w:r>
      </w:smartTag>
      <w:r w:rsidRPr="00F1462B">
        <w:rPr>
          <w:rFonts w:ascii="Verdana" w:hAnsi="Verdana"/>
          <w:szCs w:val="20"/>
        </w:rPr>
        <w:t xml:space="preserve"> schedule</w:t>
      </w:r>
    </w:p>
    <w:p w:rsidR="00AA3F25" w:rsidRPr="00F1462B" w:rsidRDefault="00AA3F25" w:rsidP="00AA3F25">
      <w:pPr>
        <w:pStyle w:val="BESABulletedText"/>
        <w:rPr>
          <w:rFonts w:ascii="Verdana" w:hAnsi="Verdana"/>
          <w:szCs w:val="20"/>
        </w:rPr>
      </w:pPr>
      <w:r w:rsidRPr="00F1462B">
        <w:rPr>
          <w:rFonts w:ascii="Verdana" w:hAnsi="Verdana"/>
          <w:szCs w:val="20"/>
        </w:rPr>
        <w:t>Funding considerations for temporary duty (TDY), labor, etc.</w:t>
      </w:r>
    </w:p>
    <w:p w:rsidR="0047577E" w:rsidRPr="00F1462B" w:rsidRDefault="00AA3F25" w:rsidP="00AA3F25">
      <w:pPr>
        <w:pStyle w:val="BESABulletedText"/>
        <w:rPr>
          <w:rFonts w:ascii="Verdana" w:hAnsi="Verdana"/>
          <w:szCs w:val="20"/>
        </w:rPr>
      </w:pPr>
      <w:r w:rsidRPr="00F1462B">
        <w:rPr>
          <w:rFonts w:ascii="Verdana" w:hAnsi="Verdana"/>
          <w:szCs w:val="20"/>
        </w:rPr>
        <w:t>Proposed IRP participants</w:t>
      </w:r>
      <w:r w:rsidRPr="00F1462B">
        <w:rPr>
          <w:rFonts w:ascii="Verdana" w:hAnsi="Verdana"/>
          <w:szCs w:val="20"/>
        </w:rPr>
        <w:br/>
      </w:r>
    </w:p>
    <w:p w:rsidR="00AA3F25" w:rsidRPr="00F1462B" w:rsidRDefault="00EE33E8" w:rsidP="00AA3F25">
      <w:pPr>
        <w:pStyle w:val="BESAScreenText"/>
        <w:autoSpaceDE w:val="0"/>
        <w:autoSpaceDN w:val="0"/>
        <w:adjustRightInd w:val="0"/>
        <w:rPr>
          <w:rFonts w:ascii="Verdana" w:hAnsi="Verdana"/>
          <w:szCs w:val="20"/>
        </w:rPr>
      </w:pPr>
      <w:r w:rsidRPr="00F1462B">
        <w:rPr>
          <w:rFonts w:ascii="Verdana" w:hAnsi="Verdana"/>
          <w:b/>
          <w:i/>
          <w:szCs w:val="20"/>
        </w:rPr>
        <w:br/>
      </w:r>
      <w:r w:rsidR="00AA3F25" w:rsidRPr="00F1462B">
        <w:rPr>
          <w:rFonts w:ascii="Verdana" w:hAnsi="Verdana"/>
          <w:b/>
          <w:i/>
          <w:szCs w:val="20"/>
        </w:rPr>
        <w:t>Step 3 - Identify IRP</w:t>
      </w:r>
      <w:r w:rsidR="00AA3F25" w:rsidRPr="00F1462B">
        <w:rPr>
          <w:rFonts w:ascii="Verdana" w:hAnsi="Verdana"/>
          <w:b/>
          <w:i/>
          <w:szCs w:val="20"/>
        </w:rPr>
        <w:br/>
      </w:r>
      <w:r w:rsidR="00AA3F25" w:rsidRPr="00F1462B">
        <w:rPr>
          <w:rFonts w:ascii="Verdana" w:hAnsi="Verdana"/>
          <w:b/>
          <w:i/>
          <w:szCs w:val="20"/>
        </w:rPr>
        <w:br/>
      </w:r>
      <w:r w:rsidR="00AA3F25" w:rsidRPr="00F1462B">
        <w:rPr>
          <w:rFonts w:ascii="Verdana" w:hAnsi="Verdana"/>
          <w:szCs w:val="20"/>
        </w:rPr>
        <w:t xml:space="preserve">After the </w:t>
      </w:r>
      <w:smartTag w:uri="urn:schemas-microsoft-com:office:smarttags" w:element="stockticker">
        <w:r w:rsidR="00AA3F25" w:rsidRPr="00F1462B">
          <w:rPr>
            <w:rFonts w:ascii="Verdana" w:hAnsi="Verdana"/>
            <w:szCs w:val="20"/>
          </w:rPr>
          <w:t>TRA</w:t>
        </w:r>
      </w:smartTag>
      <w:r w:rsidR="00AA3F25" w:rsidRPr="00F1462B">
        <w:rPr>
          <w:rFonts w:ascii="Verdana" w:hAnsi="Verdana"/>
          <w:szCs w:val="20"/>
        </w:rPr>
        <w:t xml:space="preserve"> plan is in place, the PMO assembles a list of the candidate IRP members and provides resumes of those candidates to SAF / AQR. The PMO considers the following criteria for the team:</w:t>
      </w:r>
    </w:p>
    <w:p w:rsidR="00AA3F25" w:rsidRPr="00F1462B" w:rsidRDefault="00AA3F25" w:rsidP="00AA3F25">
      <w:pPr>
        <w:pStyle w:val="BESABulletedText"/>
        <w:rPr>
          <w:rFonts w:ascii="Verdana" w:hAnsi="Verdana"/>
          <w:szCs w:val="20"/>
        </w:rPr>
      </w:pPr>
      <w:r w:rsidRPr="00F1462B">
        <w:rPr>
          <w:rFonts w:ascii="Verdana" w:hAnsi="Verdana"/>
          <w:szCs w:val="20"/>
        </w:rPr>
        <w:t>IRP Lead must be an experienced technical leader, outside of the Program Executive Office (PEO) chain of command.</w:t>
      </w:r>
    </w:p>
    <w:p w:rsidR="00AA3F25" w:rsidRPr="00F1462B" w:rsidRDefault="00AA3F25" w:rsidP="00AA3F25">
      <w:pPr>
        <w:pStyle w:val="BESABulletedText"/>
        <w:rPr>
          <w:rFonts w:ascii="Verdana" w:hAnsi="Verdana"/>
          <w:szCs w:val="20"/>
        </w:rPr>
      </w:pPr>
      <w:r w:rsidRPr="00F1462B">
        <w:rPr>
          <w:rFonts w:ascii="Verdana" w:hAnsi="Verdana"/>
          <w:szCs w:val="20"/>
        </w:rPr>
        <w:t>IRP members must have knowledge of program’s technologies and are independent of program’s technology development.</w:t>
      </w:r>
    </w:p>
    <w:p w:rsidR="00AA3F25" w:rsidRPr="00F1462B" w:rsidRDefault="00AA3F25" w:rsidP="00AA3F25">
      <w:pPr>
        <w:pStyle w:val="BESABulletedText"/>
        <w:rPr>
          <w:rFonts w:ascii="Verdana" w:hAnsi="Verdana"/>
          <w:szCs w:val="20"/>
        </w:rPr>
      </w:pPr>
      <w:r w:rsidRPr="00F1462B">
        <w:rPr>
          <w:rFonts w:ascii="Verdana" w:hAnsi="Verdana"/>
          <w:szCs w:val="20"/>
        </w:rPr>
        <w:t>IRP members can come from the following sources: Center Engineers, Air Force Research Laboratory AFRL, Federally Funded Research and Development Centers, Advisory and Assistance Services, and other Services.</w:t>
      </w:r>
    </w:p>
    <w:p w:rsidR="0047577E" w:rsidRPr="00F1462B" w:rsidRDefault="00AA3F25" w:rsidP="00AA3F25">
      <w:pPr>
        <w:rPr>
          <w:rFonts w:ascii="Verdana" w:hAnsi="Verdana"/>
          <w:sz w:val="20"/>
          <w:szCs w:val="20"/>
        </w:rPr>
      </w:pPr>
      <w:r w:rsidRPr="00F1462B">
        <w:rPr>
          <w:rFonts w:ascii="Verdana" w:hAnsi="Verdana"/>
          <w:sz w:val="20"/>
          <w:szCs w:val="20"/>
        </w:rPr>
        <w:t xml:space="preserve">SAF / AQR modifies the list as necessary and approves IRP lead and members, then coordinates IRP membership with Deputy </w:t>
      </w:r>
      <w:proofErr w:type="gramStart"/>
      <w:r w:rsidRPr="00F1462B">
        <w:rPr>
          <w:rFonts w:ascii="Verdana" w:hAnsi="Verdana"/>
          <w:sz w:val="20"/>
          <w:szCs w:val="20"/>
        </w:rPr>
        <w:t>Under</w:t>
      </w:r>
      <w:proofErr w:type="gramEnd"/>
      <w:r w:rsidRPr="00F1462B">
        <w:rPr>
          <w:rFonts w:ascii="Verdana" w:hAnsi="Verdana"/>
          <w:sz w:val="20"/>
          <w:szCs w:val="20"/>
        </w:rPr>
        <w:t xml:space="preserve"> Secretary of Defense for Science and Technology for the DAE programs.</w:t>
      </w:r>
    </w:p>
    <w:p w:rsidR="00AA3F25" w:rsidRPr="00F1462B" w:rsidRDefault="00AA3F25" w:rsidP="00AA3F25">
      <w:pPr>
        <w:rPr>
          <w:rFonts w:ascii="Verdana" w:hAnsi="Verdana"/>
          <w:sz w:val="20"/>
          <w:szCs w:val="20"/>
        </w:rPr>
      </w:pPr>
    </w:p>
    <w:p w:rsidR="00AA3F25" w:rsidRPr="00F1462B" w:rsidRDefault="00EE33E8" w:rsidP="00AA3F25">
      <w:pPr>
        <w:rPr>
          <w:rFonts w:ascii="Verdana" w:hAnsi="Verdana"/>
          <w:sz w:val="20"/>
          <w:szCs w:val="20"/>
        </w:rPr>
      </w:pPr>
      <w:r w:rsidRPr="00F1462B">
        <w:rPr>
          <w:rFonts w:ascii="Verdana" w:hAnsi="Verdana"/>
          <w:b/>
          <w:i/>
          <w:sz w:val="20"/>
          <w:szCs w:val="20"/>
        </w:rPr>
        <w:br/>
      </w:r>
      <w:r w:rsidR="00AA3F25" w:rsidRPr="00F1462B">
        <w:rPr>
          <w:rFonts w:ascii="Verdana" w:hAnsi="Verdana"/>
          <w:b/>
          <w:i/>
          <w:sz w:val="20"/>
          <w:szCs w:val="20"/>
        </w:rPr>
        <w:t>Step 4 - Train IRP</w:t>
      </w:r>
      <w:r w:rsidRPr="00F1462B">
        <w:rPr>
          <w:rFonts w:ascii="Verdana" w:hAnsi="Verdana"/>
          <w:b/>
          <w:i/>
          <w:sz w:val="20"/>
          <w:szCs w:val="20"/>
        </w:rPr>
        <w:br/>
      </w:r>
      <w:r w:rsidRPr="00F1462B">
        <w:rPr>
          <w:rFonts w:ascii="Verdana" w:hAnsi="Verdana"/>
          <w:b/>
          <w:i/>
          <w:sz w:val="20"/>
          <w:szCs w:val="20"/>
        </w:rPr>
        <w:br/>
      </w:r>
      <w:r w:rsidR="00AA3F25" w:rsidRPr="00F1462B">
        <w:rPr>
          <w:rFonts w:ascii="Verdana" w:hAnsi="Verdana"/>
          <w:sz w:val="20"/>
          <w:szCs w:val="20"/>
        </w:rPr>
        <w:t xml:space="preserve">Training the IRP is a responsibility shared by the AQR and PMO. AQR provides </w:t>
      </w:r>
      <w:smartTag w:uri="urn:schemas-microsoft-com:office:smarttags" w:element="stockticker">
        <w:r w:rsidR="00AA3F25" w:rsidRPr="00F1462B">
          <w:rPr>
            <w:rFonts w:ascii="Verdana" w:hAnsi="Verdana"/>
            <w:sz w:val="20"/>
            <w:szCs w:val="20"/>
          </w:rPr>
          <w:t>TRA</w:t>
        </w:r>
      </w:smartTag>
      <w:r w:rsidR="00AA3F25" w:rsidRPr="00F1462B">
        <w:rPr>
          <w:rFonts w:ascii="Verdana" w:hAnsi="Verdana"/>
          <w:sz w:val="20"/>
          <w:szCs w:val="20"/>
        </w:rPr>
        <w:t xml:space="preserve"> process information, while the PMO provides a program description to include a potential list of technologies.</w:t>
      </w:r>
    </w:p>
    <w:p w:rsidR="00AA3F25" w:rsidRPr="00F1462B" w:rsidRDefault="00AA3F25" w:rsidP="00AA3F25">
      <w:pPr>
        <w:rPr>
          <w:rFonts w:ascii="Verdana" w:hAnsi="Verdana"/>
          <w:sz w:val="20"/>
          <w:szCs w:val="20"/>
        </w:rPr>
      </w:pPr>
      <w:r w:rsidRPr="00F1462B">
        <w:rPr>
          <w:rFonts w:ascii="Verdana" w:hAnsi="Verdana"/>
          <w:sz w:val="20"/>
          <w:szCs w:val="20"/>
        </w:rPr>
        <w:t>As a rule, it is best to have IRP convene at the PMO for briefings. This provides a good opportunity for the IRP to request artifacts (e.g. Work Breakdown Structure (WBS), Capabilities Development Document (CDD), trade studies, etc.) from PMO to initiate the assessment.</w:t>
      </w:r>
      <w:r w:rsidRPr="00F1462B">
        <w:rPr>
          <w:rFonts w:ascii="Verdana" w:hAnsi="Verdana"/>
          <w:sz w:val="20"/>
          <w:szCs w:val="20"/>
        </w:rPr>
        <w:br/>
      </w:r>
    </w:p>
    <w:p w:rsidR="00EE33E8" w:rsidRPr="00F1462B" w:rsidRDefault="00EE33E8" w:rsidP="00AA3F25">
      <w:pPr>
        <w:rPr>
          <w:rFonts w:ascii="Verdana" w:hAnsi="Verdana"/>
          <w:b/>
          <w:i/>
          <w:sz w:val="20"/>
          <w:szCs w:val="20"/>
        </w:rPr>
      </w:pPr>
    </w:p>
    <w:p w:rsidR="00AA3F25" w:rsidRPr="00F1462B" w:rsidRDefault="00AA3F25" w:rsidP="00AA3F25">
      <w:pPr>
        <w:rPr>
          <w:rFonts w:ascii="Verdana" w:hAnsi="Verdana"/>
          <w:sz w:val="20"/>
          <w:szCs w:val="20"/>
        </w:rPr>
      </w:pPr>
      <w:r w:rsidRPr="00F1462B">
        <w:rPr>
          <w:rFonts w:ascii="Verdana" w:hAnsi="Verdana"/>
          <w:b/>
          <w:i/>
          <w:sz w:val="20"/>
          <w:szCs w:val="20"/>
        </w:rPr>
        <w:t xml:space="preserve">Step 5 – Develop Candidate </w:t>
      </w:r>
      <w:smartTag w:uri="urn:schemas-microsoft-com:office:smarttags" w:element="stockticker">
        <w:r w:rsidRPr="00F1462B">
          <w:rPr>
            <w:rFonts w:ascii="Verdana" w:hAnsi="Verdana"/>
            <w:b/>
            <w:i/>
            <w:sz w:val="20"/>
            <w:szCs w:val="20"/>
          </w:rPr>
          <w:t>CTE</w:t>
        </w:r>
      </w:smartTag>
      <w:r w:rsidRPr="00F1462B">
        <w:rPr>
          <w:rFonts w:ascii="Verdana" w:hAnsi="Verdana"/>
          <w:b/>
          <w:i/>
          <w:sz w:val="20"/>
          <w:szCs w:val="20"/>
        </w:rPr>
        <w:t xml:space="preserve"> List</w:t>
      </w:r>
      <w:r w:rsidRPr="00F1462B">
        <w:rPr>
          <w:rFonts w:ascii="Verdana" w:hAnsi="Verdana"/>
          <w:b/>
          <w:i/>
          <w:sz w:val="20"/>
          <w:szCs w:val="20"/>
        </w:rPr>
        <w:br/>
      </w:r>
      <w:r w:rsidRPr="00F1462B">
        <w:rPr>
          <w:rFonts w:ascii="Verdana" w:hAnsi="Verdana"/>
          <w:b/>
          <w:i/>
          <w:sz w:val="20"/>
          <w:szCs w:val="20"/>
        </w:rPr>
        <w:br/>
      </w:r>
      <w:r w:rsidRPr="00F1462B">
        <w:rPr>
          <w:rFonts w:ascii="Verdana" w:hAnsi="Verdana"/>
          <w:sz w:val="20"/>
          <w:szCs w:val="20"/>
        </w:rPr>
        <w:t xml:space="preserve">PMO identifies a candidate </w:t>
      </w:r>
      <w:smartTag w:uri="urn:schemas-microsoft-com:office:smarttags" w:element="stockticker">
        <w:r w:rsidRPr="00F1462B">
          <w:rPr>
            <w:rFonts w:ascii="Verdana" w:hAnsi="Verdana"/>
            <w:sz w:val="20"/>
            <w:szCs w:val="20"/>
          </w:rPr>
          <w:t>CTE</w:t>
        </w:r>
      </w:smartTag>
      <w:r w:rsidRPr="00F1462B">
        <w:rPr>
          <w:rFonts w:ascii="Verdana" w:hAnsi="Verdana"/>
          <w:sz w:val="20"/>
          <w:szCs w:val="20"/>
        </w:rPr>
        <w:t xml:space="preserve"> list to include:</w:t>
      </w:r>
    </w:p>
    <w:p w:rsidR="00AA3F25" w:rsidRPr="00F1462B" w:rsidRDefault="00AA3F25" w:rsidP="00AA3F25">
      <w:pPr>
        <w:pStyle w:val="BESABulletedText"/>
        <w:rPr>
          <w:rFonts w:ascii="Verdana" w:hAnsi="Verdana"/>
          <w:szCs w:val="20"/>
        </w:rPr>
      </w:pPr>
      <w:r w:rsidRPr="00F1462B">
        <w:rPr>
          <w:rFonts w:ascii="Verdana" w:hAnsi="Verdana"/>
          <w:szCs w:val="20"/>
        </w:rPr>
        <w:t xml:space="preserve">Superset list of technologies by reviewing the WBS, system architecture, etc. This process should be thorough, disciplined, and inclusive. Any questionable technology should be identified as a possible </w:t>
      </w:r>
      <w:smartTag w:uri="urn:schemas-microsoft-com:office:smarttags" w:element="stockticker">
        <w:r w:rsidRPr="00F1462B">
          <w:rPr>
            <w:rFonts w:ascii="Verdana" w:hAnsi="Verdana"/>
            <w:szCs w:val="20"/>
          </w:rPr>
          <w:t>CTE</w:t>
        </w:r>
      </w:smartTag>
      <w:r w:rsidRPr="00F1462B">
        <w:rPr>
          <w:rFonts w:ascii="Verdana" w:hAnsi="Verdana"/>
          <w:szCs w:val="20"/>
        </w:rPr>
        <w:t>. For these questionable technologies, the information required to resolve their status should be also documented. The PM, the government program office staff, and the system contractors—the people best informed about the system—should lead the first step.</w:t>
      </w:r>
    </w:p>
    <w:p w:rsidR="00AA3F25" w:rsidRPr="00F1462B" w:rsidRDefault="00AA3F25" w:rsidP="00AA3F25">
      <w:pPr>
        <w:pStyle w:val="BESABulletedText"/>
        <w:rPr>
          <w:rFonts w:ascii="Verdana" w:hAnsi="Verdana"/>
          <w:szCs w:val="20"/>
        </w:rPr>
      </w:pPr>
      <w:r w:rsidRPr="00F1462B">
        <w:rPr>
          <w:rFonts w:ascii="Verdana" w:hAnsi="Verdana"/>
          <w:szCs w:val="20"/>
        </w:rPr>
        <w:t xml:space="preserve">Subset list of critical technologies by using the methodology defined in Appendix B of the </w:t>
      </w:r>
      <w:smartTag w:uri="urn:schemas-microsoft-com:office:smarttags" w:element="stockticker">
        <w:r w:rsidRPr="00F1462B">
          <w:rPr>
            <w:rFonts w:ascii="Verdana" w:hAnsi="Verdana"/>
            <w:szCs w:val="20"/>
          </w:rPr>
          <w:t>TRA</w:t>
        </w:r>
      </w:smartTag>
      <w:r w:rsidRPr="00F1462B">
        <w:rPr>
          <w:rFonts w:ascii="Verdana" w:hAnsi="Verdana"/>
          <w:szCs w:val="20"/>
        </w:rPr>
        <w:t xml:space="preserve"> </w:t>
      </w:r>
      <w:proofErr w:type="spellStart"/>
      <w:r w:rsidRPr="00F1462B">
        <w:rPr>
          <w:rFonts w:ascii="Verdana" w:hAnsi="Verdana"/>
          <w:szCs w:val="20"/>
        </w:rPr>
        <w:t>Deskbook</w:t>
      </w:r>
      <w:proofErr w:type="spellEnd"/>
      <w:r w:rsidRPr="00F1462B">
        <w:rPr>
          <w:rFonts w:ascii="Verdana" w:hAnsi="Verdana"/>
          <w:szCs w:val="20"/>
        </w:rPr>
        <w:t>, Section B.3.1. The development of this list is the responsibility of an Independent Review Team (</w:t>
      </w:r>
      <w:smartTag w:uri="urn:schemas-microsoft-com:office:smarttags" w:element="stockticker">
        <w:r w:rsidRPr="00F1462B">
          <w:rPr>
            <w:rFonts w:ascii="Verdana" w:hAnsi="Verdana"/>
            <w:szCs w:val="20"/>
          </w:rPr>
          <w:t>IRT</w:t>
        </w:r>
      </w:smartTag>
      <w:r w:rsidRPr="00F1462B">
        <w:rPr>
          <w:rFonts w:ascii="Verdana" w:hAnsi="Verdana"/>
          <w:szCs w:val="20"/>
        </w:rPr>
        <w:t xml:space="preserve">) of subject matter experts (SMEs) convened by the Component Science and Technology (S&amp;T) Executive. In this step, the </w:t>
      </w:r>
      <w:smartTag w:uri="urn:schemas-microsoft-com:office:smarttags" w:element="stockticker">
        <w:r w:rsidRPr="00F1462B">
          <w:rPr>
            <w:rFonts w:ascii="Verdana" w:hAnsi="Verdana"/>
            <w:szCs w:val="20"/>
          </w:rPr>
          <w:t>IRT</w:t>
        </w:r>
      </w:smartTag>
      <w:r w:rsidRPr="00F1462B">
        <w:rPr>
          <w:rFonts w:ascii="Verdana" w:hAnsi="Verdana"/>
          <w:szCs w:val="20"/>
        </w:rPr>
        <w:t xml:space="preserve">, in conjunction with the program office, resolves any issues generated in the development of the initial </w:t>
      </w:r>
      <w:smartTag w:uri="urn:schemas-microsoft-com:office:smarttags" w:element="stockticker">
        <w:r w:rsidRPr="00F1462B">
          <w:rPr>
            <w:rFonts w:ascii="Verdana" w:hAnsi="Verdana"/>
            <w:szCs w:val="20"/>
          </w:rPr>
          <w:t>CTE</w:t>
        </w:r>
      </w:smartTag>
      <w:r w:rsidRPr="00F1462B">
        <w:rPr>
          <w:rFonts w:ascii="Verdana" w:hAnsi="Verdana"/>
          <w:szCs w:val="20"/>
        </w:rPr>
        <w:t xml:space="preserve"> list. The </w:t>
      </w:r>
      <w:smartTag w:uri="urn:schemas-microsoft-com:office:smarttags" w:element="stockticker">
        <w:r w:rsidRPr="00F1462B">
          <w:rPr>
            <w:rFonts w:ascii="Verdana" w:hAnsi="Verdana"/>
            <w:szCs w:val="20"/>
          </w:rPr>
          <w:t>IRT</w:t>
        </w:r>
      </w:smartTag>
      <w:r w:rsidRPr="00F1462B">
        <w:rPr>
          <w:rFonts w:ascii="Verdana" w:hAnsi="Verdana"/>
          <w:szCs w:val="20"/>
        </w:rPr>
        <w:t xml:space="preserve"> can also make additions and deletions to the initial list. The Director, Research Directorate (</w:t>
      </w:r>
      <w:smartTag w:uri="urn:schemas-microsoft-com:office:smarttags" w:element="stockticker">
        <w:r w:rsidRPr="00F1462B">
          <w:rPr>
            <w:rFonts w:ascii="Verdana" w:hAnsi="Verdana"/>
            <w:szCs w:val="20"/>
          </w:rPr>
          <w:t>DRD</w:t>
        </w:r>
      </w:smartTag>
      <w:r w:rsidRPr="00F1462B">
        <w:rPr>
          <w:rFonts w:ascii="Verdana" w:hAnsi="Verdana"/>
          <w:szCs w:val="20"/>
        </w:rPr>
        <w:t xml:space="preserve">) should also review the candidate list and provide necessary changes. Additions to the list may include any technologies that warrant the rigor of the formal </w:t>
      </w:r>
      <w:smartTag w:uri="urn:schemas-microsoft-com:office:smarttags" w:element="stockticker">
        <w:r w:rsidRPr="00F1462B">
          <w:rPr>
            <w:rFonts w:ascii="Verdana" w:hAnsi="Verdana"/>
            <w:szCs w:val="20"/>
          </w:rPr>
          <w:t>TRA</w:t>
        </w:r>
      </w:smartTag>
      <w:r w:rsidRPr="00F1462B">
        <w:rPr>
          <w:rFonts w:ascii="Verdana" w:hAnsi="Verdana"/>
          <w:szCs w:val="20"/>
        </w:rPr>
        <w:t xml:space="preserve"> process.</w:t>
      </w:r>
    </w:p>
    <w:p w:rsidR="00AA3F25" w:rsidRPr="00F1462B" w:rsidRDefault="00AA3F25" w:rsidP="00AA3F25">
      <w:pPr>
        <w:rPr>
          <w:rFonts w:ascii="Verdana" w:hAnsi="Verdana"/>
          <w:sz w:val="20"/>
          <w:szCs w:val="20"/>
        </w:rPr>
      </w:pPr>
      <w:r w:rsidRPr="00F1462B">
        <w:rPr>
          <w:rFonts w:ascii="Verdana" w:hAnsi="Verdana"/>
          <w:sz w:val="20"/>
          <w:szCs w:val="20"/>
        </w:rPr>
        <w:t>The PMO then submits the candidate list of CTEs to the IRP and AQR.</w:t>
      </w:r>
    </w:p>
    <w:p w:rsidR="00AA3F25" w:rsidRPr="00F1462B" w:rsidRDefault="00AA3F25" w:rsidP="00AA3F25">
      <w:pPr>
        <w:rPr>
          <w:rFonts w:ascii="Verdana" w:hAnsi="Verdana"/>
          <w:sz w:val="20"/>
          <w:szCs w:val="20"/>
        </w:rPr>
      </w:pPr>
    </w:p>
    <w:p w:rsidR="00EE33E8" w:rsidRPr="00F1462B" w:rsidRDefault="00EE33E8" w:rsidP="00AA3F25">
      <w:pPr>
        <w:rPr>
          <w:rFonts w:ascii="Verdana" w:hAnsi="Verdana"/>
          <w:sz w:val="20"/>
          <w:szCs w:val="20"/>
        </w:rPr>
      </w:pPr>
    </w:p>
    <w:p w:rsidR="00EE33E8" w:rsidRPr="00F1462B" w:rsidRDefault="00EE33E8" w:rsidP="00EE33E8">
      <w:pPr>
        <w:rPr>
          <w:rFonts w:ascii="Verdana" w:hAnsi="Verdana"/>
          <w:sz w:val="20"/>
          <w:szCs w:val="20"/>
        </w:rPr>
      </w:pPr>
      <w:r w:rsidRPr="00F1462B">
        <w:rPr>
          <w:rFonts w:ascii="Verdana" w:hAnsi="Verdana"/>
          <w:b/>
          <w:i/>
          <w:sz w:val="20"/>
          <w:szCs w:val="20"/>
        </w:rPr>
        <w:t xml:space="preserve">Step 6 - Finalize </w:t>
      </w:r>
      <w:smartTag w:uri="urn:schemas-microsoft-com:office:smarttags" w:element="stockticker">
        <w:r w:rsidRPr="00F1462B">
          <w:rPr>
            <w:rFonts w:ascii="Verdana" w:hAnsi="Verdana"/>
            <w:b/>
            <w:i/>
            <w:sz w:val="20"/>
            <w:szCs w:val="20"/>
          </w:rPr>
          <w:t>CTE</w:t>
        </w:r>
      </w:smartTag>
      <w:r w:rsidRPr="00F1462B">
        <w:rPr>
          <w:rFonts w:ascii="Verdana" w:hAnsi="Verdana"/>
          <w:b/>
          <w:i/>
          <w:sz w:val="20"/>
          <w:szCs w:val="20"/>
        </w:rPr>
        <w:t xml:space="preserve"> List</w:t>
      </w:r>
      <w:r w:rsidRPr="00F1462B">
        <w:rPr>
          <w:rFonts w:ascii="Verdana" w:hAnsi="Verdana"/>
          <w:b/>
          <w:i/>
          <w:sz w:val="20"/>
          <w:szCs w:val="20"/>
        </w:rPr>
        <w:br/>
      </w:r>
      <w:r w:rsidRPr="00F1462B">
        <w:rPr>
          <w:rFonts w:ascii="Verdana" w:hAnsi="Verdana"/>
          <w:b/>
          <w:i/>
          <w:sz w:val="20"/>
          <w:szCs w:val="20"/>
        </w:rPr>
        <w:br/>
      </w:r>
      <w:r w:rsidRPr="00F1462B">
        <w:rPr>
          <w:rFonts w:ascii="Verdana" w:hAnsi="Verdana"/>
          <w:sz w:val="20"/>
          <w:szCs w:val="20"/>
        </w:rPr>
        <w:t xml:space="preserve">IRP reviews the candidate </w:t>
      </w:r>
      <w:smartTag w:uri="urn:schemas-microsoft-com:office:smarttags" w:element="stockticker">
        <w:r w:rsidRPr="00F1462B">
          <w:rPr>
            <w:rFonts w:ascii="Verdana" w:hAnsi="Verdana"/>
            <w:sz w:val="20"/>
            <w:szCs w:val="20"/>
          </w:rPr>
          <w:t>CTE</w:t>
        </w:r>
      </w:smartTag>
      <w:r w:rsidRPr="00F1462B">
        <w:rPr>
          <w:rFonts w:ascii="Verdana" w:hAnsi="Verdana"/>
          <w:sz w:val="20"/>
          <w:szCs w:val="20"/>
        </w:rPr>
        <w:t xml:space="preserve"> list then recommends to AQR the final </w:t>
      </w:r>
      <w:smartTag w:uri="urn:schemas-microsoft-com:office:smarttags" w:element="stockticker">
        <w:r w:rsidRPr="00F1462B">
          <w:rPr>
            <w:rFonts w:ascii="Verdana" w:hAnsi="Verdana"/>
            <w:sz w:val="20"/>
            <w:szCs w:val="20"/>
          </w:rPr>
          <w:t>CTE</w:t>
        </w:r>
      </w:smartTag>
      <w:r w:rsidRPr="00F1462B">
        <w:rPr>
          <w:rFonts w:ascii="Verdana" w:hAnsi="Verdana"/>
          <w:sz w:val="20"/>
          <w:szCs w:val="20"/>
        </w:rPr>
        <w:t xml:space="preserve"> list to be assessed.</w:t>
      </w:r>
    </w:p>
    <w:p w:rsidR="00EE33E8" w:rsidRPr="00F1462B" w:rsidRDefault="00EE33E8" w:rsidP="00EE33E8">
      <w:pPr>
        <w:rPr>
          <w:rFonts w:ascii="Verdana" w:hAnsi="Verdana"/>
          <w:sz w:val="20"/>
          <w:szCs w:val="20"/>
        </w:rPr>
      </w:pPr>
      <w:r w:rsidRPr="00F1462B">
        <w:rPr>
          <w:rFonts w:ascii="Verdana" w:hAnsi="Verdana"/>
          <w:sz w:val="20"/>
          <w:szCs w:val="20"/>
        </w:rPr>
        <w:t xml:space="preserve">SAF / AQR modifies the list as necessary and approves the final </w:t>
      </w:r>
      <w:smartTag w:uri="urn:schemas-microsoft-com:office:smarttags" w:element="stockticker">
        <w:r w:rsidRPr="00F1462B">
          <w:rPr>
            <w:rFonts w:ascii="Verdana" w:hAnsi="Verdana"/>
            <w:sz w:val="20"/>
            <w:szCs w:val="20"/>
          </w:rPr>
          <w:t>CTE</w:t>
        </w:r>
      </w:smartTag>
      <w:r w:rsidRPr="00F1462B">
        <w:rPr>
          <w:rFonts w:ascii="Verdana" w:hAnsi="Verdana"/>
          <w:sz w:val="20"/>
          <w:szCs w:val="20"/>
        </w:rPr>
        <w:t xml:space="preserve"> list, then coordinates CTEs with Deputy Under Secretary of Defense for Science and Technology [DUSD(S&amp;T)] for DAE programs.</w:t>
      </w:r>
    </w:p>
    <w:p w:rsidR="00EE33E8" w:rsidRPr="00F1462B" w:rsidRDefault="00EE33E8" w:rsidP="00EE33E8">
      <w:pPr>
        <w:rPr>
          <w:rFonts w:ascii="Verdana" w:hAnsi="Verdana"/>
          <w:sz w:val="20"/>
          <w:szCs w:val="20"/>
        </w:rPr>
      </w:pPr>
    </w:p>
    <w:p w:rsidR="00EE33E8" w:rsidRPr="00F1462B" w:rsidRDefault="00EE33E8" w:rsidP="00EE33E8">
      <w:pPr>
        <w:rPr>
          <w:rFonts w:ascii="Verdana" w:hAnsi="Verdana"/>
          <w:sz w:val="20"/>
          <w:szCs w:val="20"/>
        </w:rPr>
      </w:pPr>
    </w:p>
    <w:p w:rsidR="00EE33E8" w:rsidRPr="00F1462B" w:rsidRDefault="00EE33E8" w:rsidP="00EE33E8">
      <w:pPr>
        <w:rPr>
          <w:rFonts w:ascii="Verdana" w:hAnsi="Verdana"/>
          <w:i/>
          <w:sz w:val="20"/>
          <w:szCs w:val="20"/>
        </w:rPr>
      </w:pPr>
      <w:r w:rsidRPr="00F1462B">
        <w:rPr>
          <w:rFonts w:ascii="Verdana" w:hAnsi="Verdana"/>
          <w:b/>
          <w:i/>
          <w:sz w:val="20"/>
          <w:szCs w:val="20"/>
        </w:rPr>
        <w:t>Step 7 - Collect Data</w:t>
      </w:r>
    </w:p>
    <w:p w:rsidR="00EE33E8" w:rsidRPr="00F1462B" w:rsidRDefault="00EE33E8" w:rsidP="00EE33E8">
      <w:pPr>
        <w:rPr>
          <w:rFonts w:ascii="Verdana" w:hAnsi="Verdana"/>
          <w:sz w:val="20"/>
          <w:szCs w:val="20"/>
        </w:rPr>
      </w:pPr>
    </w:p>
    <w:p w:rsidR="00EE33E8" w:rsidRPr="00F1462B" w:rsidRDefault="00EE33E8" w:rsidP="00EE33E8">
      <w:pPr>
        <w:rPr>
          <w:rFonts w:ascii="Verdana" w:hAnsi="Verdana"/>
          <w:sz w:val="20"/>
          <w:szCs w:val="20"/>
        </w:rPr>
      </w:pPr>
      <w:r w:rsidRPr="00F1462B">
        <w:rPr>
          <w:rFonts w:ascii="Verdana" w:hAnsi="Verdana"/>
          <w:sz w:val="20"/>
          <w:szCs w:val="20"/>
        </w:rPr>
        <w:t xml:space="preserve">Next, the PMO collects and provides data for the IRP to use in assessing </w:t>
      </w:r>
      <w:smartTag w:uri="urn:schemas-microsoft-com:office:smarttags" w:element="stockticker">
        <w:r w:rsidRPr="00F1462B">
          <w:rPr>
            <w:rFonts w:ascii="Verdana" w:hAnsi="Verdana"/>
            <w:sz w:val="20"/>
            <w:szCs w:val="20"/>
          </w:rPr>
          <w:t>CTE</w:t>
        </w:r>
      </w:smartTag>
      <w:r w:rsidRPr="00F1462B">
        <w:rPr>
          <w:rFonts w:ascii="Verdana" w:hAnsi="Verdana"/>
          <w:sz w:val="20"/>
          <w:szCs w:val="20"/>
        </w:rPr>
        <w:t xml:space="preserve"> maturity.  The data should include detailed results from test or demonstrations. The burden of proof is on the PMO to provide evidence that a </w:t>
      </w:r>
      <w:smartTag w:uri="urn:schemas-microsoft-com:office:smarttags" w:element="stockticker">
        <w:r w:rsidRPr="00F1462B">
          <w:rPr>
            <w:rFonts w:ascii="Verdana" w:hAnsi="Verdana"/>
            <w:sz w:val="20"/>
            <w:szCs w:val="20"/>
          </w:rPr>
          <w:t>CTE</w:t>
        </w:r>
      </w:smartTag>
      <w:r w:rsidRPr="00F1462B">
        <w:rPr>
          <w:rFonts w:ascii="Verdana" w:hAnsi="Verdana"/>
          <w:sz w:val="20"/>
          <w:szCs w:val="20"/>
        </w:rPr>
        <w:t xml:space="preserve"> has been successfully demonstrated.</w:t>
      </w:r>
    </w:p>
    <w:p w:rsidR="00EE33E8" w:rsidRPr="00F1462B" w:rsidRDefault="00EE33E8" w:rsidP="00EE33E8">
      <w:pPr>
        <w:rPr>
          <w:rFonts w:ascii="Verdana" w:hAnsi="Verdana"/>
          <w:sz w:val="20"/>
          <w:szCs w:val="20"/>
        </w:rPr>
      </w:pPr>
    </w:p>
    <w:p w:rsidR="00EE33E8" w:rsidRPr="00F1462B" w:rsidRDefault="00EE33E8" w:rsidP="00EE33E8">
      <w:pPr>
        <w:rPr>
          <w:rFonts w:ascii="Verdana" w:hAnsi="Verdana"/>
          <w:sz w:val="20"/>
          <w:szCs w:val="20"/>
        </w:rPr>
      </w:pPr>
      <w:r w:rsidRPr="00F1462B">
        <w:rPr>
          <w:rFonts w:ascii="Verdana" w:hAnsi="Verdana"/>
          <w:sz w:val="20"/>
          <w:szCs w:val="20"/>
        </w:rPr>
        <w:t>The PMO must provide documentation to the IRP well in advance of the formal assessment to support a timely review.</w:t>
      </w:r>
    </w:p>
    <w:p w:rsidR="00EE33E8" w:rsidRPr="00F1462B" w:rsidRDefault="00EE33E8" w:rsidP="00EE33E8">
      <w:pPr>
        <w:rPr>
          <w:rFonts w:ascii="Verdana" w:hAnsi="Verdana"/>
          <w:sz w:val="20"/>
          <w:szCs w:val="20"/>
        </w:rPr>
      </w:pPr>
    </w:p>
    <w:p w:rsidR="00EE33E8" w:rsidRPr="00F1462B" w:rsidRDefault="00EE33E8" w:rsidP="00EE33E8">
      <w:pPr>
        <w:rPr>
          <w:rFonts w:ascii="Verdana" w:hAnsi="Verdana"/>
          <w:sz w:val="20"/>
          <w:szCs w:val="20"/>
        </w:rPr>
      </w:pPr>
    </w:p>
    <w:p w:rsidR="00EE33E8" w:rsidRPr="00F1462B" w:rsidRDefault="00EE33E8" w:rsidP="00EE33E8">
      <w:pPr>
        <w:rPr>
          <w:rFonts w:ascii="Verdana" w:hAnsi="Verdana"/>
          <w:sz w:val="20"/>
          <w:szCs w:val="20"/>
        </w:rPr>
      </w:pPr>
      <w:r w:rsidRPr="00F1462B">
        <w:rPr>
          <w:rFonts w:ascii="Verdana" w:hAnsi="Verdana"/>
          <w:b/>
          <w:i/>
          <w:sz w:val="20"/>
          <w:szCs w:val="20"/>
        </w:rPr>
        <w:t>Step 8 - Perform Assessment</w:t>
      </w:r>
      <w:r w:rsidRPr="00F1462B">
        <w:rPr>
          <w:rFonts w:ascii="Verdana" w:hAnsi="Verdana"/>
          <w:b/>
          <w:i/>
          <w:sz w:val="20"/>
          <w:szCs w:val="20"/>
        </w:rPr>
        <w:br/>
      </w:r>
      <w:r w:rsidRPr="00F1462B">
        <w:rPr>
          <w:rFonts w:ascii="Verdana" w:hAnsi="Verdana"/>
          <w:b/>
          <w:i/>
          <w:sz w:val="20"/>
          <w:szCs w:val="20"/>
        </w:rPr>
        <w:br/>
      </w:r>
      <w:proofErr w:type="gramStart"/>
      <w:r w:rsidRPr="00F1462B">
        <w:rPr>
          <w:rFonts w:ascii="Verdana" w:hAnsi="Verdana"/>
          <w:sz w:val="20"/>
          <w:szCs w:val="20"/>
        </w:rPr>
        <w:t>The</w:t>
      </w:r>
      <w:proofErr w:type="gramEnd"/>
      <w:r w:rsidRPr="00F1462B">
        <w:rPr>
          <w:rFonts w:ascii="Verdana" w:hAnsi="Verdana"/>
          <w:sz w:val="20"/>
          <w:szCs w:val="20"/>
        </w:rPr>
        <w:t xml:space="preserve"> IRP performs the assessment by reviewing data / artifacts to determine a TRL for each </w:t>
      </w:r>
      <w:smartTag w:uri="urn:schemas-microsoft-com:office:smarttags" w:element="stockticker">
        <w:r w:rsidRPr="00F1462B">
          <w:rPr>
            <w:rFonts w:ascii="Verdana" w:hAnsi="Verdana"/>
            <w:sz w:val="20"/>
            <w:szCs w:val="20"/>
          </w:rPr>
          <w:t>CTE</w:t>
        </w:r>
      </w:smartTag>
      <w:r w:rsidRPr="00F1462B">
        <w:rPr>
          <w:rFonts w:ascii="Verdana" w:hAnsi="Verdana"/>
          <w:sz w:val="20"/>
          <w:szCs w:val="20"/>
        </w:rPr>
        <w:t>, then documents their rationale and overall conclusion. IRP may consult SMEs to augment the their existing skill set</w:t>
      </w:r>
    </w:p>
    <w:p w:rsidR="00EE33E8" w:rsidRPr="00F1462B" w:rsidRDefault="00EE33E8" w:rsidP="00EE33E8">
      <w:pPr>
        <w:pStyle w:val="BESAScreenText"/>
        <w:autoSpaceDE w:val="0"/>
        <w:autoSpaceDN w:val="0"/>
        <w:adjustRightInd w:val="0"/>
        <w:rPr>
          <w:rFonts w:ascii="Verdana" w:hAnsi="Verdana"/>
          <w:szCs w:val="20"/>
        </w:rPr>
      </w:pPr>
      <w:r w:rsidRPr="00F1462B">
        <w:rPr>
          <w:rFonts w:ascii="Verdana" w:hAnsi="Verdana"/>
          <w:szCs w:val="20"/>
        </w:rPr>
        <w:t>The IRP prepares their score in a closed door session with attendance limited to IRP members and SAF / AQR points of contact (POCs).  A copy of each team member's score sheets is provided to the IRP Lead and to SAF / AQR.</w:t>
      </w:r>
    </w:p>
    <w:p w:rsidR="00EE33E8" w:rsidRPr="00F1462B" w:rsidRDefault="00EE33E8" w:rsidP="00EE33E8">
      <w:pPr>
        <w:pStyle w:val="BESAScreenText"/>
        <w:autoSpaceDE w:val="0"/>
        <w:autoSpaceDN w:val="0"/>
        <w:adjustRightInd w:val="0"/>
        <w:rPr>
          <w:rFonts w:ascii="Verdana" w:hAnsi="Verdana"/>
          <w:szCs w:val="20"/>
        </w:rPr>
      </w:pPr>
      <w:r w:rsidRPr="00F1462B">
        <w:rPr>
          <w:rFonts w:ascii="Verdana" w:hAnsi="Verdana"/>
          <w:szCs w:val="20"/>
        </w:rPr>
        <w:t>During the scoring, the IRP Lead strives for TRL consensus, which is dependent upon completeness of artifacts and IRP discussion.  A lack of consensus may necessitate AQR intervention.</w:t>
      </w:r>
    </w:p>
    <w:p w:rsidR="00EE33E8" w:rsidRPr="00F1462B" w:rsidRDefault="00EE33E8" w:rsidP="00EE33E8">
      <w:pPr>
        <w:rPr>
          <w:rFonts w:ascii="Verdana" w:hAnsi="Verdana"/>
          <w:sz w:val="20"/>
          <w:szCs w:val="20"/>
        </w:rPr>
      </w:pPr>
      <w:r w:rsidRPr="00F1462B">
        <w:rPr>
          <w:rFonts w:ascii="Verdana" w:hAnsi="Verdana"/>
          <w:sz w:val="20"/>
          <w:szCs w:val="20"/>
        </w:rPr>
        <w:t>The IRP provides opportunity for PMO feedback on any CTEs requiring TMPs. PMO provides the facility for IRP assessment and verifies facility and attendees are cleared to handle classification level of data presented / discussed.</w:t>
      </w:r>
    </w:p>
    <w:p w:rsidR="00EE33E8" w:rsidRPr="00F1462B" w:rsidRDefault="00EE33E8" w:rsidP="00EE33E8">
      <w:pPr>
        <w:rPr>
          <w:rFonts w:ascii="Verdana" w:hAnsi="Verdana"/>
          <w:sz w:val="20"/>
          <w:szCs w:val="20"/>
        </w:rPr>
      </w:pPr>
    </w:p>
    <w:p w:rsidR="00EE33E8" w:rsidRPr="00F1462B" w:rsidRDefault="00EE33E8" w:rsidP="00EE33E8">
      <w:pPr>
        <w:rPr>
          <w:rFonts w:ascii="Verdana" w:hAnsi="Verdana"/>
          <w:sz w:val="20"/>
          <w:szCs w:val="20"/>
        </w:rPr>
      </w:pPr>
    </w:p>
    <w:p w:rsidR="00EE33E8" w:rsidRPr="00F1462B" w:rsidRDefault="00EE33E8" w:rsidP="00EE33E8">
      <w:pPr>
        <w:rPr>
          <w:rFonts w:ascii="Verdana" w:hAnsi="Verdana"/>
          <w:i/>
          <w:sz w:val="20"/>
          <w:szCs w:val="20"/>
        </w:rPr>
      </w:pPr>
      <w:r w:rsidRPr="00F1462B">
        <w:rPr>
          <w:rFonts w:ascii="Verdana" w:hAnsi="Verdana"/>
          <w:b/>
          <w:i/>
          <w:sz w:val="20"/>
          <w:szCs w:val="20"/>
        </w:rPr>
        <w:t>Step 9 - Document TRA</w:t>
      </w:r>
    </w:p>
    <w:p w:rsidR="00EE33E8" w:rsidRPr="00F1462B" w:rsidRDefault="00EE33E8" w:rsidP="00EE33E8">
      <w:pPr>
        <w:rPr>
          <w:rFonts w:ascii="Verdana" w:hAnsi="Verdana"/>
          <w:sz w:val="20"/>
          <w:szCs w:val="20"/>
        </w:rPr>
      </w:pPr>
    </w:p>
    <w:p w:rsidR="00EE33E8" w:rsidRPr="00F1462B" w:rsidRDefault="00EE33E8" w:rsidP="00EE33E8">
      <w:pPr>
        <w:pStyle w:val="BESAScreenText"/>
        <w:autoSpaceDE w:val="0"/>
        <w:autoSpaceDN w:val="0"/>
        <w:adjustRightInd w:val="0"/>
        <w:rPr>
          <w:rFonts w:ascii="Verdana" w:hAnsi="Verdana"/>
          <w:szCs w:val="20"/>
        </w:rPr>
      </w:pPr>
      <w:r w:rsidRPr="00F1462B">
        <w:rPr>
          <w:rFonts w:ascii="Verdana" w:hAnsi="Verdana"/>
          <w:szCs w:val="20"/>
        </w:rPr>
        <w:t xml:space="preserve">IRP documents its assessment in accordance with </w:t>
      </w:r>
      <w:smartTag w:uri="urn:schemas-microsoft-com:office:smarttags" w:element="stockticker">
        <w:r w:rsidRPr="00F1462B">
          <w:rPr>
            <w:rFonts w:ascii="Verdana" w:hAnsi="Verdana"/>
            <w:szCs w:val="20"/>
          </w:rPr>
          <w:t>TRA</w:t>
        </w:r>
      </w:smartTag>
      <w:r w:rsidRPr="00F1462B">
        <w:rPr>
          <w:rFonts w:ascii="Verdana" w:hAnsi="Verdana"/>
          <w:szCs w:val="20"/>
        </w:rPr>
        <w:t xml:space="preserve"> </w:t>
      </w:r>
      <w:proofErr w:type="spellStart"/>
      <w:r w:rsidRPr="00F1462B">
        <w:rPr>
          <w:rFonts w:ascii="Verdana" w:hAnsi="Verdana"/>
          <w:szCs w:val="20"/>
        </w:rPr>
        <w:t>Deskbook</w:t>
      </w:r>
      <w:proofErr w:type="spellEnd"/>
      <w:r w:rsidRPr="00F1462B">
        <w:rPr>
          <w:rFonts w:ascii="Verdana" w:hAnsi="Verdana"/>
          <w:szCs w:val="20"/>
        </w:rPr>
        <w:t xml:space="preserve"> Section 3.</w:t>
      </w:r>
    </w:p>
    <w:p w:rsidR="00EE33E8" w:rsidRPr="00F1462B" w:rsidRDefault="00EE33E8" w:rsidP="00EE33E8">
      <w:pPr>
        <w:pStyle w:val="BESAScreenText"/>
        <w:autoSpaceDE w:val="0"/>
        <w:autoSpaceDN w:val="0"/>
        <w:adjustRightInd w:val="0"/>
        <w:rPr>
          <w:rFonts w:ascii="Verdana" w:hAnsi="Verdana"/>
          <w:szCs w:val="20"/>
        </w:rPr>
      </w:pPr>
      <w:r w:rsidRPr="00F1462B">
        <w:rPr>
          <w:rFonts w:ascii="Verdana" w:hAnsi="Verdana"/>
          <w:szCs w:val="20"/>
        </w:rPr>
        <w:t xml:space="preserve">The IRP Lead submits the assessment to the PMO with a copy to AQR. The PMO then builds the </w:t>
      </w:r>
      <w:smartTag w:uri="urn:schemas-microsoft-com:office:smarttags" w:element="stockticker">
        <w:r w:rsidRPr="00F1462B">
          <w:rPr>
            <w:rFonts w:ascii="Verdana" w:hAnsi="Verdana"/>
            <w:szCs w:val="20"/>
          </w:rPr>
          <w:t>TRA</w:t>
        </w:r>
      </w:smartTag>
      <w:r w:rsidRPr="00F1462B">
        <w:rPr>
          <w:rFonts w:ascii="Verdana" w:hAnsi="Verdana"/>
          <w:szCs w:val="20"/>
        </w:rPr>
        <w:t xml:space="preserve"> final document around the IRP’s assessment using the template in Section 4 of the </w:t>
      </w:r>
      <w:smartTag w:uri="urn:schemas-microsoft-com:office:smarttags" w:element="stockticker">
        <w:r w:rsidRPr="00F1462B">
          <w:rPr>
            <w:rFonts w:ascii="Verdana" w:hAnsi="Verdana"/>
            <w:szCs w:val="20"/>
          </w:rPr>
          <w:t>TRA</w:t>
        </w:r>
      </w:smartTag>
      <w:r w:rsidRPr="00F1462B">
        <w:rPr>
          <w:rFonts w:ascii="Verdana" w:hAnsi="Verdana"/>
          <w:szCs w:val="20"/>
        </w:rPr>
        <w:t xml:space="preserve"> </w:t>
      </w:r>
      <w:proofErr w:type="spellStart"/>
      <w:r w:rsidRPr="00F1462B">
        <w:rPr>
          <w:rFonts w:ascii="Verdana" w:hAnsi="Verdana"/>
          <w:szCs w:val="20"/>
        </w:rPr>
        <w:t>Deskbook</w:t>
      </w:r>
      <w:proofErr w:type="spellEnd"/>
      <w:r w:rsidRPr="00F1462B">
        <w:rPr>
          <w:rFonts w:ascii="Verdana" w:hAnsi="Verdana"/>
          <w:szCs w:val="20"/>
        </w:rPr>
        <w:t>.</w:t>
      </w:r>
    </w:p>
    <w:p w:rsidR="00EE33E8" w:rsidRPr="00F1462B" w:rsidRDefault="00EE33E8" w:rsidP="00EE33E8">
      <w:pPr>
        <w:rPr>
          <w:rFonts w:ascii="Verdana" w:hAnsi="Verdana"/>
          <w:sz w:val="20"/>
          <w:szCs w:val="20"/>
        </w:rPr>
      </w:pPr>
      <w:r w:rsidRPr="00F1462B">
        <w:rPr>
          <w:rFonts w:ascii="Verdana" w:hAnsi="Verdana"/>
          <w:sz w:val="20"/>
          <w:szCs w:val="20"/>
        </w:rPr>
        <w:t xml:space="preserve">The PMO (CE / Tech Director) and IRP Lead sign </w:t>
      </w:r>
      <w:smartTag w:uri="urn:schemas-microsoft-com:office:smarttags" w:element="stockticker">
        <w:r w:rsidRPr="00F1462B">
          <w:rPr>
            <w:rFonts w:ascii="Verdana" w:hAnsi="Verdana"/>
            <w:sz w:val="20"/>
            <w:szCs w:val="20"/>
          </w:rPr>
          <w:t>TRA</w:t>
        </w:r>
      </w:smartTag>
      <w:r w:rsidRPr="00F1462B">
        <w:rPr>
          <w:rFonts w:ascii="Verdana" w:hAnsi="Verdana"/>
          <w:sz w:val="20"/>
          <w:szCs w:val="20"/>
        </w:rPr>
        <w:t xml:space="preserve"> final document.</w:t>
      </w:r>
    </w:p>
    <w:p w:rsidR="00EE33E8" w:rsidRPr="00F1462B" w:rsidRDefault="00EE33E8" w:rsidP="00EE33E8">
      <w:pPr>
        <w:rPr>
          <w:rFonts w:ascii="Verdana" w:hAnsi="Verdana"/>
          <w:sz w:val="20"/>
          <w:szCs w:val="20"/>
        </w:rPr>
      </w:pPr>
    </w:p>
    <w:p w:rsidR="00EE33E8" w:rsidRPr="00F1462B" w:rsidRDefault="00EE33E8" w:rsidP="00EE33E8">
      <w:pPr>
        <w:rPr>
          <w:rFonts w:ascii="Verdana" w:hAnsi="Verdana"/>
          <w:sz w:val="20"/>
          <w:szCs w:val="20"/>
        </w:rPr>
      </w:pPr>
    </w:p>
    <w:p w:rsidR="00EE33E8" w:rsidRPr="00F1462B" w:rsidRDefault="00EE33E8" w:rsidP="00EE33E8">
      <w:pPr>
        <w:rPr>
          <w:rFonts w:ascii="Verdana" w:hAnsi="Verdana"/>
          <w:i/>
          <w:sz w:val="20"/>
          <w:szCs w:val="20"/>
        </w:rPr>
      </w:pPr>
      <w:r w:rsidRPr="00F1462B">
        <w:rPr>
          <w:rFonts w:ascii="Verdana" w:hAnsi="Verdana"/>
          <w:b/>
          <w:i/>
          <w:sz w:val="20"/>
          <w:szCs w:val="20"/>
        </w:rPr>
        <w:t>Step 10 - Staff TRA</w:t>
      </w:r>
    </w:p>
    <w:p w:rsidR="00EE33E8" w:rsidRPr="00F1462B" w:rsidRDefault="00EE33E8" w:rsidP="00EE33E8">
      <w:pPr>
        <w:rPr>
          <w:rFonts w:ascii="Verdana" w:hAnsi="Verdana"/>
          <w:sz w:val="20"/>
          <w:szCs w:val="20"/>
        </w:rPr>
      </w:pPr>
    </w:p>
    <w:p w:rsidR="00EE33E8" w:rsidRPr="00F1462B" w:rsidRDefault="00EE33E8" w:rsidP="00EE33E8">
      <w:pPr>
        <w:pStyle w:val="BESAScreenText"/>
        <w:autoSpaceDE w:val="0"/>
        <w:autoSpaceDN w:val="0"/>
        <w:adjustRightInd w:val="0"/>
        <w:rPr>
          <w:rFonts w:ascii="Verdana" w:hAnsi="Verdana"/>
          <w:szCs w:val="20"/>
        </w:rPr>
      </w:pPr>
      <w:r w:rsidRPr="00F1462B">
        <w:rPr>
          <w:rFonts w:ascii="Verdana" w:hAnsi="Verdana"/>
          <w:szCs w:val="20"/>
        </w:rPr>
        <w:t xml:space="preserve">The PMO submits the </w:t>
      </w:r>
      <w:smartTag w:uri="urn:schemas-microsoft-com:office:smarttags" w:element="stockticker">
        <w:r w:rsidRPr="00F1462B">
          <w:rPr>
            <w:rFonts w:ascii="Verdana" w:hAnsi="Verdana"/>
            <w:szCs w:val="20"/>
          </w:rPr>
          <w:t>TRA</w:t>
        </w:r>
      </w:smartTag>
      <w:r w:rsidRPr="00F1462B">
        <w:rPr>
          <w:rFonts w:ascii="Verdana" w:hAnsi="Verdana"/>
          <w:szCs w:val="20"/>
        </w:rPr>
        <w:t xml:space="preserve"> final document to SAF / AQR no later than 6 weeks prior to the Milestone. SAF / AQR then </w:t>
      </w:r>
      <w:proofErr w:type="gramStart"/>
      <w:r w:rsidRPr="00F1462B">
        <w:rPr>
          <w:rFonts w:ascii="Verdana" w:hAnsi="Verdana"/>
          <w:szCs w:val="20"/>
        </w:rPr>
        <w:t>performs</w:t>
      </w:r>
      <w:proofErr w:type="gramEnd"/>
      <w:r w:rsidRPr="00F1462B">
        <w:rPr>
          <w:rFonts w:ascii="Verdana" w:hAnsi="Verdana"/>
          <w:szCs w:val="20"/>
        </w:rPr>
        <w:t xml:space="preserve"> a peer review on the </w:t>
      </w:r>
      <w:smartTag w:uri="urn:schemas-microsoft-com:office:smarttags" w:element="stockticker">
        <w:r w:rsidRPr="00F1462B">
          <w:rPr>
            <w:rFonts w:ascii="Verdana" w:hAnsi="Verdana"/>
            <w:szCs w:val="20"/>
          </w:rPr>
          <w:t>TRA</w:t>
        </w:r>
      </w:smartTag>
      <w:r w:rsidRPr="00F1462B">
        <w:rPr>
          <w:rFonts w:ascii="Verdana" w:hAnsi="Verdana"/>
          <w:szCs w:val="20"/>
        </w:rPr>
        <w:t xml:space="preserve"> final document. The IRP Lead and PMO representative shall be available to brief the </w:t>
      </w:r>
      <w:smartTag w:uri="urn:schemas-microsoft-com:office:smarttags" w:element="stockticker">
        <w:r w:rsidRPr="00F1462B">
          <w:rPr>
            <w:rFonts w:ascii="Verdana" w:hAnsi="Verdana"/>
            <w:szCs w:val="20"/>
          </w:rPr>
          <w:t>TRA</w:t>
        </w:r>
      </w:smartTag>
      <w:r w:rsidRPr="00F1462B">
        <w:rPr>
          <w:rFonts w:ascii="Verdana" w:hAnsi="Verdana"/>
          <w:szCs w:val="20"/>
        </w:rPr>
        <w:t xml:space="preserve"> assessment to SAF / AQR and DUSD(S&amp;T) (for DAE programs).</w:t>
      </w:r>
    </w:p>
    <w:p w:rsidR="00EE33E8" w:rsidRPr="00F1462B" w:rsidRDefault="00EE33E8" w:rsidP="00EE33E8">
      <w:pPr>
        <w:rPr>
          <w:rFonts w:ascii="Verdana" w:hAnsi="Verdana"/>
          <w:sz w:val="20"/>
          <w:szCs w:val="20"/>
        </w:rPr>
      </w:pPr>
      <w:r w:rsidRPr="00F1462B">
        <w:rPr>
          <w:rFonts w:ascii="Verdana" w:hAnsi="Verdana"/>
          <w:sz w:val="20"/>
          <w:szCs w:val="20"/>
        </w:rPr>
        <w:t xml:space="preserve">Finally, the SAF / AQR </w:t>
      </w:r>
      <w:proofErr w:type="gramStart"/>
      <w:r w:rsidRPr="00F1462B">
        <w:rPr>
          <w:rFonts w:ascii="Verdana" w:hAnsi="Verdana"/>
          <w:sz w:val="20"/>
          <w:szCs w:val="20"/>
        </w:rPr>
        <w:t>endorses</w:t>
      </w:r>
      <w:proofErr w:type="gramEnd"/>
      <w:r w:rsidRPr="00F1462B">
        <w:rPr>
          <w:rFonts w:ascii="Verdana" w:hAnsi="Verdana"/>
          <w:sz w:val="20"/>
          <w:szCs w:val="20"/>
        </w:rPr>
        <w:t xml:space="preserve"> the </w:t>
      </w:r>
      <w:smartTag w:uri="urn:schemas-microsoft-com:office:smarttags" w:element="stockticker">
        <w:r w:rsidRPr="00F1462B">
          <w:rPr>
            <w:rFonts w:ascii="Verdana" w:hAnsi="Verdana"/>
            <w:sz w:val="20"/>
            <w:szCs w:val="20"/>
          </w:rPr>
          <w:t>TRA</w:t>
        </w:r>
      </w:smartTag>
      <w:r w:rsidRPr="00F1462B">
        <w:rPr>
          <w:rFonts w:ascii="Verdana" w:hAnsi="Verdana"/>
          <w:sz w:val="20"/>
          <w:szCs w:val="20"/>
        </w:rPr>
        <w:t xml:space="preserve"> via memo and forwards to Assistant Secretary of the Air Force (Acquisition) (SAF / AQ) with an info copy to DUSD(S&amp;T) (for DAE programs).</w:t>
      </w:r>
    </w:p>
    <w:sectPr w:rsidR="00EE33E8" w:rsidRPr="00F1462B" w:rsidSect="00DC5CA8">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FE2" w:rsidRDefault="00E42FE2" w:rsidP="00AA3F25">
      <w:r>
        <w:separator/>
      </w:r>
    </w:p>
  </w:endnote>
  <w:endnote w:type="continuationSeparator" w:id="0">
    <w:p w:rsidR="00E42FE2" w:rsidRDefault="00E42FE2" w:rsidP="00AA3F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22034"/>
      <w:docPartObj>
        <w:docPartGallery w:val="Page Numbers (Bottom of Page)"/>
        <w:docPartUnique/>
      </w:docPartObj>
    </w:sdtPr>
    <w:sdtContent>
      <w:p w:rsidR="00E42FE2" w:rsidRDefault="00E42FE2">
        <w:pPr>
          <w:pStyle w:val="Footer"/>
          <w:jc w:val="center"/>
        </w:pPr>
        <w:fldSimple w:instr=" PAGE   \* MERGEFORMAT ">
          <w:r w:rsidR="00662D97">
            <w:rPr>
              <w:noProof/>
            </w:rPr>
            <w:t>4</w:t>
          </w:r>
        </w:fldSimple>
      </w:p>
    </w:sdtContent>
  </w:sdt>
  <w:p w:rsidR="00E42FE2" w:rsidRDefault="00E42F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FE2" w:rsidRDefault="00E42FE2" w:rsidP="00AA3F25">
      <w:r>
        <w:separator/>
      </w:r>
    </w:p>
  </w:footnote>
  <w:footnote w:type="continuationSeparator" w:id="0">
    <w:p w:rsidR="00E42FE2" w:rsidRDefault="00E42FE2" w:rsidP="00AA3F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F67A0"/>
    <w:multiLevelType w:val="hybridMultilevel"/>
    <w:tmpl w:val="8A182D06"/>
    <w:lvl w:ilvl="0" w:tplc="39909C46">
      <w:start w:val="1"/>
      <w:numFmt w:val="bullet"/>
      <w:lvlText w:val=""/>
      <w:lvlJc w:val="left"/>
      <w:pPr>
        <w:tabs>
          <w:tab w:val="num" w:pos="720"/>
        </w:tabs>
        <w:ind w:left="72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0673B6"/>
    <w:multiLevelType w:val="hybridMultilevel"/>
    <w:tmpl w:val="A06CD2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BB00A0E"/>
    <w:multiLevelType w:val="hybridMultilevel"/>
    <w:tmpl w:val="C6E032CC"/>
    <w:lvl w:ilvl="0" w:tplc="2D382432">
      <w:start w:val="1"/>
      <w:numFmt w:val="bullet"/>
      <w:pStyle w:val="BESABulletedTex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87440DD"/>
    <w:multiLevelType w:val="hybridMultilevel"/>
    <w:tmpl w:val="48DA40CA"/>
    <w:lvl w:ilvl="0" w:tplc="39909C46">
      <w:start w:val="1"/>
      <w:numFmt w:val="bullet"/>
      <w:lvlText w:val=""/>
      <w:lvlJc w:val="left"/>
      <w:pPr>
        <w:tabs>
          <w:tab w:val="num" w:pos="720"/>
        </w:tabs>
        <w:ind w:left="72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55A8E"/>
    <w:rsid w:val="00022E8C"/>
    <w:rsid w:val="00062E6E"/>
    <w:rsid w:val="00080D24"/>
    <w:rsid w:val="0011716E"/>
    <w:rsid w:val="00121248"/>
    <w:rsid w:val="00142A31"/>
    <w:rsid w:val="00144F95"/>
    <w:rsid w:val="00146A22"/>
    <w:rsid w:val="00150CEC"/>
    <w:rsid w:val="0019361E"/>
    <w:rsid w:val="00195521"/>
    <w:rsid w:val="001C54C1"/>
    <w:rsid w:val="00203A99"/>
    <w:rsid w:val="00224F9F"/>
    <w:rsid w:val="0024623D"/>
    <w:rsid w:val="00303164"/>
    <w:rsid w:val="003041DF"/>
    <w:rsid w:val="003044A6"/>
    <w:rsid w:val="00332D0C"/>
    <w:rsid w:val="003643FF"/>
    <w:rsid w:val="003A2977"/>
    <w:rsid w:val="003C0ABE"/>
    <w:rsid w:val="00403432"/>
    <w:rsid w:val="00447425"/>
    <w:rsid w:val="004751B3"/>
    <w:rsid w:val="0047577E"/>
    <w:rsid w:val="004775F7"/>
    <w:rsid w:val="00534688"/>
    <w:rsid w:val="00535CDA"/>
    <w:rsid w:val="00556725"/>
    <w:rsid w:val="00594C07"/>
    <w:rsid w:val="00626AFA"/>
    <w:rsid w:val="0065147A"/>
    <w:rsid w:val="00662D97"/>
    <w:rsid w:val="00683D01"/>
    <w:rsid w:val="006E7A42"/>
    <w:rsid w:val="007E2D29"/>
    <w:rsid w:val="007F7E5C"/>
    <w:rsid w:val="00865740"/>
    <w:rsid w:val="00873252"/>
    <w:rsid w:val="00874F62"/>
    <w:rsid w:val="008F139D"/>
    <w:rsid w:val="009155EC"/>
    <w:rsid w:val="00945969"/>
    <w:rsid w:val="0095561A"/>
    <w:rsid w:val="009709B2"/>
    <w:rsid w:val="009C1465"/>
    <w:rsid w:val="009D5DDA"/>
    <w:rsid w:val="00A33DAE"/>
    <w:rsid w:val="00A453D9"/>
    <w:rsid w:val="00A62752"/>
    <w:rsid w:val="00AA3F25"/>
    <w:rsid w:val="00AB21F3"/>
    <w:rsid w:val="00AE2558"/>
    <w:rsid w:val="00B1709D"/>
    <w:rsid w:val="00C0027D"/>
    <w:rsid w:val="00C355B9"/>
    <w:rsid w:val="00C66663"/>
    <w:rsid w:val="00C9411F"/>
    <w:rsid w:val="00CB533F"/>
    <w:rsid w:val="00CF2F80"/>
    <w:rsid w:val="00D16E62"/>
    <w:rsid w:val="00D559EA"/>
    <w:rsid w:val="00DC0CD7"/>
    <w:rsid w:val="00DC5CA8"/>
    <w:rsid w:val="00DD4873"/>
    <w:rsid w:val="00DD7CB3"/>
    <w:rsid w:val="00E42FE2"/>
    <w:rsid w:val="00E62ACE"/>
    <w:rsid w:val="00EA379E"/>
    <w:rsid w:val="00ED4B1A"/>
    <w:rsid w:val="00EE33E8"/>
    <w:rsid w:val="00F1462B"/>
    <w:rsid w:val="00F37D21"/>
    <w:rsid w:val="00F5050C"/>
    <w:rsid w:val="00F55A8E"/>
    <w:rsid w:val="00FD2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C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SABulletedText">
    <w:name w:val="BESA Bulleted Text"/>
    <w:basedOn w:val="Normal"/>
    <w:rsid w:val="003643FF"/>
    <w:pPr>
      <w:numPr>
        <w:numId w:val="1"/>
      </w:numPr>
      <w:spacing w:before="60" w:after="60"/>
    </w:pPr>
    <w:rPr>
      <w:rFonts w:ascii="Arial" w:eastAsia="SimSun" w:hAnsi="Arial" w:cs="Times New Roman"/>
      <w:sz w:val="20"/>
      <w:szCs w:val="24"/>
    </w:rPr>
  </w:style>
  <w:style w:type="paragraph" w:customStyle="1" w:styleId="BESAScreenText">
    <w:name w:val="BESA Screen Text"/>
    <w:basedOn w:val="Normal"/>
    <w:rsid w:val="006E7A42"/>
    <w:pPr>
      <w:spacing w:before="120" w:after="120"/>
    </w:pPr>
    <w:rPr>
      <w:rFonts w:ascii="Arial" w:eastAsia="SimSun" w:hAnsi="Arial" w:cs="Times New Roman"/>
      <w:sz w:val="20"/>
      <w:szCs w:val="24"/>
    </w:rPr>
  </w:style>
  <w:style w:type="character" w:customStyle="1" w:styleId="BESAPopupTextNoticeChar">
    <w:name w:val="BESA Popup Text Notice Char"/>
    <w:basedOn w:val="DefaultParagraphFont"/>
    <w:link w:val="BESAPopupTextNotice"/>
    <w:locked/>
    <w:rsid w:val="00ED4B1A"/>
    <w:rPr>
      <w:rFonts w:ascii="Arial" w:eastAsia="SimSun" w:hAnsi="Arial"/>
      <w:i/>
      <w:szCs w:val="24"/>
    </w:rPr>
  </w:style>
  <w:style w:type="paragraph" w:customStyle="1" w:styleId="BESAPopupTextNotice">
    <w:name w:val="BESA Popup Text Notice"/>
    <w:basedOn w:val="Normal"/>
    <w:link w:val="BESAPopupTextNoticeChar"/>
    <w:rsid w:val="00ED4B1A"/>
    <w:pPr>
      <w:spacing w:before="120" w:after="240"/>
    </w:pPr>
    <w:rPr>
      <w:rFonts w:ascii="Arial" w:eastAsia="SimSun" w:hAnsi="Arial"/>
      <w:i/>
      <w:szCs w:val="24"/>
    </w:rPr>
  </w:style>
  <w:style w:type="paragraph" w:styleId="Header">
    <w:name w:val="header"/>
    <w:basedOn w:val="Normal"/>
    <w:link w:val="HeaderChar"/>
    <w:uiPriority w:val="99"/>
    <w:semiHidden/>
    <w:unhideWhenUsed/>
    <w:rsid w:val="00AA3F25"/>
    <w:pPr>
      <w:tabs>
        <w:tab w:val="center" w:pos="4680"/>
        <w:tab w:val="right" w:pos="9360"/>
      </w:tabs>
    </w:pPr>
  </w:style>
  <w:style w:type="character" w:customStyle="1" w:styleId="HeaderChar">
    <w:name w:val="Header Char"/>
    <w:basedOn w:val="DefaultParagraphFont"/>
    <w:link w:val="Header"/>
    <w:uiPriority w:val="99"/>
    <w:semiHidden/>
    <w:rsid w:val="00AA3F25"/>
  </w:style>
  <w:style w:type="paragraph" w:styleId="Footer">
    <w:name w:val="footer"/>
    <w:basedOn w:val="Normal"/>
    <w:link w:val="FooterChar"/>
    <w:uiPriority w:val="99"/>
    <w:unhideWhenUsed/>
    <w:rsid w:val="00AA3F25"/>
    <w:pPr>
      <w:tabs>
        <w:tab w:val="center" w:pos="4680"/>
        <w:tab w:val="right" w:pos="9360"/>
      </w:tabs>
    </w:pPr>
  </w:style>
  <w:style w:type="character" w:customStyle="1" w:styleId="FooterChar">
    <w:name w:val="Footer Char"/>
    <w:basedOn w:val="DefaultParagraphFont"/>
    <w:link w:val="Footer"/>
    <w:uiPriority w:val="99"/>
    <w:rsid w:val="00AA3F25"/>
  </w:style>
  <w:style w:type="paragraph" w:styleId="BalloonText">
    <w:name w:val="Balloon Text"/>
    <w:basedOn w:val="Normal"/>
    <w:link w:val="BalloonTextChar"/>
    <w:uiPriority w:val="99"/>
    <w:semiHidden/>
    <w:unhideWhenUsed/>
    <w:rsid w:val="008F139D"/>
    <w:rPr>
      <w:rFonts w:ascii="Tahoma" w:hAnsi="Tahoma" w:cs="Tahoma"/>
      <w:sz w:val="16"/>
      <w:szCs w:val="16"/>
    </w:rPr>
  </w:style>
  <w:style w:type="character" w:customStyle="1" w:styleId="BalloonTextChar">
    <w:name w:val="Balloon Text Char"/>
    <w:basedOn w:val="DefaultParagraphFont"/>
    <w:link w:val="BalloonText"/>
    <w:uiPriority w:val="99"/>
    <w:semiHidden/>
    <w:rsid w:val="008F13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Woodward</dc:creator>
  <cp:lastModifiedBy>Jamie Liske</cp:lastModifiedBy>
  <cp:revision>39</cp:revision>
  <dcterms:created xsi:type="dcterms:W3CDTF">2010-04-30T00:22:00Z</dcterms:created>
  <dcterms:modified xsi:type="dcterms:W3CDTF">2010-06-14T16:12:00Z</dcterms:modified>
</cp:coreProperties>
</file>