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35" w:rsidRPr="00AA3F25" w:rsidRDefault="00491A35" w:rsidP="00491A35">
      <w:pPr>
        <w:jc w:val="center"/>
        <w:rPr>
          <w:rFonts w:ascii="Verdana" w:hAnsi="Verdana"/>
          <w:b/>
          <w:sz w:val="32"/>
          <w:szCs w:val="32"/>
        </w:rPr>
      </w:pPr>
      <w:r w:rsidRPr="00AA3F25">
        <w:rPr>
          <w:rFonts w:ascii="Verdana" w:hAnsi="Verdana"/>
          <w:b/>
          <w:sz w:val="32"/>
          <w:szCs w:val="32"/>
        </w:rPr>
        <w:t>Technology Readiness Assessment</w:t>
      </w:r>
    </w:p>
    <w:p w:rsidR="00491A35" w:rsidRDefault="00491A35" w:rsidP="00491A35">
      <w:pPr>
        <w:rPr>
          <w:rFonts w:ascii="Verdana" w:hAnsi="Verdana"/>
          <w:b/>
          <w:sz w:val="24"/>
          <w:szCs w:val="24"/>
        </w:rPr>
      </w:pPr>
    </w:p>
    <w:p w:rsidR="00DC5CA8" w:rsidRPr="00491A35" w:rsidRDefault="00937419" w:rsidP="00491A35">
      <w:pPr>
        <w:rPr>
          <w:rFonts w:ascii="Verdana" w:hAnsi="Verdana"/>
          <w:b/>
        </w:rPr>
      </w:pPr>
      <w:r w:rsidRPr="00937419">
        <w:rPr>
          <w:rFonts w:ascii="Verdana" w:hAnsi="Verdana"/>
          <w:noProof/>
          <w:sz w:val="20"/>
          <w:szCs w:val="20"/>
        </w:rPr>
        <w:pict>
          <v:shapetype id="_x0000_t202" coordsize="21600,21600" o:spt="202" path="m,l,21600r21600,l21600,xe">
            <v:stroke joinstyle="miter"/>
            <v:path gradientshapeok="t" o:connecttype="rect"/>
          </v:shapetype>
          <v:shape id="_x0000_s1029" type="#_x0000_t202" style="position:absolute;margin-left:202.65pt;margin-top:26.5pt;width:240.45pt;height:241.7pt;z-index:251662336;mso-position-horizontal-relative:margin;mso-width-relative:margin;mso-height-relative:margin">
            <v:textbox>
              <w:txbxContent>
                <w:p w:rsidR="006B085A" w:rsidRPr="006B085A" w:rsidRDefault="008B4BF9" w:rsidP="006B085A">
                  <w:pPr>
                    <w:jc w:val="center"/>
                    <w:rPr>
                      <w:rFonts w:ascii="Verdana" w:hAnsi="Verdana"/>
                      <w:sz w:val="18"/>
                      <w:szCs w:val="18"/>
                    </w:rPr>
                  </w:pPr>
                  <w:r>
                    <w:rPr>
                      <w:noProof/>
                    </w:rPr>
                    <w:drawing>
                      <wp:inline distT="0" distB="0" distL="0" distR="0">
                        <wp:extent cx="2861310" cy="2809108"/>
                        <wp:effectExtent l="0" t="0" r="0" b="0"/>
                        <wp:docPr id="1" name="Picture 1" descr="\\OKCOK06OFS01\Projects\00-Active\1796_AFIT Task Order 7_TRA_SYS109\04-Development\04-Graphics\coursegraphics\finalimages\module1\lesson2\12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6_AFIT Task Order 7_TRA_SYS109\04-Development\04-Graphics\coursegraphics\finalimages\module1\lesson2\12010a.png"/>
                                <pic:cNvPicPr>
                                  <a:picLocks noChangeAspect="1" noChangeArrowheads="1"/>
                                </pic:cNvPicPr>
                              </pic:nvPicPr>
                              <pic:blipFill>
                                <a:blip r:embed="rId7"/>
                                <a:srcRect/>
                                <a:stretch>
                                  <a:fillRect/>
                                </a:stretch>
                              </pic:blipFill>
                              <pic:spPr bwMode="auto">
                                <a:xfrm>
                                  <a:off x="0" y="0"/>
                                  <a:ext cx="2861310" cy="2809108"/>
                                </a:xfrm>
                                <a:prstGeom prst="rect">
                                  <a:avLst/>
                                </a:prstGeom>
                                <a:noFill/>
                                <a:ln w="9525">
                                  <a:noFill/>
                                  <a:miter lim="800000"/>
                                  <a:headEnd/>
                                  <a:tailEnd/>
                                </a:ln>
                              </pic:spPr>
                            </pic:pic>
                          </a:graphicData>
                        </a:graphic>
                      </wp:inline>
                    </w:drawing>
                  </w:r>
                </w:p>
              </w:txbxContent>
            </v:textbox>
            <w10:wrap type="square" anchorx="margin"/>
          </v:shape>
        </w:pict>
      </w:r>
      <w:r w:rsidR="00491A35" w:rsidRPr="00F55A8E">
        <w:rPr>
          <w:rFonts w:ascii="Verdana" w:hAnsi="Verdana"/>
          <w:b/>
          <w:sz w:val="24"/>
          <w:szCs w:val="24"/>
        </w:rPr>
        <w:t>1.</w:t>
      </w:r>
      <w:r w:rsidR="00491A35">
        <w:rPr>
          <w:rFonts w:ascii="Verdana" w:hAnsi="Verdana"/>
          <w:b/>
          <w:sz w:val="24"/>
          <w:szCs w:val="24"/>
        </w:rPr>
        <w:t xml:space="preserve">  FUNDAMENTALS OF TRAs</w:t>
      </w:r>
      <w:r w:rsidR="00491A35">
        <w:rPr>
          <w:rFonts w:ascii="Verdana" w:hAnsi="Verdana"/>
          <w:sz w:val="24"/>
          <w:szCs w:val="24"/>
        </w:rPr>
        <w:br/>
      </w:r>
      <w:r w:rsidR="00491A35">
        <w:rPr>
          <w:rFonts w:ascii="Verdana" w:hAnsi="Verdana"/>
          <w:sz w:val="24"/>
          <w:szCs w:val="24"/>
        </w:rPr>
        <w:br/>
      </w:r>
      <w:r w:rsidR="00491A35" w:rsidRPr="00F55A8E">
        <w:rPr>
          <w:rFonts w:ascii="Verdana" w:hAnsi="Verdana"/>
          <w:b/>
        </w:rPr>
        <w:t>1.</w:t>
      </w:r>
      <w:r w:rsidR="00491A35">
        <w:rPr>
          <w:rFonts w:ascii="Verdana" w:hAnsi="Verdana"/>
          <w:b/>
        </w:rPr>
        <w:t>2.  TRA Support Structure</w:t>
      </w:r>
    </w:p>
    <w:p w:rsidR="00491A35" w:rsidRPr="00A76FE9" w:rsidRDefault="00491A35" w:rsidP="00491A35">
      <w:pPr>
        <w:rPr>
          <w:rFonts w:ascii="Verdana" w:hAnsi="Verdana"/>
          <w:sz w:val="20"/>
          <w:szCs w:val="20"/>
        </w:rPr>
      </w:pPr>
    </w:p>
    <w:p w:rsidR="009E7A00" w:rsidRDefault="009E7A00" w:rsidP="00491A35">
      <w:pPr>
        <w:rPr>
          <w:rFonts w:ascii="Verdana" w:hAnsi="Verdana"/>
          <w:sz w:val="20"/>
          <w:szCs w:val="20"/>
        </w:rPr>
      </w:pPr>
    </w:p>
    <w:p w:rsidR="009E7A00" w:rsidRDefault="009E7A00" w:rsidP="00491A35">
      <w:pPr>
        <w:rPr>
          <w:rFonts w:ascii="Verdana" w:hAnsi="Verdana"/>
          <w:sz w:val="20"/>
          <w:szCs w:val="20"/>
        </w:rPr>
      </w:pPr>
    </w:p>
    <w:p w:rsidR="009E7A00" w:rsidRDefault="009E7A00" w:rsidP="00491A35">
      <w:pPr>
        <w:rPr>
          <w:rFonts w:ascii="Verdana" w:hAnsi="Verdana"/>
          <w:sz w:val="20"/>
          <w:szCs w:val="20"/>
        </w:rPr>
      </w:pPr>
    </w:p>
    <w:p w:rsidR="006A07D3" w:rsidRDefault="006A07D3" w:rsidP="00491A35">
      <w:pPr>
        <w:rPr>
          <w:rFonts w:ascii="Verdana" w:hAnsi="Verdana"/>
          <w:sz w:val="20"/>
          <w:szCs w:val="20"/>
        </w:rPr>
      </w:pPr>
    </w:p>
    <w:p w:rsidR="006A07D3" w:rsidRDefault="006A07D3" w:rsidP="00491A35">
      <w:pPr>
        <w:rPr>
          <w:rFonts w:ascii="Verdana" w:hAnsi="Verdana"/>
          <w:sz w:val="20"/>
          <w:szCs w:val="20"/>
        </w:rPr>
      </w:pPr>
    </w:p>
    <w:p w:rsidR="006A07D3" w:rsidRDefault="006A07D3" w:rsidP="00491A35">
      <w:pPr>
        <w:rPr>
          <w:rFonts w:ascii="Verdana" w:hAnsi="Verdana"/>
          <w:sz w:val="20"/>
          <w:szCs w:val="20"/>
        </w:rPr>
      </w:pPr>
    </w:p>
    <w:p w:rsidR="00A76FE9" w:rsidRDefault="00A76FE9" w:rsidP="00491A35">
      <w:pPr>
        <w:rPr>
          <w:rFonts w:ascii="Verdana" w:hAnsi="Verdana"/>
          <w:sz w:val="20"/>
          <w:szCs w:val="20"/>
        </w:rPr>
      </w:pPr>
      <w:r w:rsidRPr="00A76FE9">
        <w:rPr>
          <w:rFonts w:ascii="Verdana" w:hAnsi="Verdana"/>
          <w:sz w:val="20"/>
          <w:szCs w:val="20"/>
        </w:rPr>
        <w:t xml:space="preserve">The objective of this lesson is for each student to comprehend the support structure associated with the </w:t>
      </w:r>
      <w:smartTag w:uri="urn:schemas-microsoft-com:office:smarttags" w:element="stockticker">
        <w:r w:rsidRPr="00A76FE9">
          <w:rPr>
            <w:rFonts w:ascii="Verdana" w:hAnsi="Verdana"/>
            <w:sz w:val="20"/>
            <w:szCs w:val="20"/>
          </w:rPr>
          <w:t>TRA</w:t>
        </w:r>
      </w:smartTag>
      <w:r w:rsidRPr="00A76FE9">
        <w:rPr>
          <w:rFonts w:ascii="Verdana" w:hAnsi="Verdana"/>
          <w:sz w:val="20"/>
          <w:szCs w:val="20"/>
        </w:rPr>
        <w:t xml:space="preserve"> process.</w:t>
      </w:r>
    </w:p>
    <w:p w:rsidR="009577BA" w:rsidRPr="00A76FE9" w:rsidRDefault="009577BA" w:rsidP="00491A35">
      <w:pPr>
        <w:rPr>
          <w:rFonts w:ascii="Verdana" w:hAnsi="Verdana"/>
          <w:sz w:val="20"/>
          <w:szCs w:val="20"/>
        </w:rPr>
      </w:pPr>
    </w:p>
    <w:p w:rsidR="001A3582" w:rsidRPr="00491A35" w:rsidRDefault="001A3582" w:rsidP="00491A35">
      <w:pPr>
        <w:rPr>
          <w:rFonts w:ascii="Verdana" w:hAnsi="Verdana"/>
        </w:rPr>
      </w:pPr>
    </w:p>
    <w:p w:rsidR="009E7A00" w:rsidRDefault="009E7A00" w:rsidP="00491A35">
      <w:pPr>
        <w:rPr>
          <w:rFonts w:ascii="Verdana" w:hAnsi="Verdana"/>
          <w:b/>
          <w:sz w:val="20"/>
          <w:szCs w:val="20"/>
        </w:rPr>
      </w:pPr>
    </w:p>
    <w:p w:rsidR="009E7A00" w:rsidRDefault="009E7A00" w:rsidP="00491A35">
      <w:pPr>
        <w:rPr>
          <w:rFonts w:ascii="Verdana" w:hAnsi="Verdana"/>
          <w:b/>
          <w:sz w:val="20"/>
          <w:szCs w:val="20"/>
        </w:rPr>
      </w:pPr>
    </w:p>
    <w:p w:rsidR="009E7A00" w:rsidRDefault="009E7A00" w:rsidP="00491A35">
      <w:pPr>
        <w:rPr>
          <w:rFonts w:ascii="Verdana" w:hAnsi="Verdana"/>
          <w:b/>
          <w:sz w:val="20"/>
          <w:szCs w:val="20"/>
        </w:rPr>
      </w:pPr>
    </w:p>
    <w:p w:rsidR="009E7A00" w:rsidRDefault="009E7A00" w:rsidP="00491A35">
      <w:pPr>
        <w:rPr>
          <w:rFonts w:ascii="Verdana" w:hAnsi="Verdana"/>
          <w:b/>
          <w:sz w:val="20"/>
          <w:szCs w:val="20"/>
        </w:rPr>
      </w:pPr>
    </w:p>
    <w:p w:rsidR="009E7A00" w:rsidRDefault="009E7A00" w:rsidP="00491A35">
      <w:pPr>
        <w:rPr>
          <w:rFonts w:ascii="Verdana" w:hAnsi="Verdana"/>
          <w:b/>
          <w:sz w:val="20"/>
          <w:szCs w:val="20"/>
        </w:rPr>
      </w:pPr>
    </w:p>
    <w:p w:rsidR="009E7A00" w:rsidRDefault="009E7A00" w:rsidP="00491A35">
      <w:pPr>
        <w:rPr>
          <w:rFonts w:ascii="Verdana" w:hAnsi="Verdana"/>
          <w:b/>
          <w:sz w:val="20"/>
          <w:szCs w:val="20"/>
        </w:rPr>
      </w:pPr>
    </w:p>
    <w:p w:rsidR="009E7A00" w:rsidRDefault="009E7A00" w:rsidP="00491A35">
      <w:pPr>
        <w:rPr>
          <w:rFonts w:ascii="Verdana" w:hAnsi="Verdana"/>
          <w:b/>
          <w:sz w:val="20"/>
          <w:szCs w:val="20"/>
        </w:rPr>
      </w:pPr>
    </w:p>
    <w:p w:rsidR="006A07D3" w:rsidRDefault="006A07D3" w:rsidP="00491A35">
      <w:pPr>
        <w:rPr>
          <w:rFonts w:ascii="Verdana" w:hAnsi="Verdana"/>
          <w:b/>
          <w:sz w:val="20"/>
          <w:szCs w:val="20"/>
        </w:rPr>
      </w:pPr>
    </w:p>
    <w:p w:rsidR="00491A35" w:rsidRDefault="00491A35" w:rsidP="00491A35">
      <w:pPr>
        <w:rPr>
          <w:rFonts w:ascii="Verdana" w:hAnsi="Verdana"/>
          <w:sz w:val="20"/>
          <w:szCs w:val="20"/>
        </w:rPr>
      </w:pPr>
      <w:r w:rsidRPr="00491A35">
        <w:rPr>
          <w:rFonts w:ascii="Verdana" w:hAnsi="Verdana"/>
          <w:b/>
          <w:sz w:val="20"/>
          <w:szCs w:val="20"/>
        </w:rPr>
        <w:t>1.2.1</w:t>
      </w:r>
      <w:proofErr w:type="gramStart"/>
      <w:r>
        <w:rPr>
          <w:rFonts w:ascii="Verdana" w:hAnsi="Verdana"/>
          <w:b/>
          <w:sz w:val="20"/>
          <w:szCs w:val="20"/>
        </w:rPr>
        <w:t>.  TRA</w:t>
      </w:r>
      <w:proofErr w:type="gramEnd"/>
      <w:r>
        <w:rPr>
          <w:rFonts w:ascii="Verdana" w:hAnsi="Verdana"/>
          <w:b/>
          <w:sz w:val="20"/>
          <w:szCs w:val="20"/>
        </w:rPr>
        <w:t xml:space="preserve"> Process Roles and Responsibilities</w:t>
      </w:r>
    </w:p>
    <w:p w:rsidR="00491A35" w:rsidRDefault="00491A35" w:rsidP="00491A35">
      <w:pPr>
        <w:rPr>
          <w:rFonts w:ascii="Verdana" w:hAnsi="Verdana"/>
          <w:sz w:val="20"/>
          <w:szCs w:val="20"/>
        </w:rPr>
      </w:pPr>
    </w:p>
    <w:p w:rsidR="009577BA" w:rsidRDefault="00D402EF" w:rsidP="00491A35">
      <w:pPr>
        <w:rPr>
          <w:rFonts w:ascii="Verdana" w:hAnsi="Verdana"/>
        </w:rPr>
      </w:pPr>
      <w:r>
        <w:rPr>
          <w:rFonts w:ascii="Verdana" w:hAnsi="Verdana"/>
        </w:rPr>
        <w:t>The r</w:t>
      </w:r>
      <w:r w:rsidR="009577BA">
        <w:rPr>
          <w:rFonts w:ascii="Verdana" w:hAnsi="Verdana"/>
        </w:rPr>
        <w:t>oles and responsibilities for each stakeholder include:</w:t>
      </w:r>
      <w:r w:rsidR="009577BA">
        <w:rPr>
          <w:rFonts w:ascii="Verdana" w:hAnsi="Verdana"/>
        </w:rPr>
        <w:br/>
      </w:r>
    </w:p>
    <w:p w:rsidR="009577BA" w:rsidRDefault="009577BA" w:rsidP="009577BA">
      <w:pPr>
        <w:pStyle w:val="BESABulletedText"/>
        <w:rPr>
          <w:rFonts w:ascii="Verdana" w:hAnsi="Verdana"/>
        </w:rPr>
      </w:pPr>
      <w:r w:rsidRPr="009577BA">
        <w:rPr>
          <w:rFonts w:ascii="Verdana" w:hAnsi="Verdana"/>
          <w:b/>
          <w:i/>
        </w:rPr>
        <w:t>DRD</w:t>
      </w:r>
      <w:r>
        <w:rPr>
          <w:rFonts w:ascii="Verdana" w:hAnsi="Verdana"/>
          <w:b/>
          <w:i/>
        </w:rPr>
        <w:br/>
      </w:r>
      <w:r>
        <w:rPr>
          <w:rFonts w:ascii="Verdana" w:hAnsi="Verdana"/>
          <w:b/>
          <w:i/>
        </w:rPr>
        <w:br/>
      </w:r>
      <w:r>
        <w:rPr>
          <w:rFonts w:ascii="Verdana" w:hAnsi="Verdana"/>
        </w:rPr>
        <w:t>The DRD is the p</w:t>
      </w:r>
      <w:r w:rsidRPr="00FF76B0">
        <w:rPr>
          <w:rFonts w:ascii="Verdana" w:hAnsi="Verdana"/>
        </w:rPr>
        <w:t>rincipal staff advisor to the USD</w:t>
      </w:r>
      <w:r>
        <w:rPr>
          <w:rFonts w:ascii="Verdana" w:hAnsi="Verdana"/>
        </w:rPr>
        <w:t xml:space="preserve"> (</w:t>
      </w:r>
      <w:r w:rsidRPr="00FF76B0">
        <w:rPr>
          <w:rFonts w:ascii="Verdana" w:hAnsi="Verdana"/>
        </w:rPr>
        <w:t>AT&amp;L</w:t>
      </w:r>
      <w:r>
        <w:rPr>
          <w:rFonts w:ascii="Verdana" w:hAnsi="Verdana"/>
        </w:rPr>
        <w:t>)</w:t>
      </w:r>
      <w:r w:rsidRPr="00FF76B0">
        <w:rPr>
          <w:rFonts w:ascii="Verdana" w:hAnsi="Verdana"/>
        </w:rPr>
        <w:t xml:space="preserve"> and to the Secretary and Deputy Secretary of Defense for research and engineering matters</w:t>
      </w:r>
      <w:r>
        <w:rPr>
          <w:rFonts w:ascii="Verdana" w:hAnsi="Verdana"/>
        </w:rPr>
        <w:t>.  As such, he/she</w:t>
      </w:r>
      <w:r w:rsidRPr="007D1323">
        <w:rPr>
          <w:rFonts w:ascii="Verdana" w:hAnsi="Verdana"/>
        </w:rPr>
        <w:t xml:space="preserve"> </w:t>
      </w:r>
      <w:r w:rsidRPr="00A118E7">
        <w:rPr>
          <w:rFonts w:ascii="Verdana" w:hAnsi="Verdana"/>
        </w:rPr>
        <w:t>monitor</w:t>
      </w:r>
      <w:r>
        <w:rPr>
          <w:rFonts w:ascii="Verdana" w:hAnsi="Verdana"/>
        </w:rPr>
        <w:t>s</w:t>
      </w:r>
      <w:r w:rsidRPr="00A118E7">
        <w:rPr>
          <w:rFonts w:ascii="Verdana" w:hAnsi="Verdana"/>
        </w:rPr>
        <w:t xml:space="preserve"> and evaluat</w:t>
      </w:r>
      <w:r>
        <w:rPr>
          <w:rFonts w:ascii="Verdana" w:hAnsi="Verdana"/>
        </w:rPr>
        <w:t>es</w:t>
      </w:r>
      <w:r w:rsidRPr="00A118E7">
        <w:rPr>
          <w:rFonts w:ascii="Verdana" w:hAnsi="Verdana"/>
        </w:rPr>
        <w:t xml:space="preserve"> the TRA process</w:t>
      </w:r>
      <w:r>
        <w:rPr>
          <w:rFonts w:ascii="Verdana" w:hAnsi="Verdana"/>
        </w:rPr>
        <w:t>. Oversight responsibilities include:</w:t>
      </w:r>
      <w:r w:rsidR="00A049F7">
        <w:rPr>
          <w:rFonts w:ascii="Verdana" w:hAnsi="Verdana"/>
        </w:rPr>
        <w:br/>
      </w:r>
    </w:p>
    <w:p w:rsidR="009577BA" w:rsidRDefault="009577BA" w:rsidP="009577BA">
      <w:pPr>
        <w:pStyle w:val="BESABulletedText"/>
        <w:numPr>
          <w:ilvl w:val="0"/>
          <w:numId w:val="2"/>
        </w:numPr>
        <w:rPr>
          <w:rFonts w:ascii="Verdana" w:hAnsi="Verdana"/>
        </w:rPr>
      </w:pPr>
      <w:r>
        <w:rPr>
          <w:rFonts w:ascii="Verdana" w:hAnsi="Verdana"/>
        </w:rPr>
        <w:t>Approving the TRA schedule</w:t>
      </w:r>
    </w:p>
    <w:p w:rsidR="009577BA" w:rsidRPr="007D1323" w:rsidRDefault="009577BA" w:rsidP="009577BA">
      <w:pPr>
        <w:pStyle w:val="BESABulletedText"/>
        <w:numPr>
          <w:ilvl w:val="0"/>
          <w:numId w:val="2"/>
        </w:numPr>
        <w:rPr>
          <w:rFonts w:ascii="Verdana" w:hAnsi="Verdana"/>
        </w:rPr>
      </w:pPr>
      <w:r w:rsidRPr="007D1323">
        <w:rPr>
          <w:rFonts w:ascii="Verdana" w:hAnsi="Verdana"/>
        </w:rPr>
        <w:t>Review</w:t>
      </w:r>
      <w:r>
        <w:rPr>
          <w:rFonts w:ascii="Verdana" w:hAnsi="Verdana"/>
        </w:rPr>
        <w:t>ing</w:t>
      </w:r>
      <w:r w:rsidRPr="007D1323">
        <w:rPr>
          <w:rFonts w:ascii="Verdana" w:hAnsi="Verdana"/>
        </w:rPr>
        <w:t xml:space="preserve"> the candidate </w:t>
      </w:r>
      <w:r>
        <w:rPr>
          <w:rFonts w:ascii="Verdana" w:hAnsi="Verdana"/>
        </w:rPr>
        <w:t>Critical Technology Element (</w:t>
      </w:r>
      <w:r w:rsidRPr="007D1323">
        <w:rPr>
          <w:rFonts w:ascii="Verdana" w:hAnsi="Verdana"/>
        </w:rPr>
        <w:t>CTE</w:t>
      </w:r>
      <w:r>
        <w:rPr>
          <w:rFonts w:ascii="Verdana" w:hAnsi="Verdana"/>
        </w:rPr>
        <w:t>)</w:t>
      </w:r>
      <w:r w:rsidRPr="007D1323">
        <w:rPr>
          <w:rFonts w:ascii="Verdana" w:hAnsi="Verdana"/>
        </w:rPr>
        <w:t xml:space="preserve"> list and </w:t>
      </w:r>
      <w:r>
        <w:rPr>
          <w:rFonts w:ascii="Verdana" w:hAnsi="Verdana"/>
        </w:rPr>
        <w:t>making necessary changes</w:t>
      </w:r>
    </w:p>
    <w:p w:rsidR="009577BA" w:rsidRDefault="009577BA" w:rsidP="009577BA">
      <w:pPr>
        <w:pStyle w:val="BESABulletedText"/>
        <w:numPr>
          <w:ilvl w:val="0"/>
          <w:numId w:val="2"/>
        </w:numPr>
        <w:rPr>
          <w:rFonts w:ascii="Verdana" w:hAnsi="Verdana"/>
        </w:rPr>
      </w:pPr>
      <w:r>
        <w:rPr>
          <w:rFonts w:ascii="Verdana" w:hAnsi="Verdana"/>
        </w:rPr>
        <w:t xml:space="preserve">Approving the </w:t>
      </w:r>
      <w:r w:rsidRPr="00FF76B0">
        <w:rPr>
          <w:rFonts w:ascii="Verdana" w:hAnsi="Verdana"/>
        </w:rPr>
        <w:t>IRP Lead and IRP Team Members</w:t>
      </w:r>
    </w:p>
    <w:p w:rsidR="009577BA" w:rsidRPr="003200E1" w:rsidRDefault="009577BA" w:rsidP="009577BA">
      <w:pPr>
        <w:pStyle w:val="BESABulletedText"/>
        <w:numPr>
          <w:ilvl w:val="0"/>
          <w:numId w:val="2"/>
        </w:numPr>
        <w:rPr>
          <w:rFonts w:ascii="Verdana" w:hAnsi="Verdana"/>
        </w:rPr>
      </w:pPr>
      <w:r w:rsidRPr="003200E1">
        <w:rPr>
          <w:rFonts w:ascii="Verdana" w:hAnsi="Verdana"/>
        </w:rPr>
        <w:t>Reviewing the TRA report and sending results to the appropriate Overarching Integrated Product Team (OIPT) and / or the Defense Acquisition Board (DAB)</w:t>
      </w:r>
    </w:p>
    <w:p w:rsidR="009577BA" w:rsidRPr="003200E1" w:rsidRDefault="009577BA" w:rsidP="009577BA">
      <w:pPr>
        <w:pStyle w:val="BESABulletedText"/>
        <w:numPr>
          <w:ilvl w:val="0"/>
          <w:numId w:val="2"/>
        </w:numPr>
        <w:rPr>
          <w:rFonts w:ascii="Verdana" w:hAnsi="Verdana" w:cs="Arial"/>
        </w:rPr>
      </w:pPr>
      <w:r w:rsidRPr="003200E1">
        <w:rPr>
          <w:rFonts w:ascii="Verdana" w:hAnsi="Verdana"/>
        </w:rPr>
        <w:t>Providing DDR&amp;E recommendations concerning certification</w:t>
      </w:r>
    </w:p>
    <w:p w:rsidR="009577BA" w:rsidRDefault="009577BA" w:rsidP="009577BA">
      <w:pPr>
        <w:pStyle w:val="BESABulletedText"/>
        <w:numPr>
          <w:ilvl w:val="0"/>
          <w:numId w:val="2"/>
        </w:numPr>
        <w:rPr>
          <w:rFonts w:cs="Arial"/>
        </w:rPr>
      </w:pPr>
      <w:r w:rsidRPr="003200E1">
        <w:rPr>
          <w:rFonts w:ascii="Verdana" w:hAnsi="Verdana"/>
        </w:rPr>
        <w:t>Recommending technology maturity language for an Acquisition Decision Memorandum (ADM), noting, in particular, conditions under which new technology can be inserted into the program</w:t>
      </w:r>
      <w:r>
        <w:rPr>
          <w:rFonts w:cs="Arial"/>
        </w:rPr>
        <w:br/>
      </w:r>
      <w:r>
        <w:rPr>
          <w:rFonts w:cs="Arial"/>
        </w:rPr>
        <w:br/>
      </w:r>
    </w:p>
    <w:p w:rsidR="009577BA" w:rsidRPr="00514DF9" w:rsidRDefault="009577BA" w:rsidP="009577BA">
      <w:pPr>
        <w:rPr>
          <w:rFonts w:ascii="Verdana" w:hAnsi="Verdana"/>
        </w:rPr>
      </w:pPr>
      <w:r w:rsidRPr="009577BA">
        <w:rPr>
          <w:rFonts w:ascii="Verdana" w:hAnsi="Verdana" w:cs="Arial"/>
          <w:b/>
          <w:i/>
          <w:sz w:val="20"/>
          <w:szCs w:val="20"/>
        </w:rPr>
        <w:lastRenderedPageBreak/>
        <w:t>SAF / AQR</w:t>
      </w:r>
      <w:r>
        <w:rPr>
          <w:rFonts w:ascii="Verdana" w:hAnsi="Verdana" w:cs="Arial"/>
          <w:b/>
          <w:i/>
          <w:sz w:val="20"/>
          <w:szCs w:val="20"/>
        </w:rPr>
        <w:br/>
      </w:r>
      <w:r>
        <w:rPr>
          <w:rFonts w:ascii="Verdana" w:hAnsi="Verdana" w:cs="Arial"/>
          <w:b/>
          <w:i/>
          <w:sz w:val="20"/>
          <w:szCs w:val="20"/>
        </w:rPr>
        <w:br/>
      </w:r>
      <w:proofErr w:type="gramStart"/>
      <w:r>
        <w:rPr>
          <w:rFonts w:ascii="Verdana" w:hAnsi="Verdana"/>
        </w:rPr>
        <w:t>The</w:t>
      </w:r>
      <w:proofErr w:type="gramEnd"/>
      <w:r>
        <w:rPr>
          <w:rFonts w:ascii="Verdana" w:hAnsi="Verdana"/>
        </w:rPr>
        <w:t xml:space="preserve"> SAF / AQR brings AF</w:t>
      </w:r>
      <w:r w:rsidRPr="00514DF9">
        <w:rPr>
          <w:rFonts w:ascii="Verdana" w:hAnsi="Verdana"/>
        </w:rPr>
        <w:t xml:space="preserve"> </w:t>
      </w:r>
      <w:r>
        <w:rPr>
          <w:rFonts w:ascii="Verdana" w:hAnsi="Verdana"/>
        </w:rPr>
        <w:t xml:space="preserve">technical expertise to the project. He / she </w:t>
      </w:r>
      <w:proofErr w:type="gramStart"/>
      <w:r>
        <w:rPr>
          <w:rFonts w:ascii="Verdana" w:hAnsi="Verdana"/>
        </w:rPr>
        <w:t>is</w:t>
      </w:r>
      <w:proofErr w:type="gramEnd"/>
      <w:r>
        <w:rPr>
          <w:rFonts w:ascii="Verdana" w:hAnsi="Verdana"/>
        </w:rPr>
        <w:t xml:space="preserve"> responsible for: </w:t>
      </w:r>
      <w:r w:rsidR="009E7A00">
        <w:rPr>
          <w:rFonts w:ascii="Verdana" w:hAnsi="Verdana"/>
        </w:rPr>
        <w:br/>
      </w:r>
    </w:p>
    <w:p w:rsidR="009577BA" w:rsidRPr="00514DF9" w:rsidRDefault="00937419" w:rsidP="009577BA">
      <w:pPr>
        <w:pStyle w:val="BESABulletedText"/>
        <w:numPr>
          <w:ilvl w:val="0"/>
          <w:numId w:val="3"/>
        </w:numPr>
        <w:rPr>
          <w:rFonts w:ascii="Verdana" w:hAnsi="Verdana"/>
        </w:rPr>
      </w:pPr>
      <w:r w:rsidRPr="00937419">
        <w:rPr>
          <w:rFonts w:ascii="Verdana" w:hAnsi="Verdana"/>
          <w:noProof/>
          <w:szCs w:val="20"/>
        </w:rPr>
        <w:pict>
          <v:shape id="_x0000_s1028" type="#_x0000_t202" style="position:absolute;left:0;text-align:left;margin-left:3.45pt;margin-top:5.75pt;width:209.3pt;height:227.05pt;z-index:251661312;mso-width-relative:margin;mso-height-relative:margin">
            <v:textbox>
              <w:txbxContent>
                <w:p w:rsidR="00A049F7" w:rsidRPr="00A049F7" w:rsidRDefault="008B4BF9" w:rsidP="00A049F7">
                  <w:pPr>
                    <w:jc w:val="center"/>
                    <w:rPr>
                      <w:rFonts w:ascii="Verdana" w:hAnsi="Verdana"/>
                      <w:sz w:val="20"/>
                      <w:szCs w:val="20"/>
                    </w:rPr>
                  </w:pPr>
                  <w:r>
                    <w:rPr>
                      <w:rFonts w:ascii="Verdana" w:hAnsi="Verdana"/>
                      <w:b/>
                      <w:noProof/>
                      <w:sz w:val="20"/>
                      <w:szCs w:val="20"/>
                    </w:rPr>
                    <w:drawing>
                      <wp:inline distT="0" distB="0" distL="0" distR="0">
                        <wp:extent cx="2465705" cy="2420720"/>
                        <wp:effectExtent l="19050" t="0" r="0" b="0"/>
                        <wp:docPr id="2" name="Picture 2" descr="\\OKCOK06OFS01\Projects\00-Active\1796_AFIT Task Order 7_TRA_SYS109\04-Development\04-Graphics\coursegraphics\finalimages\module1\lesson2\120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KCOK06OFS01\Projects\00-Active\1796_AFIT Task Order 7_TRA_SYS109\04-Development\04-Graphics\coursegraphics\finalimages\module1\lesson2\12030a.png"/>
                                <pic:cNvPicPr>
                                  <a:picLocks noChangeAspect="1" noChangeArrowheads="1"/>
                                </pic:cNvPicPr>
                              </pic:nvPicPr>
                              <pic:blipFill>
                                <a:blip r:embed="rId8"/>
                                <a:srcRect/>
                                <a:stretch>
                                  <a:fillRect/>
                                </a:stretch>
                              </pic:blipFill>
                              <pic:spPr bwMode="auto">
                                <a:xfrm>
                                  <a:off x="0" y="0"/>
                                  <a:ext cx="2465705" cy="2420720"/>
                                </a:xfrm>
                                <a:prstGeom prst="rect">
                                  <a:avLst/>
                                </a:prstGeom>
                                <a:noFill/>
                                <a:ln w="9525">
                                  <a:noFill/>
                                  <a:miter lim="800000"/>
                                  <a:headEnd/>
                                  <a:tailEnd/>
                                </a:ln>
                              </pic:spPr>
                            </pic:pic>
                          </a:graphicData>
                        </a:graphic>
                      </wp:inline>
                    </w:drawing>
                  </w:r>
                </w:p>
              </w:txbxContent>
            </v:textbox>
            <w10:wrap type="square"/>
          </v:shape>
        </w:pict>
      </w:r>
      <w:r w:rsidR="009577BA">
        <w:rPr>
          <w:rFonts w:ascii="Verdana" w:hAnsi="Verdana"/>
        </w:rPr>
        <w:t>Directing and supporting the T</w:t>
      </w:r>
      <w:r w:rsidR="009577BA" w:rsidRPr="00514DF9">
        <w:rPr>
          <w:rFonts w:ascii="Verdana" w:hAnsi="Verdana"/>
        </w:rPr>
        <w:t xml:space="preserve">RA </w:t>
      </w:r>
      <w:r w:rsidR="009577BA">
        <w:rPr>
          <w:rFonts w:ascii="Verdana" w:hAnsi="Verdana"/>
        </w:rPr>
        <w:t>p</w:t>
      </w:r>
      <w:r w:rsidR="009577BA" w:rsidRPr="00514DF9">
        <w:rPr>
          <w:rFonts w:ascii="Verdana" w:hAnsi="Verdana"/>
        </w:rPr>
        <w:t>rocess</w:t>
      </w:r>
      <w:r w:rsidR="009577BA">
        <w:rPr>
          <w:rFonts w:ascii="Verdana" w:hAnsi="Verdana"/>
        </w:rPr>
        <w:t xml:space="preserve"> </w:t>
      </w:r>
      <w:r w:rsidR="009E7A00">
        <w:rPr>
          <w:rFonts w:ascii="Verdana" w:hAnsi="Verdana"/>
        </w:rPr>
        <w:br/>
        <w:t xml:space="preserve">           </w:t>
      </w:r>
      <w:r w:rsidR="009577BA">
        <w:rPr>
          <w:rFonts w:ascii="Verdana" w:hAnsi="Verdana"/>
        </w:rPr>
        <w:t xml:space="preserve">for Major Defense Acquisition Program </w:t>
      </w:r>
      <w:r w:rsidR="009E7A00">
        <w:rPr>
          <w:rFonts w:ascii="Verdana" w:hAnsi="Verdana"/>
        </w:rPr>
        <w:br/>
        <w:t xml:space="preserve">           </w:t>
      </w:r>
      <w:r w:rsidR="009577BA">
        <w:rPr>
          <w:rFonts w:ascii="Verdana" w:hAnsi="Verdana"/>
        </w:rPr>
        <w:t xml:space="preserve">(MDAP) and other Defense Acquisition </w:t>
      </w:r>
      <w:r w:rsidR="009E7A00">
        <w:rPr>
          <w:rFonts w:ascii="Verdana" w:hAnsi="Verdana"/>
        </w:rPr>
        <w:br/>
        <w:t xml:space="preserve">           </w:t>
      </w:r>
      <w:r w:rsidR="009577BA">
        <w:rPr>
          <w:rFonts w:ascii="Verdana" w:hAnsi="Verdana"/>
        </w:rPr>
        <w:t xml:space="preserve">Executive / Service Acquisition Executive </w:t>
      </w:r>
      <w:r w:rsidR="009E7A00">
        <w:rPr>
          <w:rFonts w:ascii="Verdana" w:hAnsi="Verdana"/>
        </w:rPr>
        <w:br/>
        <w:t xml:space="preserve">           </w:t>
      </w:r>
      <w:r w:rsidR="009577BA">
        <w:rPr>
          <w:rFonts w:ascii="Verdana" w:hAnsi="Verdana"/>
        </w:rPr>
        <w:t>(DAE / SAE) programs</w:t>
      </w:r>
    </w:p>
    <w:p w:rsidR="009577BA" w:rsidRDefault="009577BA" w:rsidP="009577BA">
      <w:pPr>
        <w:pStyle w:val="BESABulletedText"/>
        <w:numPr>
          <w:ilvl w:val="0"/>
          <w:numId w:val="3"/>
        </w:numPr>
        <w:rPr>
          <w:rFonts w:ascii="Verdana" w:hAnsi="Verdana"/>
        </w:rPr>
      </w:pPr>
      <w:r w:rsidRPr="00514DF9">
        <w:rPr>
          <w:rFonts w:ascii="Verdana" w:hAnsi="Verdana"/>
        </w:rPr>
        <w:t>Develop</w:t>
      </w:r>
      <w:r>
        <w:rPr>
          <w:rFonts w:ascii="Verdana" w:hAnsi="Verdana"/>
        </w:rPr>
        <w:t>ing and modifying</w:t>
      </w:r>
      <w:r w:rsidRPr="00514DF9">
        <w:rPr>
          <w:rFonts w:ascii="Verdana" w:hAnsi="Verdana"/>
        </w:rPr>
        <w:t xml:space="preserve"> the </w:t>
      </w:r>
      <w:r>
        <w:rPr>
          <w:rFonts w:ascii="Verdana" w:hAnsi="Verdana"/>
        </w:rPr>
        <w:t xml:space="preserve">TRA </w:t>
      </w:r>
      <w:r w:rsidRPr="00514DF9">
        <w:rPr>
          <w:rFonts w:ascii="Verdana" w:hAnsi="Verdana"/>
        </w:rPr>
        <w:t>plan</w:t>
      </w:r>
      <w:r>
        <w:rPr>
          <w:rFonts w:ascii="Verdana" w:hAnsi="Verdana"/>
        </w:rPr>
        <w:t>,</w:t>
      </w:r>
      <w:r w:rsidRPr="00514DF9">
        <w:rPr>
          <w:rFonts w:ascii="Verdana" w:hAnsi="Verdana"/>
        </w:rPr>
        <w:t xml:space="preserve"> </w:t>
      </w:r>
      <w:r w:rsidR="009E7A00">
        <w:rPr>
          <w:rFonts w:ascii="Verdana" w:hAnsi="Verdana"/>
        </w:rPr>
        <w:br/>
        <w:t xml:space="preserve">           </w:t>
      </w:r>
      <w:r w:rsidRPr="00514DF9">
        <w:rPr>
          <w:rFonts w:ascii="Verdana" w:hAnsi="Verdana"/>
        </w:rPr>
        <w:t>as necessary</w:t>
      </w:r>
    </w:p>
    <w:p w:rsidR="009577BA" w:rsidRPr="00514DF9" w:rsidRDefault="009577BA" w:rsidP="009577BA">
      <w:pPr>
        <w:pStyle w:val="BESABulletedText"/>
        <w:numPr>
          <w:ilvl w:val="0"/>
          <w:numId w:val="3"/>
        </w:numPr>
        <w:rPr>
          <w:rFonts w:ascii="Verdana" w:hAnsi="Verdana"/>
        </w:rPr>
      </w:pPr>
      <w:r>
        <w:rPr>
          <w:rFonts w:ascii="Verdana" w:hAnsi="Verdana"/>
        </w:rPr>
        <w:t>Selecting</w:t>
      </w:r>
      <w:r w:rsidRPr="00514DF9">
        <w:rPr>
          <w:rFonts w:ascii="Verdana" w:hAnsi="Verdana"/>
        </w:rPr>
        <w:t xml:space="preserve"> the IRP </w:t>
      </w:r>
      <w:r>
        <w:rPr>
          <w:rFonts w:ascii="Verdana" w:hAnsi="Verdana"/>
        </w:rPr>
        <w:t>L</w:t>
      </w:r>
      <w:r w:rsidRPr="00514DF9">
        <w:rPr>
          <w:rFonts w:ascii="Verdana" w:hAnsi="Verdana"/>
        </w:rPr>
        <w:t xml:space="preserve">ead and </w:t>
      </w:r>
      <w:r>
        <w:rPr>
          <w:rFonts w:ascii="Verdana" w:hAnsi="Verdana"/>
        </w:rPr>
        <w:t xml:space="preserve">Team </w:t>
      </w:r>
      <w:r w:rsidR="009E7A00">
        <w:rPr>
          <w:rFonts w:ascii="Verdana" w:hAnsi="Verdana"/>
        </w:rPr>
        <w:br/>
        <w:t xml:space="preserve">           </w:t>
      </w:r>
      <w:r>
        <w:rPr>
          <w:rFonts w:ascii="Verdana" w:hAnsi="Verdana"/>
        </w:rPr>
        <w:t>M</w:t>
      </w:r>
      <w:r w:rsidRPr="00514DF9">
        <w:rPr>
          <w:rFonts w:ascii="Verdana" w:hAnsi="Verdana"/>
        </w:rPr>
        <w:t xml:space="preserve">embers </w:t>
      </w:r>
    </w:p>
    <w:p w:rsidR="009577BA" w:rsidRPr="00514DF9" w:rsidRDefault="009577BA" w:rsidP="009577BA">
      <w:pPr>
        <w:pStyle w:val="BESABulletedText"/>
        <w:numPr>
          <w:ilvl w:val="0"/>
          <w:numId w:val="3"/>
        </w:numPr>
        <w:rPr>
          <w:rFonts w:ascii="Verdana" w:hAnsi="Verdana"/>
        </w:rPr>
      </w:pPr>
      <w:r>
        <w:rPr>
          <w:rFonts w:ascii="Verdana" w:hAnsi="Verdana"/>
        </w:rPr>
        <w:t>Coordinating</w:t>
      </w:r>
      <w:r w:rsidRPr="00514DF9">
        <w:rPr>
          <w:rFonts w:ascii="Verdana" w:hAnsi="Verdana"/>
        </w:rPr>
        <w:t xml:space="preserve"> IRP membership with the </w:t>
      </w:r>
      <w:r w:rsidR="009E7A00">
        <w:rPr>
          <w:rFonts w:ascii="Verdana" w:hAnsi="Verdana"/>
        </w:rPr>
        <w:br/>
        <w:t xml:space="preserve">           </w:t>
      </w:r>
      <w:r w:rsidRPr="00514DF9">
        <w:rPr>
          <w:rFonts w:ascii="Verdana" w:hAnsi="Verdana"/>
        </w:rPr>
        <w:t>DRD</w:t>
      </w:r>
    </w:p>
    <w:p w:rsidR="009577BA" w:rsidRPr="00514DF9" w:rsidRDefault="009577BA" w:rsidP="009577BA">
      <w:pPr>
        <w:pStyle w:val="BESABulletedText"/>
        <w:numPr>
          <w:ilvl w:val="0"/>
          <w:numId w:val="3"/>
        </w:numPr>
        <w:rPr>
          <w:rFonts w:ascii="Verdana" w:hAnsi="Verdana"/>
        </w:rPr>
      </w:pPr>
      <w:r>
        <w:rPr>
          <w:rFonts w:ascii="Verdana" w:hAnsi="Verdana"/>
        </w:rPr>
        <w:t>Modifying</w:t>
      </w:r>
      <w:r w:rsidRPr="00514DF9">
        <w:rPr>
          <w:rFonts w:ascii="Verdana" w:hAnsi="Verdana"/>
        </w:rPr>
        <w:t xml:space="preserve"> and approv</w:t>
      </w:r>
      <w:r>
        <w:rPr>
          <w:rFonts w:ascii="Verdana" w:hAnsi="Verdana"/>
        </w:rPr>
        <w:t>ing</w:t>
      </w:r>
      <w:r w:rsidRPr="00514DF9">
        <w:rPr>
          <w:rFonts w:ascii="Verdana" w:hAnsi="Verdana"/>
        </w:rPr>
        <w:t xml:space="preserve"> the final </w:t>
      </w:r>
      <w:smartTag w:uri="urn:schemas-microsoft-com:office:smarttags" w:element="stockticker">
        <w:r w:rsidRPr="00514DF9">
          <w:rPr>
            <w:rFonts w:ascii="Verdana" w:hAnsi="Verdana"/>
          </w:rPr>
          <w:t>CTE</w:t>
        </w:r>
      </w:smartTag>
      <w:r w:rsidRPr="00514DF9">
        <w:rPr>
          <w:rFonts w:ascii="Verdana" w:hAnsi="Verdana"/>
        </w:rPr>
        <w:t xml:space="preserve"> </w:t>
      </w:r>
      <w:r w:rsidR="009E7A00">
        <w:rPr>
          <w:rFonts w:ascii="Verdana" w:hAnsi="Verdana"/>
        </w:rPr>
        <w:br/>
        <w:t xml:space="preserve">           </w:t>
      </w:r>
      <w:r w:rsidRPr="00514DF9">
        <w:rPr>
          <w:rFonts w:ascii="Verdana" w:hAnsi="Verdana"/>
        </w:rPr>
        <w:t>list</w:t>
      </w:r>
      <w:r>
        <w:rPr>
          <w:rFonts w:ascii="Verdana" w:hAnsi="Verdana"/>
        </w:rPr>
        <w:t>,</w:t>
      </w:r>
      <w:r w:rsidRPr="00514DF9">
        <w:rPr>
          <w:rFonts w:ascii="Verdana" w:hAnsi="Verdana"/>
        </w:rPr>
        <w:t xml:space="preserve"> as necessary </w:t>
      </w:r>
    </w:p>
    <w:p w:rsidR="009577BA" w:rsidRPr="00514DF9" w:rsidRDefault="009577BA" w:rsidP="009577BA">
      <w:pPr>
        <w:pStyle w:val="BESABulletedText"/>
        <w:numPr>
          <w:ilvl w:val="0"/>
          <w:numId w:val="3"/>
        </w:numPr>
        <w:rPr>
          <w:rFonts w:ascii="Verdana" w:hAnsi="Verdana"/>
        </w:rPr>
      </w:pPr>
      <w:r>
        <w:rPr>
          <w:rFonts w:ascii="Verdana" w:hAnsi="Verdana"/>
        </w:rPr>
        <w:t>Coordinating</w:t>
      </w:r>
      <w:r w:rsidRPr="00514DF9">
        <w:rPr>
          <w:rFonts w:ascii="Verdana" w:hAnsi="Verdana"/>
        </w:rPr>
        <w:t xml:space="preserve"> the CTEs with the DRD </w:t>
      </w:r>
    </w:p>
    <w:p w:rsidR="009577BA" w:rsidRDefault="009577BA" w:rsidP="009577BA">
      <w:pPr>
        <w:pStyle w:val="BESABulletedText"/>
        <w:numPr>
          <w:ilvl w:val="0"/>
          <w:numId w:val="3"/>
        </w:numPr>
        <w:rPr>
          <w:rFonts w:ascii="Verdana" w:hAnsi="Verdana"/>
        </w:rPr>
      </w:pPr>
      <w:r>
        <w:rPr>
          <w:rFonts w:ascii="Verdana" w:hAnsi="Verdana"/>
        </w:rPr>
        <w:t>Performing</w:t>
      </w:r>
      <w:r w:rsidRPr="00514DF9">
        <w:rPr>
          <w:rFonts w:ascii="Verdana" w:hAnsi="Verdana"/>
        </w:rPr>
        <w:t xml:space="preserve"> a peer review on the </w:t>
      </w:r>
      <w:smartTag w:uri="urn:schemas-microsoft-com:office:smarttags" w:element="stockticker">
        <w:r w:rsidRPr="00514DF9">
          <w:rPr>
            <w:rFonts w:ascii="Verdana" w:hAnsi="Verdana"/>
          </w:rPr>
          <w:t>TRA</w:t>
        </w:r>
      </w:smartTag>
      <w:r w:rsidRPr="00514DF9">
        <w:rPr>
          <w:rFonts w:ascii="Verdana" w:hAnsi="Verdana"/>
        </w:rPr>
        <w:t xml:space="preserve"> </w:t>
      </w:r>
      <w:r w:rsidR="009E7A00">
        <w:rPr>
          <w:rFonts w:ascii="Verdana" w:hAnsi="Verdana"/>
        </w:rPr>
        <w:br/>
        <w:t xml:space="preserve">           </w:t>
      </w:r>
      <w:r w:rsidRPr="00514DF9">
        <w:rPr>
          <w:rFonts w:ascii="Verdana" w:hAnsi="Verdana"/>
        </w:rPr>
        <w:t>Report</w:t>
      </w:r>
    </w:p>
    <w:p w:rsidR="009577BA" w:rsidRPr="00255919" w:rsidRDefault="009577BA" w:rsidP="009577BA">
      <w:pPr>
        <w:pStyle w:val="BESABulletedText"/>
        <w:numPr>
          <w:ilvl w:val="0"/>
          <w:numId w:val="3"/>
        </w:numPr>
        <w:rPr>
          <w:rFonts w:ascii="Verdana" w:hAnsi="Verdana"/>
        </w:rPr>
      </w:pPr>
      <w:r w:rsidRPr="00255919">
        <w:rPr>
          <w:rFonts w:ascii="Verdana" w:hAnsi="Verdana"/>
          <w:bCs/>
        </w:rPr>
        <w:t>Coordinat</w:t>
      </w:r>
      <w:r>
        <w:rPr>
          <w:rFonts w:ascii="Verdana" w:hAnsi="Verdana"/>
          <w:bCs/>
        </w:rPr>
        <w:t>ing</w:t>
      </w:r>
      <w:r w:rsidRPr="00255919">
        <w:rPr>
          <w:rFonts w:ascii="Verdana" w:hAnsi="Verdana"/>
          <w:bCs/>
        </w:rPr>
        <w:t xml:space="preserve"> TRA activities with </w:t>
      </w:r>
      <w:r>
        <w:rPr>
          <w:rFonts w:ascii="Verdana" w:hAnsi="Verdana"/>
          <w:bCs/>
        </w:rPr>
        <w:t>DRD</w:t>
      </w:r>
      <w:r w:rsidRPr="00255919">
        <w:rPr>
          <w:rFonts w:ascii="Verdana" w:hAnsi="Verdana"/>
          <w:bCs/>
        </w:rPr>
        <w:t xml:space="preserve"> for </w:t>
      </w:r>
      <w:r w:rsidR="009E7A00">
        <w:rPr>
          <w:rFonts w:ascii="Verdana" w:hAnsi="Verdana"/>
          <w:bCs/>
        </w:rPr>
        <w:br/>
        <w:t xml:space="preserve">           </w:t>
      </w:r>
      <w:r w:rsidRPr="00255919">
        <w:rPr>
          <w:rFonts w:ascii="Verdana" w:hAnsi="Verdana"/>
          <w:bCs/>
        </w:rPr>
        <w:t>DAE programs</w:t>
      </w:r>
    </w:p>
    <w:p w:rsidR="009577BA" w:rsidRPr="00E7569D" w:rsidRDefault="009577BA" w:rsidP="009577BA">
      <w:pPr>
        <w:pStyle w:val="BESABulletedText"/>
        <w:numPr>
          <w:ilvl w:val="0"/>
          <w:numId w:val="3"/>
        </w:numPr>
        <w:rPr>
          <w:rFonts w:ascii="Verdana" w:hAnsi="Verdana"/>
        </w:rPr>
      </w:pPr>
      <w:r w:rsidRPr="00E7569D">
        <w:rPr>
          <w:rFonts w:ascii="Verdana" w:hAnsi="Verdana"/>
        </w:rPr>
        <w:t>Review</w:t>
      </w:r>
      <w:r>
        <w:rPr>
          <w:rFonts w:ascii="Verdana" w:hAnsi="Verdana"/>
        </w:rPr>
        <w:t>ing</w:t>
      </w:r>
      <w:r w:rsidRPr="00E7569D">
        <w:rPr>
          <w:rFonts w:ascii="Verdana" w:hAnsi="Verdana"/>
        </w:rPr>
        <w:t xml:space="preserve"> and validat</w:t>
      </w:r>
      <w:r>
        <w:rPr>
          <w:rFonts w:ascii="Verdana" w:hAnsi="Verdana"/>
        </w:rPr>
        <w:t>ing</w:t>
      </w:r>
      <w:r w:rsidRPr="00E7569D">
        <w:rPr>
          <w:rFonts w:ascii="Verdana" w:hAnsi="Verdana"/>
        </w:rPr>
        <w:t xml:space="preserve"> MDAP TRAs one month prior to milestone decision</w:t>
      </w:r>
      <w:r>
        <w:rPr>
          <w:rFonts w:ascii="Verdana" w:hAnsi="Verdana"/>
        </w:rPr>
        <w:t xml:space="preserve"> (MD)</w:t>
      </w:r>
      <w:r w:rsidRPr="00E7569D">
        <w:rPr>
          <w:rFonts w:ascii="Verdana" w:hAnsi="Verdana"/>
        </w:rPr>
        <w:t xml:space="preserve"> date and forward</w:t>
      </w:r>
      <w:r>
        <w:rPr>
          <w:rFonts w:ascii="Verdana" w:hAnsi="Verdana"/>
        </w:rPr>
        <w:t>ing</w:t>
      </w:r>
      <w:r w:rsidRPr="00E7569D">
        <w:rPr>
          <w:rFonts w:ascii="Verdana" w:hAnsi="Verdana"/>
        </w:rPr>
        <w:t xml:space="preserve"> endorsement to the </w:t>
      </w:r>
      <w:r>
        <w:rPr>
          <w:rFonts w:ascii="Verdana" w:hAnsi="Verdana"/>
        </w:rPr>
        <w:t>Component Acquisition Executive (</w:t>
      </w:r>
      <w:r w:rsidRPr="00E7569D">
        <w:rPr>
          <w:rFonts w:ascii="Verdana" w:hAnsi="Verdana"/>
        </w:rPr>
        <w:t>CAE</w:t>
      </w:r>
      <w:r>
        <w:rPr>
          <w:rFonts w:ascii="Verdana" w:hAnsi="Verdana"/>
        </w:rPr>
        <w:t>)</w:t>
      </w:r>
      <w:r w:rsidRPr="00E7569D">
        <w:rPr>
          <w:rFonts w:ascii="Verdana" w:hAnsi="Verdana"/>
        </w:rPr>
        <w:t xml:space="preserve"> for Milestone B and C. Additionally, transmit</w:t>
      </w:r>
      <w:r>
        <w:rPr>
          <w:rFonts w:ascii="Verdana" w:hAnsi="Verdana"/>
        </w:rPr>
        <w:t>ting</w:t>
      </w:r>
      <w:r w:rsidRPr="00E7569D">
        <w:rPr>
          <w:rFonts w:ascii="Verdana" w:hAnsi="Verdana"/>
        </w:rPr>
        <w:t xml:space="preserve"> ACAT ID and IAM endorsements through the CAE to </w:t>
      </w:r>
      <w:r>
        <w:rPr>
          <w:rFonts w:ascii="Verdana" w:hAnsi="Verdana"/>
        </w:rPr>
        <w:t>DRD.</w:t>
      </w:r>
    </w:p>
    <w:p w:rsidR="009577BA" w:rsidRPr="0023007F" w:rsidRDefault="009577BA" w:rsidP="009577BA">
      <w:pPr>
        <w:pStyle w:val="BESABulletedText"/>
        <w:numPr>
          <w:ilvl w:val="0"/>
          <w:numId w:val="3"/>
        </w:numPr>
        <w:rPr>
          <w:rFonts w:ascii="Verdana" w:hAnsi="Verdana" w:cs="Arial"/>
        </w:rPr>
      </w:pPr>
      <w:r w:rsidRPr="0023007F">
        <w:rPr>
          <w:rFonts w:ascii="Verdana" w:hAnsi="Verdana"/>
        </w:rPr>
        <w:t>Reviewing MDAP TRAs and ACAT II TRAs for which the CAE has retained responsibility as the MDA one month prior to the Milestone review date, and forwards a recommendation to the CAE.</w:t>
      </w:r>
    </w:p>
    <w:p w:rsidR="009577BA" w:rsidRDefault="009577BA" w:rsidP="009577BA">
      <w:pPr>
        <w:pStyle w:val="MediaText"/>
        <w:rPr>
          <w:rFonts w:ascii="Verdana" w:hAnsi="Verdana" w:cs="Arial"/>
        </w:rPr>
      </w:pPr>
    </w:p>
    <w:p w:rsidR="009E7A00" w:rsidRDefault="009577BA" w:rsidP="009577BA">
      <w:pPr>
        <w:rPr>
          <w:rFonts w:ascii="Verdana" w:hAnsi="Verdana"/>
        </w:rPr>
      </w:pPr>
      <w:r w:rsidRPr="009577BA">
        <w:rPr>
          <w:rFonts w:ascii="Verdana" w:hAnsi="Verdana" w:cs="Arial"/>
          <w:b/>
          <w:i/>
          <w:sz w:val="20"/>
        </w:rPr>
        <w:t>SAF / AQRE</w:t>
      </w:r>
      <w:r>
        <w:rPr>
          <w:rFonts w:ascii="Verdana" w:hAnsi="Verdana" w:cs="Arial"/>
          <w:b/>
          <w:i/>
          <w:sz w:val="20"/>
        </w:rPr>
        <w:br/>
      </w:r>
      <w:r>
        <w:rPr>
          <w:rFonts w:ascii="Verdana" w:hAnsi="Verdana" w:cs="Arial"/>
          <w:b/>
          <w:i/>
          <w:sz w:val="20"/>
        </w:rPr>
        <w:br/>
      </w:r>
    </w:p>
    <w:p w:rsidR="009577BA" w:rsidRDefault="009577BA" w:rsidP="009577BA">
      <w:pPr>
        <w:rPr>
          <w:rFonts w:ascii="Verdana" w:hAnsi="Verdana"/>
        </w:rPr>
      </w:pPr>
      <w:r>
        <w:rPr>
          <w:rFonts w:ascii="Verdana" w:hAnsi="Verdana"/>
        </w:rPr>
        <w:t xml:space="preserve">The SAF / AQRE </w:t>
      </w:r>
      <w:proofErr w:type="gramStart"/>
      <w:r>
        <w:rPr>
          <w:rFonts w:ascii="Verdana" w:hAnsi="Verdana"/>
        </w:rPr>
        <w:t>brings</w:t>
      </w:r>
      <w:proofErr w:type="gramEnd"/>
      <w:r>
        <w:rPr>
          <w:rFonts w:ascii="Verdana" w:hAnsi="Verdana"/>
        </w:rPr>
        <w:t xml:space="preserve"> AF process expertise to the project. He / she </w:t>
      </w:r>
      <w:proofErr w:type="gramStart"/>
      <w:r>
        <w:rPr>
          <w:rFonts w:ascii="Verdana" w:hAnsi="Verdana"/>
        </w:rPr>
        <w:t>is</w:t>
      </w:r>
      <w:proofErr w:type="gramEnd"/>
      <w:r>
        <w:rPr>
          <w:rFonts w:ascii="Verdana" w:hAnsi="Verdana"/>
        </w:rPr>
        <w:t xml:space="preserve"> responsible for </w:t>
      </w:r>
      <w:r w:rsidRPr="00287A59">
        <w:rPr>
          <w:rFonts w:ascii="Verdana" w:hAnsi="Verdana"/>
        </w:rPr>
        <w:t xml:space="preserve">TRAs, </w:t>
      </w:r>
      <w:r>
        <w:rPr>
          <w:rFonts w:ascii="Verdana" w:hAnsi="Verdana"/>
        </w:rPr>
        <w:t>Manufacturing Readiness Assessments (</w:t>
      </w:r>
      <w:r w:rsidRPr="00287A59">
        <w:rPr>
          <w:rFonts w:ascii="Verdana" w:hAnsi="Verdana"/>
        </w:rPr>
        <w:t>MRAs</w:t>
      </w:r>
      <w:r>
        <w:rPr>
          <w:rFonts w:ascii="Verdana" w:hAnsi="Verdana"/>
        </w:rPr>
        <w:t>)</w:t>
      </w:r>
      <w:r w:rsidRPr="00287A59">
        <w:rPr>
          <w:rFonts w:ascii="Verdana" w:hAnsi="Verdana"/>
        </w:rPr>
        <w:t xml:space="preserve">, </w:t>
      </w:r>
      <w:r>
        <w:rPr>
          <w:rFonts w:ascii="Verdana" w:hAnsi="Verdana"/>
        </w:rPr>
        <w:t>and Systems Engineering Plans (</w:t>
      </w:r>
      <w:r w:rsidRPr="00287A59">
        <w:rPr>
          <w:rFonts w:ascii="Verdana" w:hAnsi="Verdana"/>
        </w:rPr>
        <w:t>SEPs</w:t>
      </w:r>
      <w:r>
        <w:rPr>
          <w:rFonts w:ascii="Verdana" w:hAnsi="Verdana"/>
        </w:rPr>
        <w:t>). Specific responsibilities include</w:t>
      </w:r>
      <w:r w:rsidRPr="00514DF9">
        <w:rPr>
          <w:rFonts w:ascii="Verdana" w:hAnsi="Verdana"/>
        </w:rPr>
        <w:t>:</w:t>
      </w:r>
    </w:p>
    <w:p w:rsidR="009577BA" w:rsidRDefault="009577BA" w:rsidP="009577BA">
      <w:pPr>
        <w:pStyle w:val="BESABulletedText"/>
        <w:numPr>
          <w:ilvl w:val="0"/>
          <w:numId w:val="1"/>
        </w:numPr>
        <w:rPr>
          <w:rFonts w:ascii="Verdana" w:hAnsi="Verdana"/>
        </w:rPr>
      </w:pPr>
      <w:r w:rsidRPr="00B35804">
        <w:rPr>
          <w:rFonts w:ascii="Verdana" w:hAnsi="Verdana"/>
        </w:rPr>
        <w:t>Review</w:t>
      </w:r>
      <w:r>
        <w:rPr>
          <w:rFonts w:ascii="Verdana" w:hAnsi="Verdana"/>
        </w:rPr>
        <w:t>ing</w:t>
      </w:r>
      <w:r w:rsidRPr="00B35804">
        <w:rPr>
          <w:rFonts w:ascii="Verdana" w:hAnsi="Verdana"/>
        </w:rPr>
        <w:t xml:space="preserve"> MDAP TRA plans for Milestones B and C, to include the program office identification of critical technologies and technical experts to perform the TRA.</w:t>
      </w:r>
    </w:p>
    <w:p w:rsidR="009577BA" w:rsidRDefault="009577BA" w:rsidP="009577BA">
      <w:pPr>
        <w:numPr>
          <w:ilvl w:val="0"/>
          <w:numId w:val="1"/>
        </w:numPr>
        <w:rPr>
          <w:rFonts w:ascii="Verdana" w:hAnsi="Verdana" w:cs="Arial"/>
          <w:b/>
          <w:sz w:val="20"/>
        </w:rPr>
      </w:pPr>
      <w:r w:rsidRPr="00FD19D1">
        <w:rPr>
          <w:rFonts w:ascii="Verdana" w:hAnsi="Verdana"/>
          <w:sz w:val="20"/>
          <w:szCs w:val="20"/>
        </w:rPr>
        <w:t>Reviewing MDAP TRAs one month prior to scheduled MD date.</w:t>
      </w:r>
    </w:p>
    <w:p w:rsidR="009577BA" w:rsidRDefault="009577BA" w:rsidP="009577BA">
      <w:pPr>
        <w:rPr>
          <w:rFonts w:ascii="Verdana" w:hAnsi="Verdana" w:cs="Arial"/>
          <w:b/>
          <w:sz w:val="20"/>
        </w:rPr>
      </w:pPr>
    </w:p>
    <w:p w:rsidR="009577BA" w:rsidRDefault="009577BA" w:rsidP="009577BA">
      <w:pPr>
        <w:rPr>
          <w:rFonts w:ascii="Verdana" w:hAnsi="Verdana"/>
        </w:rPr>
      </w:pPr>
      <w:r w:rsidRPr="009577BA">
        <w:rPr>
          <w:rFonts w:ascii="Verdana" w:hAnsi="Verdana" w:cs="Arial"/>
          <w:b/>
          <w:i/>
          <w:sz w:val="20"/>
        </w:rPr>
        <w:t>PM at PMO</w:t>
      </w:r>
      <w:r>
        <w:rPr>
          <w:rFonts w:ascii="Verdana" w:hAnsi="Verdana" w:cs="Arial"/>
          <w:b/>
          <w:i/>
          <w:sz w:val="20"/>
        </w:rPr>
        <w:br/>
      </w:r>
      <w:r>
        <w:rPr>
          <w:rFonts w:ascii="Verdana" w:hAnsi="Verdana" w:cs="Arial"/>
          <w:b/>
          <w:i/>
          <w:sz w:val="20"/>
        </w:rPr>
        <w:br/>
      </w:r>
      <w:r>
        <w:rPr>
          <w:rFonts w:ascii="Verdana" w:hAnsi="Verdana"/>
        </w:rPr>
        <w:t>The PMO has d</w:t>
      </w:r>
      <w:r w:rsidRPr="007D1323">
        <w:rPr>
          <w:rFonts w:ascii="Verdana" w:hAnsi="Verdana"/>
        </w:rPr>
        <w:t xml:space="preserve">irect responsibility for the </w:t>
      </w:r>
      <w:smartTag w:uri="urn:schemas-microsoft-com:office:smarttags" w:element="stockticker">
        <w:r w:rsidRPr="007D1323">
          <w:rPr>
            <w:rFonts w:ascii="Verdana" w:hAnsi="Verdana"/>
          </w:rPr>
          <w:t>TRA</w:t>
        </w:r>
      </w:smartTag>
      <w:r w:rsidRPr="007D1323">
        <w:rPr>
          <w:rFonts w:ascii="Verdana" w:hAnsi="Verdana"/>
        </w:rPr>
        <w:t xml:space="preserve"> process</w:t>
      </w:r>
      <w:r>
        <w:rPr>
          <w:rFonts w:ascii="Verdana" w:hAnsi="Verdana"/>
        </w:rPr>
        <w:t>.  Specific responsibilities of the PM at the PMO include:</w:t>
      </w:r>
    </w:p>
    <w:p w:rsidR="009577BA" w:rsidRPr="009472CB" w:rsidRDefault="009577BA" w:rsidP="009577BA">
      <w:pPr>
        <w:pStyle w:val="BESABulletedText"/>
        <w:numPr>
          <w:ilvl w:val="0"/>
          <w:numId w:val="4"/>
        </w:numPr>
        <w:rPr>
          <w:rFonts w:ascii="Verdana" w:hAnsi="Verdana"/>
        </w:rPr>
      </w:pPr>
      <w:r>
        <w:rPr>
          <w:rFonts w:ascii="Verdana" w:hAnsi="Verdana"/>
        </w:rPr>
        <w:t>Accountability</w:t>
      </w:r>
      <w:r w:rsidRPr="009472CB">
        <w:rPr>
          <w:rFonts w:ascii="Verdana" w:hAnsi="Verdana"/>
        </w:rPr>
        <w:t xml:space="preserve"> for credible cost, schedule, and performance reporting to the MDA</w:t>
      </w:r>
    </w:p>
    <w:p w:rsidR="009577BA" w:rsidRPr="00DC4ADB" w:rsidRDefault="009577BA" w:rsidP="009577BA">
      <w:pPr>
        <w:pStyle w:val="BESABulletedText"/>
        <w:numPr>
          <w:ilvl w:val="0"/>
          <w:numId w:val="4"/>
        </w:numPr>
        <w:rPr>
          <w:rFonts w:ascii="Verdana" w:hAnsi="Verdana"/>
        </w:rPr>
      </w:pPr>
      <w:r w:rsidRPr="00DC4ADB">
        <w:rPr>
          <w:rFonts w:ascii="Verdana" w:hAnsi="Verdana"/>
          <w:bCs/>
        </w:rPr>
        <w:t>Initiating TRA process with SAF</w:t>
      </w:r>
      <w:r>
        <w:rPr>
          <w:rFonts w:ascii="Verdana" w:hAnsi="Verdana"/>
          <w:bCs/>
        </w:rPr>
        <w:t xml:space="preserve"> </w:t>
      </w:r>
      <w:r w:rsidRPr="00DC4ADB">
        <w:rPr>
          <w:rFonts w:ascii="Verdana" w:hAnsi="Verdana"/>
          <w:bCs/>
        </w:rPr>
        <w:t>/</w:t>
      </w:r>
      <w:r>
        <w:rPr>
          <w:rFonts w:ascii="Verdana" w:hAnsi="Verdana"/>
          <w:bCs/>
        </w:rPr>
        <w:t xml:space="preserve"> </w:t>
      </w:r>
      <w:r w:rsidRPr="00DC4ADB">
        <w:rPr>
          <w:rFonts w:ascii="Verdana" w:hAnsi="Verdana"/>
          <w:bCs/>
        </w:rPr>
        <w:t>AQR</w:t>
      </w:r>
    </w:p>
    <w:p w:rsidR="009577BA" w:rsidRPr="007D1323" w:rsidRDefault="009577BA" w:rsidP="009577BA">
      <w:pPr>
        <w:pStyle w:val="BESABulletedText"/>
        <w:numPr>
          <w:ilvl w:val="0"/>
          <w:numId w:val="4"/>
        </w:numPr>
        <w:rPr>
          <w:rFonts w:ascii="Verdana" w:hAnsi="Verdana"/>
        </w:rPr>
      </w:pPr>
      <w:r w:rsidRPr="007D1323">
        <w:rPr>
          <w:rFonts w:ascii="Verdana" w:hAnsi="Verdana"/>
        </w:rPr>
        <w:t>Develop</w:t>
      </w:r>
      <w:r>
        <w:rPr>
          <w:rFonts w:ascii="Verdana" w:hAnsi="Verdana"/>
        </w:rPr>
        <w:t>ing</w:t>
      </w:r>
      <w:r w:rsidRPr="007D1323">
        <w:rPr>
          <w:rFonts w:ascii="Verdana" w:hAnsi="Verdana"/>
        </w:rPr>
        <w:t xml:space="preserve"> the plan</w:t>
      </w:r>
      <w:r>
        <w:rPr>
          <w:rFonts w:ascii="Verdana" w:hAnsi="Verdana"/>
        </w:rPr>
        <w:t>, including the TRA schedule</w:t>
      </w:r>
    </w:p>
    <w:p w:rsidR="009577BA" w:rsidRPr="007D1323" w:rsidRDefault="009577BA" w:rsidP="009577BA">
      <w:pPr>
        <w:pStyle w:val="BESABulletedText"/>
        <w:numPr>
          <w:ilvl w:val="0"/>
          <w:numId w:val="4"/>
        </w:numPr>
        <w:rPr>
          <w:rFonts w:ascii="Verdana" w:hAnsi="Verdana"/>
        </w:rPr>
      </w:pPr>
      <w:r w:rsidRPr="007D1323">
        <w:rPr>
          <w:rFonts w:ascii="Verdana" w:hAnsi="Verdana"/>
        </w:rPr>
        <w:lastRenderedPageBreak/>
        <w:t>Provid</w:t>
      </w:r>
      <w:r>
        <w:rPr>
          <w:rFonts w:ascii="Verdana" w:hAnsi="Verdana"/>
        </w:rPr>
        <w:t>ing</w:t>
      </w:r>
      <w:r w:rsidRPr="007D1323">
        <w:rPr>
          <w:rFonts w:ascii="Verdana" w:hAnsi="Verdana"/>
        </w:rPr>
        <w:t xml:space="preserve"> biographies of candidate IRP </w:t>
      </w:r>
      <w:r>
        <w:rPr>
          <w:rFonts w:ascii="Verdana" w:hAnsi="Verdana"/>
        </w:rPr>
        <w:t xml:space="preserve">Lead and </w:t>
      </w:r>
      <w:r w:rsidRPr="007D1323">
        <w:rPr>
          <w:rFonts w:ascii="Verdana" w:hAnsi="Verdana"/>
        </w:rPr>
        <w:t>members to SAF</w:t>
      </w:r>
      <w:r>
        <w:rPr>
          <w:rFonts w:ascii="Verdana" w:hAnsi="Verdana"/>
        </w:rPr>
        <w:t xml:space="preserve"> </w:t>
      </w:r>
      <w:r w:rsidRPr="007D1323">
        <w:rPr>
          <w:rFonts w:ascii="Verdana" w:hAnsi="Verdana"/>
        </w:rPr>
        <w:t>/</w:t>
      </w:r>
      <w:r>
        <w:rPr>
          <w:rFonts w:ascii="Verdana" w:hAnsi="Verdana"/>
        </w:rPr>
        <w:t xml:space="preserve"> </w:t>
      </w:r>
      <w:r w:rsidRPr="007D1323">
        <w:rPr>
          <w:rFonts w:ascii="Verdana" w:hAnsi="Verdana"/>
        </w:rPr>
        <w:t>AQR</w:t>
      </w:r>
    </w:p>
    <w:p w:rsidR="009577BA" w:rsidRPr="007D1323" w:rsidRDefault="009577BA" w:rsidP="009577BA">
      <w:pPr>
        <w:pStyle w:val="BESABulletedText"/>
        <w:numPr>
          <w:ilvl w:val="0"/>
          <w:numId w:val="4"/>
        </w:numPr>
        <w:rPr>
          <w:rFonts w:ascii="Verdana" w:hAnsi="Verdana"/>
        </w:rPr>
      </w:pPr>
      <w:r w:rsidRPr="007D1323">
        <w:rPr>
          <w:rFonts w:ascii="Verdana" w:hAnsi="Verdana"/>
        </w:rPr>
        <w:t>Train</w:t>
      </w:r>
      <w:r>
        <w:rPr>
          <w:rFonts w:ascii="Verdana" w:hAnsi="Verdana"/>
        </w:rPr>
        <w:t>ing</w:t>
      </w:r>
      <w:r w:rsidRPr="007D1323">
        <w:rPr>
          <w:rFonts w:ascii="Verdana" w:hAnsi="Verdana"/>
        </w:rPr>
        <w:t xml:space="preserve"> the IRP</w:t>
      </w:r>
      <w:r>
        <w:rPr>
          <w:rFonts w:ascii="Verdana" w:hAnsi="Verdana"/>
        </w:rPr>
        <w:t>.</w:t>
      </w:r>
      <w:r w:rsidRPr="007D1323">
        <w:rPr>
          <w:rFonts w:ascii="Verdana" w:hAnsi="Verdana"/>
        </w:rPr>
        <w:t xml:space="preserve"> </w:t>
      </w:r>
      <w:r>
        <w:rPr>
          <w:rFonts w:ascii="Verdana" w:hAnsi="Verdana"/>
        </w:rPr>
        <w:t xml:space="preserve">This task may also be performed by </w:t>
      </w:r>
      <w:r w:rsidRPr="007D1323">
        <w:rPr>
          <w:rFonts w:ascii="Verdana" w:hAnsi="Verdana"/>
        </w:rPr>
        <w:t>SAF</w:t>
      </w:r>
      <w:r>
        <w:rPr>
          <w:rFonts w:ascii="Verdana" w:hAnsi="Verdana"/>
        </w:rPr>
        <w:t xml:space="preserve"> </w:t>
      </w:r>
      <w:r w:rsidRPr="007D1323">
        <w:rPr>
          <w:rFonts w:ascii="Verdana" w:hAnsi="Verdana"/>
        </w:rPr>
        <w:t>/</w:t>
      </w:r>
      <w:r>
        <w:rPr>
          <w:rFonts w:ascii="Verdana" w:hAnsi="Verdana"/>
        </w:rPr>
        <w:t xml:space="preserve"> </w:t>
      </w:r>
      <w:r w:rsidRPr="007D1323">
        <w:rPr>
          <w:rFonts w:ascii="Verdana" w:hAnsi="Verdana"/>
        </w:rPr>
        <w:t>AQR, SAF</w:t>
      </w:r>
      <w:r>
        <w:rPr>
          <w:rFonts w:ascii="Verdana" w:hAnsi="Verdana"/>
        </w:rPr>
        <w:t xml:space="preserve"> </w:t>
      </w:r>
      <w:r w:rsidRPr="007D1323">
        <w:rPr>
          <w:rFonts w:ascii="Verdana" w:hAnsi="Verdana"/>
        </w:rPr>
        <w:t>/</w:t>
      </w:r>
      <w:r>
        <w:rPr>
          <w:rFonts w:ascii="Verdana" w:hAnsi="Verdana"/>
        </w:rPr>
        <w:t xml:space="preserve"> </w:t>
      </w:r>
      <w:r w:rsidRPr="007D1323">
        <w:rPr>
          <w:rFonts w:ascii="Verdana" w:hAnsi="Verdana"/>
        </w:rPr>
        <w:t>AQRE</w:t>
      </w:r>
      <w:r>
        <w:rPr>
          <w:rFonts w:ascii="Verdana" w:hAnsi="Verdana"/>
        </w:rPr>
        <w:t>. E</w:t>
      </w:r>
      <w:r w:rsidRPr="007D1323">
        <w:rPr>
          <w:rFonts w:ascii="Verdana" w:hAnsi="Verdana"/>
        </w:rPr>
        <w:t>ither way</w:t>
      </w:r>
      <w:r>
        <w:rPr>
          <w:rFonts w:ascii="Verdana" w:hAnsi="Verdana"/>
        </w:rPr>
        <w:t xml:space="preserve">, the PM </w:t>
      </w:r>
      <w:r w:rsidRPr="007D1323">
        <w:rPr>
          <w:rFonts w:ascii="Verdana" w:hAnsi="Verdana"/>
        </w:rPr>
        <w:t xml:space="preserve">funds </w:t>
      </w:r>
      <w:r>
        <w:rPr>
          <w:rFonts w:ascii="Verdana" w:hAnsi="Verdana"/>
        </w:rPr>
        <w:t xml:space="preserve">the </w:t>
      </w:r>
      <w:r w:rsidRPr="007D1323">
        <w:rPr>
          <w:rFonts w:ascii="Verdana" w:hAnsi="Verdana"/>
        </w:rPr>
        <w:t>TRA</w:t>
      </w:r>
      <w:r>
        <w:rPr>
          <w:rFonts w:ascii="Verdana" w:hAnsi="Verdana"/>
        </w:rPr>
        <w:t xml:space="preserve"> (including training)</w:t>
      </w:r>
      <w:r w:rsidRPr="007D1323">
        <w:rPr>
          <w:rFonts w:ascii="Verdana" w:hAnsi="Verdana"/>
        </w:rPr>
        <w:t xml:space="preserve">, </w:t>
      </w:r>
      <w:r>
        <w:rPr>
          <w:rFonts w:ascii="Verdana" w:hAnsi="Verdana"/>
        </w:rPr>
        <w:t xml:space="preserve">while the </w:t>
      </w:r>
      <w:r w:rsidRPr="007D1323">
        <w:rPr>
          <w:rFonts w:ascii="Verdana" w:hAnsi="Verdana"/>
        </w:rPr>
        <w:t>SAF</w:t>
      </w:r>
      <w:r>
        <w:rPr>
          <w:rFonts w:ascii="Verdana" w:hAnsi="Verdana"/>
        </w:rPr>
        <w:t xml:space="preserve"> </w:t>
      </w:r>
      <w:r w:rsidRPr="007D1323">
        <w:rPr>
          <w:rFonts w:ascii="Verdana" w:hAnsi="Verdana"/>
        </w:rPr>
        <w:t>/</w:t>
      </w:r>
      <w:r>
        <w:rPr>
          <w:rFonts w:ascii="Verdana" w:hAnsi="Verdana"/>
        </w:rPr>
        <w:t xml:space="preserve"> </w:t>
      </w:r>
      <w:r w:rsidRPr="007D1323">
        <w:rPr>
          <w:rFonts w:ascii="Verdana" w:hAnsi="Verdana"/>
        </w:rPr>
        <w:t>AQR owns the AF T</w:t>
      </w:r>
      <w:r>
        <w:rPr>
          <w:rFonts w:ascii="Verdana" w:hAnsi="Verdana"/>
        </w:rPr>
        <w:t>RA process and coordinates TRA.</w:t>
      </w:r>
    </w:p>
    <w:p w:rsidR="009577BA" w:rsidRPr="007D1323" w:rsidRDefault="009577BA" w:rsidP="009577BA">
      <w:pPr>
        <w:pStyle w:val="BESABulletedText"/>
        <w:numPr>
          <w:ilvl w:val="0"/>
          <w:numId w:val="4"/>
        </w:numPr>
        <w:rPr>
          <w:rFonts w:ascii="Verdana" w:hAnsi="Verdana"/>
        </w:rPr>
      </w:pPr>
      <w:r w:rsidRPr="007D1323">
        <w:rPr>
          <w:rFonts w:ascii="Verdana" w:hAnsi="Verdana"/>
        </w:rPr>
        <w:t>Identif</w:t>
      </w:r>
      <w:r>
        <w:rPr>
          <w:rFonts w:ascii="Verdana" w:hAnsi="Verdana"/>
        </w:rPr>
        <w:t>ying</w:t>
      </w:r>
      <w:r w:rsidRPr="007D1323">
        <w:rPr>
          <w:rFonts w:ascii="Verdana" w:hAnsi="Verdana"/>
        </w:rPr>
        <w:t xml:space="preserve"> a candidate </w:t>
      </w:r>
      <w:smartTag w:uri="urn:schemas-microsoft-com:office:smarttags" w:element="stockticker">
        <w:r w:rsidRPr="007D1323">
          <w:rPr>
            <w:rFonts w:ascii="Verdana" w:hAnsi="Verdana"/>
          </w:rPr>
          <w:t>CTE</w:t>
        </w:r>
      </w:smartTag>
      <w:r w:rsidRPr="007D1323">
        <w:rPr>
          <w:rFonts w:ascii="Verdana" w:hAnsi="Verdana"/>
        </w:rPr>
        <w:t xml:space="preserve"> list</w:t>
      </w:r>
      <w:r>
        <w:rPr>
          <w:rFonts w:ascii="Verdana" w:hAnsi="Verdana"/>
        </w:rPr>
        <w:t xml:space="preserve"> per work breakdown structure (WBS)</w:t>
      </w:r>
    </w:p>
    <w:p w:rsidR="009577BA" w:rsidRPr="007D1323" w:rsidRDefault="009577BA" w:rsidP="009577BA">
      <w:pPr>
        <w:pStyle w:val="BESABulletedText"/>
        <w:numPr>
          <w:ilvl w:val="0"/>
          <w:numId w:val="4"/>
        </w:numPr>
        <w:rPr>
          <w:rFonts w:ascii="Verdana" w:hAnsi="Verdana"/>
        </w:rPr>
      </w:pPr>
      <w:r w:rsidRPr="007D1323">
        <w:rPr>
          <w:rFonts w:ascii="Verdana" w:hAnsi="Verdana"/>
        </w:rPr>
        <w:t>Collect</w:t>
      </w:r>
      <w:r>
        <w:rPr>
          <w:rFonts w:ascii="Verdana" w:hAnsi="Verdana"/>
        </w:rPr>
        <w:t>ing</w:t>
      </w:r>
      <w:r w:rsidRPr="007D1323">
        <w:rPr>
          <w:rFonts w:ascii="Verdana" w:hAnsi="Verdana"/>
        </w:rPr>
        <w:t xml:space="preserve"> and provid</w:t>
      </w:r>
      <w:r>
        <w:rPr>
          <w:rFonts w:ascii="Verdana" w:hAnsi="Verdana"/>
        </w:rPr>
        <w:t>ing</w:t>
      </w:r>
      <w:r w:rsidRPr="007D1323">
        <w:rPr>
          <w:rFonts w:ascii="Verdana" w:hAnsi="Verdana"/>
        </w:rPr>
        <w:t xml:space="preserve"> data for the IRP to use in assessing </w:t>
      </w:r>
      <w:smartTag w:uri="urn:schemas-microsoft-com:office:smarttags" w:element="stockticker">
        <w:r w:rsidRPr="007D1323">
          <w:rPr>
            <w:rFonts w:ascii="Verdana" w:hAnsi="Verdana"/>
          </w:rPr>
          <w:t>CTE</w:t>
        </w:r>
      </w:smartTag>
      <w:r w:rsidRPr="007D1323">
        <w:rPr>
          <w:rFonts w:ascii="Verdana" w:hAnsi="Verdana"/>
        </w:rPr>
        <w:t xml:space="preserve"> maturity</w:t>
      </w:r>
    </w:p>
    <w:p w:rsidR="009577BA" w:rsidRPr="00AB6EEC" w:rsidRDefault="009577BA" w:rsidP="009577BA">
      <w:pPr>
        <w:pStyle w:val="BESABulletedText"/>
        <w:numPr>
          <w:ilvl w:val="0"/>
          <w:numId w:val="4"/>
        </w:numPr>
        <w:rPr>
          <w:rFonts w:ascii="Verdana" w:hAnsi="Verdana"/>
        </w:rPr>
      </w:pPr>
      <w:r w:rsidRPr="00AB6EEC">
        <w:rPr>
          <w:rFonts w:ascii="Verdana" w:hAnsi="Verdana"/>
        </w:rPr>
        <w:t xml:space="preserve">Providing </w:t>
      </w:r>
      <w:r>
        <w:rPr>
          <w:rFonts w:ascii="Verdana" w:hAnsi="Verdana"/>
        </w:rPr>
        <w:t xml:space="preserve">a </w:t>
      </w:r>
      <w:r w:rsidRPr="00AB6EEC">
        <w:rPr>
          <w:rFonts w:ascii="Verdana" w:hAnsi="Verdana"/>
        </w:rPr>
        <w:t xml:space="preserve">facility for the IRP </w:t>
      </w:r>
    </w:p>
    <w:p w:rsidR="009577BA" w:rsidRPr="00AB6EEC" w:rsidRDefault="009577BA" w:rsidP="009577BA">
      <w:pPr>
        <w:pStyle w:val="BESABulletedText"/>
        <w:numPr>
          <w:ilvl w:val="0"/>
          <w:numId w:val="4"/>
        </w:numPr>
        <w:rPr>
          <w:rFonts w:ascii="Verdana" w:hAnsi="Verdana"/>
        </w:rPr>
      </w:pPr>
      <w:r w:rsidRPr="00AB6EEC">
        <w:rPr>
          <w:rFonts w:ascii="Verdana" w:hAnsi="Verdana"/>
        </w:rPr>
        <w:t xml:space="preserve">Building the </w:t>
      </w:r>
      <w:r>
        <w:rPr>
          <w:rFonts w:ascii="Verdana" w:hAnsi="Verdana"/>
        </w:rPr>
        <w:t xml:space="preserve">final </w:t>
      </w:r>
      <w:smartTag w:uri="urn:schemas-microsoft-com:office:smarttags" w:element="stockticker">
        <w:r w:rsidRPr="00AB6EEC">
          <w:rPr>
            <w:rFonts w:ascii="Verdana" w:hAnsi="Verdana"/>
          </w:rPr>
          <w:t>TRA</w:t>
        </w:r>
      </w:smartTag>
      <w:r w:rsidRPr="00AB6EEC">
        <w:rPr>
          <w:rFonts w:ascii="Verdana" w:hAnsi="Verdana"/>
        </w:rPr>
        <w:t xml:space="preserve"> Report (responsible for Section 1, Purpose; Section 2, Program Overview; Section 4, PMO Response to IRP Assessment)</w:t>
      </w:r>
      <w:r>
        <w:rPr>
          <w:rFonts w:ascii="Verdana" w:hAnsi="Verdana"/>
        </w:rPr>
        <w:t xml:space="preserve"> and coordinating it with SAF/AQR</w:t>
      </w:r>
    </w:p>
    <w:p w:rsidR="009577BA" w:rsidRDefault="009577BA" w:rsidP="009577BA">
      <w:pPr>
        <w:pStyle w:val="MediaText"/>
        <w:numPr>
          <w:ilvl w:val="0"/>
          <w:numId w:val="4"/>
        </w:numPr>
        <w:rPr>
          <w:rFonts w:ascii="Verdana" w:hAnsi="Verdana" w:cs="Arial"/>
        </w:rPr>
      </w:pPr>
      <w:r w:rsidRPr="00F50896">
        <w:rPr>
          <w:rFonts w:ascii="Verdana" w:hAnsi="Verdana"/>
        </w:rPr>
        <w:t>Overall responsibility: Ensuring the use of mature technologies demonstrated in a relevant environment at Milestone B and an operational environment at Milestone C.</w:t>
      </w:r>
    </w:p>
    <w:p w:rsidR="009577BA" w:rsidRDefault="009577BA" w:rsidP="009577BA">
      <w:pPr>
        <w:pStyle w:val="MediaText"/>
        <w:rPr>
          <w:rFonts w:ascii="Verdana" w:hAnsi="Verdana" w:cs="Arial"/>
        </w:rPr>
      </w:pPr>
    </w:p>
    <w:p w:rsidR="009577BA" w:rsidRPr="00287A59" w:rsidRDefault="009577BA" w:rsidP="00140D15">
      <w:pPr>
        <w:rPr>
          <w:rFonts w:ascii="Verdana" w:hAnsi="Verdana"/>
        </w:rPr>
      </w:pPr>
      <w:r w:rsidRPr="00140D15">
        <w:rPr>
          <w:rFonts w:ascii="Verdana" w:hAnsi="Verdana" w:cs="Arial"/>
          <w:b/>
          <w:i/>
          <w:sz w:val="20"/>
        </w:rPr>
        <w:t>IRP Lead</w:t>
      </w:r>
      <w:r w:rsidR="00140D15">
        <w:rPr>
          <w:rFonts w:ascii="Verdana" w:hAnsi="Verdana" w:cs="Arial"/>
          <w:b/>
          <w:i/>
          <w:sz w:val="20"/>
        </w:rPr>
        <w:br/>
      </w:r>
      <w:r w:rsidR="00140D15">
        <w:rPr>
          <w:rFonts w:ascii="Verdana" w:hAnsi="Verdana" w:cs="Arial"/>
          <w:b/>
          <w:i/>
          <w:sz w:val="20"/>
        </w:rPr>
        <w:br/>
      </w:r>
      <w:r w:rsidRPr="00287A59">
        <w:rPr>
          <w:rFonts w:ascii="Verdana" w:hAnsi="Verdana"/>
        </w:rPr>
        <w:t>The IRP Lead coordinates the efforts of the IRP. He</w:t>
      </w:r>
      <w:r>
        <w:rPr>
          <w:rFonts w:ascii="Verdana" w:hAnsi="Verdana"/>
        </w:rPr>
        <w:t xml:space="preserve"> </w:t>
      </w:r>
      <w:r w:rsidRPr="00287A59">
        <w:rPr>
          <w:rFonts w:ascii="Verdana" w:hAnsi="Verdana"/>
        </w:rPr>
        <w:t>/</w:t>
      </w:r>
      <w:r>
        <w:rPr>
          <w:rFonts w:ascii="Verdana" w:hAnsi="Verdana"/>
        </w:rPr>
        <w:t xml:space="preserve"> </w:t>
      </w:r>
      <w:r w:rsidRPr="00287A59">
        <w:rPr>
          <w:rFonts w:ascii="Verdana" w:hAnsi="Verdana"/>
        </w:rPr>
        <w:t xml:space="preserve">she must ensure the fair, accurate and on time delivery of the </w:t>
      </w:r>
      <w:smartTag w:uri="urn:schemas-microsoft-com:office:smarttags" w:element="stockticker">
        <w:r w:rsidRPr="00287A59">
          <w:rPr>
            <w:rFonts w:ascii="Verdana" w:hAnsi="Verdana"/>
          </w:rPr>
          <w:t>TRA</w:t>
        </w:r>
      </w:smartTag>
      <w:r w:rsidRPr="00287A59">
        <w:rPr>
          <w:rFonts w:ascii="Verdana" w:hAnsi="Verdana"/>
        </w:rPr>
        <w:t xml:space="preserve"> report</w:t>
      </w:r>
      <w:r>
        <w:rPr>
          <w:rFonts w:ascii="Verdana" w:hAnsi="Verdana"/>
        </w:rPr>
        <w:t>, to include:</w:t>
      </w:r>
      <w:r w:rsidRPr="00287A59">
        <w:rPr>
          <w:rFonts w:ascii="Verdana" w:hAnsi="Verdana"/>
        </w:rPr>
        <w:t xml:space="preserve"> </w:t>
      </w:r>
    </w:p>
    <w:p w:rsidR="009577BA" w:rsidRPr="00DC4ADB" w:rsidRDefault="009577BA" w:rsidP="009577BA">
      <w:pPr>
        <w:pStyle w:val="BESABulletedText"/>
        <w:numPr>
          <w:ilvl w:val="0"/>
          <w:numId w:val="5"/>
        </w:numPr>
        <w:rPr>
          <w:rFonts w:ascii="Verdana" w:hAnsi="Verdana"/>
        </w:rPr>
      </w:pPr>
      <w:r w:rsidRPr="00DC4ADB">
        <w:rPr>
          <w:rFonts w:ascii="Verdana" w:hAnsi="Verdana"/>
          <w:bCs/>
        </w:rPr>
        <w:t>Manag</w:t>
      </w:r>
      <w:r>
        <w:rPr>
          <w:rFonts w:ascii="Verdana" w:hAnsi="Verdana"/>
          <w:bCs/>
        </w:rPr>
        <w:t>ing</w:t>
      </w:r>
      <w:r w:rsidRPr="00DC4ADB">
        <w:rPr>
          <w:rFonts w:ascii="Verdana" w:hAnsi="Verdana"/>
          <w:bCs/>
        </w:rPr>
        <w:t xml:space="preserve"> assessment effort</w:t>
      </w:r>
      <w:r>
        <w:rPr>
          <w:rFonts w:ascii="Verdana" w:hAnsi="Verdana"/>
          <w:bCs/>
        </w:rPr>
        <w:t>s</w:t>
      </w:r>
      <w:r w:rsidRPr="00DC4ADB">
        <w:rPr>
          <w:rFonts w:ascii="Verdana" w:hAnsi="Verdana"/>
          <w:bCs/>
        </w:rPr>
        <w:t xml:space="preserve"> </w:t>
      </w:r>
      <w:r>
        <w:rPr>
          <w:rFonts w:ascii="Verdana" w:hAnsi="Verdana"/>
          <w:bCs/>
        </w:rPr>
        <w:t>in accordance with (</w:t>
      </w:r>
      <w:r w:rsidRPr="00DC4ADB">
        <w:rPr>
          <w:rFonts w:ascii="Verdana" w:hAnsi="Verdana"/>
          <w:bCs/>
        </w:rPr>
        <w:t>IAW</w:t>
      </w:r>
      <w:r>
        <w:rPr>
          <w:rFonts w:ascii="Verdana" w:hAnsi="Verdana"/>
          <w:bCs/>
        </w:rPr>
        <w:t>)</w:t>
      </w:r>
      <w:r w:rsidRPr="00DC4ADB">
        <w:rPr>
          <w:rFonts w:ascii="Verdana" w:hAnsi="Verdana"/>
          <w:bCs/>
        </w:rPr>
        <w:t xml:space="preserve"> TRA </w:t>
      </w:r>
      <w:proofErr w:type="spellStart"/>
      <w:r w:rsidRPr="00DC4ADB">
        <w:rPr>
          <w:rFonts w:ascii="Verdana" w:hAnsi="Verdana"/>
          <w:bCs/>
        </w:rPr>
        <w:t>Deskbook</w:t>
      </w:r>
      <w:proofErr w:type="spellEnd"/>
      <w:r w:rsidRPr="00DC4ADB">
        <w:rPr>
          <w:rFonts w:ascii="Verdana" w:hAnsi="Verdana"/>
          <w:bCs/>
        </w:rPr>
        <w:t xml:space="preserve"> and PMO schedule</w:t>
      </w:r>
    </w:p>
    <w:p w:rsidR="009577BA" w:rsidRPr="00DC4ADB" w:rsidRDefault="009577BA" w:rsidP="009577BA">
      <w:pPr>
        <w:pStyle w:val="BESABulletedText"/>
        <w:numPr>
          <w:ilvl w:val="0"/>
          <w:numId w:val="5"/>
        </w:numPr>
        <w:rPr>
          <w:rFonts w:ascii="Verdana" w:hAnsi="Verdana"/>
        </w:rPr>
      </w:pPr>
      <w:r w:rsidRPr="00DC4ADB">
        <w:rPr>
          <w:rFonts w:ascii="Verdana" w:hAnsi="Verdana"/>
          <w:bCs/>
        </w:rPr>
        <w:t>Obtain</w:t>
      </w:r>
      <w:r>
        <w:rPr>
          <w:rFonts w:ascii="Verdana" w:hAnsi="Verdana"/>
          <w:bCs/>
        </w:rPr>
        <w:t>ing</w:t>
      </w:r>
      <w:r w:rsidRPr="00DC4ADB">
        <w:rPr>
          <w:rFonts w:ascii="Verdana" w:hAnsi="Verdana"/>
          <w:bCs/>
        </w:rPr>
        <w:t xml:space="preserve"> additional expertise and artifact information</w:t>
      </w:r>
      <w:r>
        <w:rPr>
          <w:rFonts w:ascii="Verdana" w:hAnsi="Verdana"/>
          <w:bCs/>
        </w:rPr>
        <w:t>,</w:t>
      </w:r>
      <w:r w:rsidRPr="00DC4ADB">
        <w:rPr>
          <w:rFonts w:ascii="Verdana" w:hAnsi="Verdana"/>
          <w:bCs/>
        </w:rPr>
        <w:t xml:space="preserve"> as needed</w:t>
      </w:r>
    </w:p>
    <w:p w:rsidR="009577BA" w:rsidRPr="00DC4ADB" w:rsidRDefault="009577BA" w:rsidP="009577BA">
      <w:pPr>
        <w:pStyle w:val="BESABulletedText"/>
        <w:numPr>
          <w:ilvl w:val="0"/>
          <w:numId w:val="5"/>
        </w:numPr>
        <w:rPr>
          <w:rFonts w:ascii="Verdana" w:hAnsi="Verdana"/>
        </w:rPr>
      </w:pPr>
      <w:r w:rsidRPr="00DC4ADB">
        <w:rPr>
          <w:rFonts w:ascii="Verdana" w:hAnsi="Verdana"/>
          <w:bCs/>
        </w:rPr>
        <w:t>Striv</w:t>
      </w:r>
      <w:r>
        <w:rPr>
          <w:rFonts w:ascii="Verdana" w:hAnsi="Verdana"/>
          <w:bCs/>
        </w:rPr>
        <w:t>ing</w:t>
      </w:r>
      <w:r w:rsidRPr="00DC4ADB">
        <w:rPr>
          <w:rFonts w:ascii="Verdana" w:hAnsi="Verdana"/>
          <w:bCs/>
        </w:rPr>
        <w:t xml:space="preserve"> for consensus in assessment</w:t>
      </w:r>
    </w:p>
    <w:p w:rsidR="009577BA" w:rsidRPr="00DC4ADB" w:rsidRDefault="009577BA" w:rsidP="009577BA">
      <w:pPr>
        <w:pStyle w:val="BESABulletedText"/>
        <w:numPr>
          <w:ilvl w:val="0"/>
          <w:numId w:val="5"/>
        </w:numPr>
        <w:rPr>
          <w:rFonts w:ascii="Verdana" w:hAnsi="Verdana"/>
        </w:rPr>
      </w:pPr>
      <w:r w:rsidRPr="00DC4ADB">
        <w:rPr>
          <w:rFonts w:ascii="Verdana" w:hAnsi="Verdana"/>
          <w:bCs/>
        </w:rPr>
        <w:t>Sign</w:t>
      </w:r>
      <w:r>
        <w:rPr>
          <w:rFonts w:ascii="Verdana" w:hAnsi="Verdana"/>
          <w:bCs/>
        </w:rPr>
        <w:t>ing</w:t>
      </w:r>
      <w:r w:rsidRPr="00DC4ADB">
        <w:rPr>
          <w:rFonts w:ascii="Verdana" w:hAnsi="Verdana"/>
          <w:bCs/>
        </w:rPr>
        <w:t xml:space="preserve"> final TRA document</w:t>
      </w:r>
    </w:p>
    <w:p w:rsidR="009577BA" w:rsidRPr="000267F4" w:rsidRDefault="009577BA" w:rsidP="009577BA">
      <w:pPr>
        <w:pStyle w:val="BESABulletedText"/>
        <w:numPr>
          <w:ilvl w:val="0"/>
          <w:numId w:val="5"/>
        </w:numPr>
        <w:rPr>
          <w:rFonts w:ascii="Verdana" w:hAnsi="Verdana"/>
        </w:rPr>
      </w:pPr>
      <w:r w:rsidRPr="000267F4">
        <w:rPr>
          <w:rFonts w:ascii="Verdana" w:hAnsi="Verdana"/>
        </w:rPr>
        <w:t xml:space="preserve">Communicating progress and </w:t>
      </w:r>
      <w:proofErr w:type="spellStart"/>
      <w:r w:rsidRPr="000267F4">
        <w:rPr>
          <w:rFonts w:ascii="Verdana" w:hAnsi="Verdana"/>
        </w:rPr>
        <w:t>outbriefing</w:t>
      </w:r>
      <w:proofErr w:type="spellEnd"/>
      <w:r w:rsidRPr="000267F4">
        <w:rPr>
          <w:rFonts w:ascii="Verdana" w:hAnsi="Verdana"/>
        </w:rPr>
        <w:t xml:space="preserve"> TRA results to SAF / AQR</w:t>
      </w:r>
    </w:p>
    <w:p w:rsidR="009577BA" w:rsidRDefault="009577BA" w:rsidP="009577BA">
      <w:pPr>
        <w:pStyle w:val="MediaText"/>
        <w:rPr>
          <w:rFonts w:ascii="Verdana" w:hAnsi="Verdana"/>
        </w:rPr>
      </w:pPr>
    </w:p>
    <w:p w:rsidR="009577BA" w:rsidRDefault="009577BA" w:rsidP="009577BA">
      <w:pPr>
        <w:rPr>
          <w:rFonts w:ascii="Verdana" w:hAnsi="Verdana" w:cs="Arial"/>
          <w:sz w:val="20"/>
        </w:rPr>
      </w:pPr>
      <w:r w:rsidRPr="0058695D">
        <w:rPr>
          <w:rFonts w:ascii="Verdana" w:hAnsi="Verdana" w:cs="Arial"/>
          <w:b/>
          <w:i/>
          <w:sz w:val="20"/>
        </w:rPr>
        <w:t>IRP Team Members</w:t>
      </w:r>
      <w:r w:rsidR="0058695D">
        <w:rPr>
          <w:rFonts w:ascii="Verdana" w:hAnsi="Verdana" w:cs="Arial"/>
          <w:b/>
          <w:i/>
          <w:sz w:val="20"/>
        </w:rPr>
        <w:br/>
      </w:r>
    </w:p>
    <w:p w:rsidR="009577BA" w:rsidRPr="00514DF9" w:rsidRDefault="009577BA" w:rsidP="009577BA">
      <w:pPr>
        <w:pStyle w:val="BESAScreenText"/>
        <w:autoSpaceDE w:val="0"/>
        <w:autoSpaceDN w:val="0"/>
        <w:adjustRightInd w:val="0"/>
        <w:rPr>
          <w:rFonts w:ascii="Verdana" w:hAnsi="Verdana"/>
        </w:rPr>
      </w:pPr>
      <w:r>
        <w:rPr>
          <w:rFonts w:ascii="Verdana" w:hAnsi="Verdana"/>
        </w:rPr>
        <w:t>The IRP brings subject matter expertise to the process. Panel responsibilities include:</w:t>
      </w:r>
    </w:p>
    <w:p w:rsidR="009577BA" w:rsidRPr="00DC4ADB" w:rsidRDefault="009577BA" w:rsidP="009577BA">
      <w:pPr>
        <w:pStyle w:val="BESABulletedText"/>
        <w:numPr>
          <w:ilvl w:val="0"/>
          <w:numId w:val="6"/>
        </w:numPr>
        <w:rPr>
          <w:rFonts w:ascii="Verdana" w:hAnsi="Verdana"/>
        </w:rPr>
      </w:pPr>
      <w:r w:rsidRPr="00DC4ADB">
        <w:rPr>
          <w:rFonts w:ascii="Verdana" w:hAnsi="Verdana"/>
        </w:rPr>
        <w:t xml:space="preserve">Completing DAU </w:t>
      </w:r>
      <w:smartTag w:uri="urn:schemas-microsoft-com:office:smarttags" w:element="stockticker">
        <w:r w:rsidRPr="00DC4ADB">
          <w:rPr>
            <w:rFonts w:ascii="Verdana" w:hAnsi="Verdana"/>
          </w:rPr>
          <w:t>CLE</w:t>
        </w:r>
      </w:smartTag>
      <w:r w:rsidRPr="00DC4ADB">
        <w:rPr>
          <w:rFonts w:ascii="Verdana" w:hAnsi="Verdana"/>
        </w:rPr>
        <w:t xml:space="preserve"> 021 </w:t>
      </w:r>
      <w:r w:rsidRPr="00F74F2E">
        <w:rPr>
          <w:rFonts w:ascii="Verdana" w:hAnsi="Verdana"/>
          <w:i/>
        </w:rPr>
        <w:t>Technology Readiness Assessment</w:t>
      </w:r>
      <w:r w:rsidRPr="00DC4ADB">
        <w:rPr>
          <w:rFonts w:ascii="Verdana" w:hAnsi="Verdana"/>
        </w:rPr>
        <w:t xml:space="preserve"> </w:t>
      </w:r>
      <w:r>
        <w:rPr>
          <w:rFonts w:ascii="Verdana" w:hAnsi="Verdana"/>
        </w:rPr>
        <w:t>(3-hour online course)</w:t>
      </w:r>
    </w:p>
    <w:p w:rsidR="009577BA" w:rsidRPr="00514DF9" w:rsidRDefault="009577BA" w:rsidP="009577BA">
      <w:pPr>
        <w:pStyle w:val="BESABulletedText"/>
        <w:numPr>
          <w:ilvl w:val="0"/>
          <w:numId w:val="6"/>
        </w:numPr>
        <w:rPr>
          <w:rFonts w:ascii="Verdana" w:hAnsi="Verdana"/>
        </w:rPr>
      </w:pPr>
      <w:r w:rsidRPr="00514DF9">
        <w:rPr>
          <w:rFonts w:ascii="Verdana" w:hAnsi="Verdana"/>
        </w:rPr>
        <w:t>Keep</w:t>
      </w:r>
      <w:r>
        <w:rPr>
          <w:rFonts w:ascii="Verdana" w:hAnsi="Verdana"/>
        </w:rPr>
        <w:t>ing</w:t>
      </w:r>
      <w:r w:rsidRPr="00514DF9">
        <w:rPr>
          <w:rFonts w:ascii="Verdana" w:hAnsi="Verdana"/>
        </w:rPr>
        <w:t xml:space="preserve"> the Component S&amp;T Executive and the DRD informed on</w:t>
      </w:r>
      <w:r>
        <w:rPr>
          <w:rFonts w:ascii="Verdana" w:hAnsi="Verdana"/>
        </w:rPr>
        <w:t xml:space="preserve"> </w:t>
      </w:r>
      <w:r w:rsidRPr="00514DF9">
        <w:rPr>
          <w:rFonts w:ascii="Verdana" w:hAnsi="Verdana"/>
        </w:rPr>
        <w:t>progress th</w:t>
      </w:r>
      <w:r>
        <w:rPr>
          <w:rFonts w:ascii="Verdana" w:hAnsi="Verdana"/>
        </w:rPr>
        <w:t>roughout the entire TRA process</w:t>
      </w:r>
    </w:p>
    <w:p w:rsidR="009577BA" w:rsidRPr="00514DF9" w:rsidRDefault="009577BA" w:rsidP="009577BA">
      <w:pPr>
        <w:pStyle w:val="BESABulletedText"/>
        <w:numPr>
          <w:ilvl w:val="0"/>
          <w:numId w:val="6"/>
        </w:numPr>
        <w:rPr>
          <w:rFonts w:ascii="Verdana" w:hAnsi="Verdana"/>
        </w:rPr>
      </w:pPr>
      <w:r w:rsidRPr="00514DF9">
        <w:rPr>
          <w:rFonts w:ascii="Verdana" w:hAnsi="Verdana"/>
        </w:rPr>
        <w:t>Develop</w:t>
      </w:r>
      <w:r>
        <w:rPr>
          <w:rFonts w:ascii="Verdana" w:hAnsi="Verdana"/>
        </w:rPr>
        <w:t>ing</w:t>
      </w:r>
      <w:r w:rsidRPr="00514DF9">
        <w:rPr>
          <w:rFonts w:ascii="Verdana" w:hAnsi="Verdana"/>
        </w:rPr>
        <w:t xml:space="preserve"> a list of </w:t>
      </w:r>
      <w:r>
        <w:rPr>
          <w:rFonts w:ascii="Verdana" w:hAnsi="Verdana"/>
        </w:rPr>
        <w:t>final</w:t>
      </w:r>
      <w:r w:rsidRPr="00514DF9">
        <w:rPr>
          <w:rFonts w:ascii="Verdana" w:hAnsi="Verdana"/>
        </w:rPr>
        <w:t xml:space="preserve"> CTEs </w:t>
      </w:r>
      <w:r>
        <w:rPr>
          <w:rFonts w:ascii="Verdana" w:hAnsi="Verdana"/>
        </w:rPr>
        <w:t>in conjunction with the program and recommending it to SAF / AQR</w:t>
      </w:r>
    </w:p>
    <w:p w:rsidR="009577BA" w:rsidRPr="00514DF9" w:rsidRDefault="009577BA" w:rsidP="009577BA">
      <w:pPr>
        <w:pStyle w:val="BESABulletedText"/>
        <w:numPr>
          <w:ilvl w:val="0"/>
          <w:numId w:val="6"/>
        </w:numPr>
        <w:rPr>
          <w:rFonts w:ascii="Verdana" w:hAnsi="Verdana"/>
        </w:rPr>
      </w:pPr>
      <w:r w:rsidRPr="00514DF9">
        <w:rPr>
          <w:rFonts w:ascii="Verdana" w:hAnsi="Verdana"/>
        </w:rPr>
        <w:t>Assess</w:t>
      </w:r>
      <w:r>
        <w:rPr>
          <w:rFonts w:ascii="Verdana" w:hAnsi="Verdana"/>
        </w:rPr>
        <w:t>ing</w:t>
      </w:r>
      <w:r w:rsidRPr="00514DF9">
        <w:rPr>
          <w:rFonts w:ascii="Verdana" w:hAnsi="Verdana"/>
        </w:rPr>
        <w:t xml:space="preserve"> the TRLs for all CTEs.</w:t>
      </w:r>
      <w:r>
        <w:rPr>
          <w:rFonts w:ascii="Verdana" w:hAnsi="Verdana"/>
        </w:rPr>
        <w:t xml:space="preserve"> </w:t>
      </w:r>
      <w:r w:rsidRPr="00514DF9">
        <w:rPr>
          <w:rFonts w:ascii="Verdana" w:hAnsi="Verdana"/>
        </w:rPr>
        <w:t>The assessment must be based on objective evidence gathered</w:t>
      </w:r>
      <w:r>
        <w:rPr>
          <w:rFonts w:ascii="Verdana" w:hAnsi="Verdana"/>
        </w:rPr>
        <w:t xml:space="preserve"> </w:t>
      </w:r>
      <w:r w:rsidRPr="00514DF9">
        <w:rPr>
          <w:rFonts w:ascii="Verdana" w:hAnsi="Verdana"/>
        </w:rPr>
        <w:t>during events such as tests, demonstrations, pilots, or physics</w:t>
      </w:r>
      <w:r>
        <w:rPr>
          <w:rFonts w:ascii="Verdana" w:hAnsi="Verdana"/>
        </w:rPr>
        <w:t>-</w:t>
      </w:r>
      <w:r w:rsidRPr="00514DF9">
        <w:rPr>
          <w:rFonts w:ascii="Verdana" w:hAnsi="Verdana"/>
        </w:rPr>
        <w:t>based</w:t>
      </w:r>
      <w:r>
        <w:rPr>
          <w:rFonts w:ascii="Verdana" w:hAnsi="Verdana"/>
        </w:rPr>
        <w:t xml:space="preserve"> </w:t>
      </w:r>
      <w:r w:rsidRPr="00514DF9">
        <w:rPr>
          <w:rFonts w:ascii="Verdana" w:hAnsi="Verdana"/>
        </w:rPr>
        <w:t>simulations.</w:t>
      </w:r>
    </w:p>
    <w:p w:rsidR="009577BA" w:rsidRPr="00B10CD5" w:rsidRDefault="009577BA" w:rsidP="009577BA">
      <w:pPr>
        <w:pStyle w:val="BESABulletedText"/>
        <w:numPr>
          <w:ilvl w:val="0"/>
          <w:numId w:val="6"/>
        </w:numPr>
        <w:rPr>
          <w:rFonts w:ascii="Verdana" w:hAnsi="Verdana" w:cs="Arial"/>
          <w:bCs/>
        </w:rPr>
      </w:pPr>
      <w:r w:rsidRPr="00B10CD5">
        <w:rPr>
          <w:rFonts w:ascii="Verdana" w:hAnsi="Verdana"/>
        </w:rPr>
        <w:t>Preparing elements (Section 3) of the TRA report including the deliberations, findings, conclusions, and supporting evidence; and submitting assessment to PMO and SAF / AQR</w:t>
      </w:r>
    </w:p>
    <w:p w:rsidR="009577BA" w:rsidRDefault="009577BA" w:rsidP="009577BA">
      <w:pPr>
        <w:pStyle w:val="MediaText"/>
        <w:rPr>
          <w:rFonts w:ascii="Verdana" w:hAnsi="Verdana" w:cs="Arial"/>
          <w:bCs/>
        </w:rPr>
      </w:pPr>
    </w:p>
    <w:p w:rsidR="009577BA" w:rsidRDefault="009577BA" w:rsidP="0058695D">
      <w:pPr>
        <w:rPr>
          <w:rFonts w:ascii="Verdana" w:hAnsi="Verdana" w:cs="Arial"/>
        </w:rPr>
      </w:pPr>
      <w:r w:rsidRPr="0058695D">
        <w:rPr>
          <w:rFonts w:ascii="Verdana" w:hAnsi="Verdana" w:cs="Arial"/>
          <w:b/>
          <w:i/>
          <w:sz w:val="20"/>
        </w:rPr>
        <w:t>Contractor Liaison</w:t>
      </w:r>
      <w:r w:rsidR="0058695D">
        <w:rPr>
          <w:rFonts w:ascii="Verdana" w:hAnsi="Verdana" w:cs="Arial"/>
          <w:b/>
          <w:i/>
          <w:sz w:val="20"/>
        </w:rPr>
        <w:br/>
      </w:r>
      <w:r w:rsidR="0058695D">
        <w:rPr>
          <w:rFonts w:ascii="Verdana" w:hAnsi="Verdana" w:cs="Arial"/>
          <w:b/>
          <w:i/>
          <w:sz w:val="20"/>
        </w:rPr>
        <w:br/>
      </w:r>
      <w:r w:rsidRPr="005A30F5">
        <w:rPr>
          <w:rFonts w:ascii="Verdana" w:hAnsi="Verdana" w:cs="Arial"/>
        </w:rPr>
        <w:t>The Contractor Liaison, where applicable, is the conduit for attaining technical or CTE data for TRA.</w:t>
      </w:r>
      <w:r>
        <w:rPr>
          <w:rFonts w:ascii="Verdana" w:hAnsi="Verdana" w:cs="Arial"/>
        </w:rPr>
        <w:br/>
      </w:r>
    </w:p>
    <w:p w:rsidR="00A66B07" w:rsidRDefault="00A66B07" w:rsidP="009577BA">
      <w:pPr>
        <w:rPr>
          <w:rFonts w:ascii="Verdana" w:hAnsi="Verdana" w:cs="Arial"/>
          <w:b/>
          <w:i/>
          <w:sz w:val="20"/>
        </w:rPr>
      </w:pPr>
    </w:p>
    <w:p w:rsidR="00A66B07" w:rsidRDefault="00A66B07" w:rsidP="009577BA">
      <w:pPr>
        <w:rPr>
          <w:rFonts w:ascii="Verdana" w:hAnsi="Verdana" w:cs="Arial"/>
          <w:b/>
          <w:i/>
          <w:sz w:val="20"/>
        </w:rPr>
      </w:pPr>
    </w:p>
    <w:p w:rsidR="009577BA" w:rsidRDefault="009577BA" w:rsidP="009577BA">
      <w:pPr>
        <w:rPr>
          <w:rFonts w:ascii="Verdana" w:hAnsi="Verdana"/>
        </w:rPr>
      </w:pPr>
      <w:r w:rsidRPr="0058695D">
        <w:rPr>
          <w:rFonts w:ascii="Verdana" w:hAnsi="Verdana" w:cs="Arial"/>
          <w:b/>
          <w:i/>
          <w:sz w:val="20"/>
        </w:rPr>
        <w:t>Additional IRP Contributors</w:t>
      </w:r>
      <w:r w:rsidR="0058695D">
        <w:rPr>
          <w:rFonts w:ascii="Verdana" w:hAnsi="Verdana" w:cs="Arial"/>
          <w:b/>
          <w:i/>
          <w:sz w:val="20"/>
        </w:rPr>
        <w:br/>
      </w:r>
      <w:r w:rsidR="0058695D">
        <w:rPr>
          <w:rFonts w:ascii="Verdana" w:hAnsi="Verdana" w:cs="Arial"/>
          <w:b/>
          <w:i/>
          <w:sz w:val="20"/>
        </w:rPr>
        <w:br/>
      </w:r>
      <w:r w:rsidRPr="002732DB">
        <w:rPr>
          <w:rFonts w:ascii="Verdana" w:hAnsi="Verdana"/>
        </w:rPr>
        <w:t xml:space="preserve">A Cockpit Review Team, battlefield airmen, </w:t>
      </w:r>
      <w:proofErr w:type="spellStart"/>
      <w:r w:rsidRPr="002732DB">
        <w:rPr>
          <w:rFonts w:ascii="Verdana" w:hAnsi="Verdana"/>
        </w:rPr>
        <w:t>warfighters</w:t>
      </w:r>
      <w:proofErr w:type="spellEnd"/>
      <w:r w:rsidRPr="002732DB">
        <w:rPr>
          <w:rFonts w:ascii="Verdana" w:hAnsi="Verdana"/>
        </w:rPr>
        <w:t xml:space="preserve"> from other services, maintenance personnel, or logistics personnel may be participants within an IRP or act as SMEs to IRP team members.</w:t>
      </w:r>
    </w:p>
    <w:p w:rsidR="006A07D3" w:rsidRDefault="006A07D3" w:rsidP="009577BA">
      <w:pPr>
        <w:rPr>
          <w:rFonts w:ascii="Verdana" w:hAnsi="Verdana"/>
        </w:rPr>
      </w:pPr>
    </w:p>
    <w:p w:rsidR="006A07D3" w:rsidRDefault="006A07D3" w:rsidP="009577BA">
      <w:pPr>
        <w:rPr>
          <w:rFonts w:ascii="Verdana" w:hAnsi="Verdana"/>
        </w:rPr>
      </w:pPr>
    </w:p>
    <w:p w:rsidR="00DE2DFC" w:rsidRDefault="00937419" w:rsidP="009577BA">
      <w:pPr>
        <w:rPr>
          <w:rFonts w:ascii="Verdana" w:hAnsi="Verdana"/>
          <w:sz w:val="20"/>
          <w:szCs w:val="20"/>
        </w:rPr>
      </w:pPr>
      <w:r w:rsidRPr="00937419">
        <w:rPr>
          <w:rFonts w:ascii="Verdana" w:hAnsi="Verdana"/>
          <w:b/>
          <w:noProof/>
          <w:sz w:val="20"/>
          <w:szCs w:val="20"/>
          <w:lang w:eastAsia="zh-TW"/>
        </w:rPr>
        <w:pict>
          <v:shape id="_x0000_s1030" type="#_x0000_t202" style="position:absolute;margin-left:272.95pt;margin-top:9.1pt;width:200.3pt;height:209.3pt;z-index:251664384;mso-width-relative:margin;mso-height-relative:margin">
            <v:textbox>
              <w:txbxContent>
                <w:p w:rsidR="00BF7168" w:rsidRPr="00BF7168" w:rsidRDefault="008B4BF9" w:rsidP="00BF7168">
                  <w:pPr>
                    <w:jc w:val="center"/>
                  </w:pPr>
                  <w:r>
                    <w:rPr>
                      <w:rFonts w:ascii="Verdana" w:hAnsi="Verdana"/>
                      <w:b/>
                      <w:noProof/>
                      <w:sz w:val="20"/>
                    </w:rPr>
                    <w:drawing>
                      <wp:inline distT="0" distB="0" distL="0" distR="0">
                        <wp:extent cx="2351405" cy="2308506"/>
                        <wp:effectExtent l="0" t="0" r="0" b="0"/>
                        <wp:docPr id="3" name="Picture 3" descr="\\OKCOK06OFS01\Projects\00-Active\1796_AFIT Task Order 7_TRA_SYS109\04-Development\04-Graphics\coursegraphics\finalimages\module1\lesson2\120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COK06OFS01\Projects\00-Active\1796_AFIT Task Order 7_TRA_SYS109\04-Development\04-Graphics\coursegraphics\finalimages\module1\lesson2\12070a.png"/>
                                <pic:cNvPicPr>
                                  <a:picLocks noChangeAspect="1" noChangeArrowheads="1"/>
                                </pic:cNvPicPr>
                              </pic:nvPicPr>
                              <pic:blipFill>
                                <a:blip r:embed="rId9"/>
                                <a:srcRect/>
                                <a:stretch>
                                  <a:fillRect/>
                                </a:stretch>
                              </pic:blipFill>
                              <pic:spPr bwMode="auto">
                                <a:xfrm>
                                  <a:off x="0" y="0"/>
                                  <a:ext cx="2351405" cy="2308506"/>
                                </a:xfrm>
                                <a:prstGeom prst="rect">
                                  <a:avLst/>
                                </a:prstGeom>
                                <a:noFill/>
                                <a:ln w="9525">
                                  <a:noFill/>
                                  <a:miter lim="800000"/>
                                  <a:headEnd/>
                                  <a:tailEnd/>
                                </a:ln>
                              </pic:spPr>
                            </pic:pic>
                          </a:graphicData>
                        </a:graphic>
                      </wp:inline>
                    </w:drawing>
                  </w:r>
                </w:p>
              </w:txbxContent>
            </v:textbox>
            <w10:wrap type="square"/>
          </v:shape>
        </w:pict>
      </w:r>
    </w:p>
    <w:p w:rsidR="0028150C" w:rsidRDefault="0028150C" w:rsidP="00491A35">
      <w:pPr>
        <w:rPr>
          <w:rFonts w:ascii="Verdana" w:hAnsi="Verdana"/>
          <w:b/>
          <w:sz w:val="20"/>
          <w:szCs w:val="20"/>
        </w:rPr>
      </w:pPr>
    </w:p>
    <w:p w:rsidR="00491A35" w:rsidRPr="00491A35" w:rsidRDefault="00A66B07" w:rsidP="00491A35">
      <w:pPr>
        <w:rPr>
          <w:rFonts w:ascii="Verdana" w:hAnsi="Verdana"/>
          <w:b/>
          <w:sz w:val="20"/>
          <w:szCs w:val="20"/>
        </w:rPr>
      </w:pPr>
      <w:r>
        <w:rPr>
          <w:rFonts w:ascii="Verdana" w:hAnsi="Verdana"/>
          <w:b/>
          <w:sz w:val="20"/>
          <w:szCs w:val="20"/>
        </w:rPr>
        <w:br/>
      </w:r>
      <w:r w:rsidR="00491A35" w:rsidRPr="00491A35">
        <w:rPr>
          <w:rFonts w:ascii="Verdana" w:hAnsi="Verdana"/>
          <w:b/>
          <w:sz w:val="20"/>
          <w:szCs w:val="20"/>
        </w:rPr>
        <w:t>1.2.2</w:t>
      </w:r>
      <w:proofErr w:type="gramStart"/>
      <w:r w:rsidR="00491A35" w:rsidRPr="00491A35">
        <w:rPr>
          <w:rFonts w:ascii="Verdana" w:hAnsi="Verdana"/>
          <w:b/>
          <w:sz w:val="20"/>
          <w:szCs w:val="20"/>
        </w:rPr>
        <w:t>.  TRA</w:t>
      </w:r>
      <w:proofErr w:type="gramEnd"/>
      <w:r w:rsidR="00491A35" w:rsidRPr="00491A35">
        <w:rPr>
          <w:rFonts w:ascii="Verdana" w:hAnsi="Verdana"/>
          <w:b/>
          <w:sz w:val="20"/>
          <w:szCs w:val="20"/>
        </w:rPr>
        <w:t xml:space="preserve"> Policies and Directives</w:t>
      </w:r>
    </w:p>
    <w:p w:rsidR="00491A35" w:rsidRDefault="00491A35" w:rsidP="00491A35">
      <w:pPr>
        <w:rPr>
          <w:rFonts w:ascii="Verdana" w:hAnsi="Verdana"/>
          <w:sz w:val="20"/>
          <w:szCs w:val="20"/>
        </w:rPr>
      </w:pPr>
    </w:p>
    <w:p w:rsidR="001F7B99" w:rsidRPr="00FC0F97" w:rsidRDefault="001F7B99" w:rsidP="001F7B99">
      <w:pPr>
        <w:pStyle w:val="BESAScreenText"/>
        <w:rPr>
          <w:rFonts w:ascii="Verdana" w:hAnsi="Verdana"/>
        </w:rPr>
      </w:pPr>
      <w:r w:rsidRPr="00FC0F97">
        <w:rPr>
          <w:rFonts w:ascii="Verdana" w:hAnsi="Verdana"/>
        </w:rPr>
        <w:t xml:space="preserve">TRA policies and directives include: </w:t>
      </w:r>
    </w:p>
    <w:p w:rsidR="001F7B99" w:rsidRPr="00FC0F97" w:rsidRDefault="001F7B99" w:rsidP="001F7B99">
      <w:pPr>
        <w:pStyle w:val="BESABulletedText"/>
        <w:numPr>
          <w:ilvl w:val="0"/>
          <w:numId w:val="7"/>
        </w:numPr>
        <w:rPr>
          <w:rFonts w:ascii="Verdana" w:hAnsi="Verdana"/>
        </w:rPr>
      </w:pPr>
      <w:r w:rsidRPr="00FC0F97">
        <w:rPr>
          <w:rFonts w:ascii="Verdana" w:hAnsi="Verdana"/>
        </w:rPr>
        <w:t>AFI 63-101</w:t>
      </w:r>
    </w:p>
    <w:p w:rsidR="001F7B99" w:rsidRPr="00FC0F97" w:rsidRDefault="001F7B99" w:rsidP="001F7B99">
      <w:pPr>
        <w:pStyle w:val="BESABulletedText"/>
        <w:numPr>
          <w:ilvl w:val="0"/>
          <w:numId w:val="7"/>
        </w:numPr>
        <w:rPr>
          <w:rFonts w:ascii="Verdana" w:hAnsi="Verdana"/>
        </w:rPr>
      </w:pPr>
      <w:r w:rsidRPr="00FC0F97">
        <w:rPr>
          <w:rFonts w:ascii="Verdana" w:hAnsi="Verdana"/>
        </w:rPr>
        <w:t>AFI 99-103</w:t>
      </w:r>
    </w:p>
    <w:p w:rsidR="001F7B99" w:rsidRPr="00FC0F97" w:rsidRDefault="001F7B99" w:rsidP="001F7B99">
      <w:pPr>
        <w:pStyle w:val="BESABulletedText"/>
        <w:numPr>
          <w:ilvl w:val="0"/>
          <w:numId w:val="7"/>
        </w:numPr>
        <w:rPr>
          <w:rFonts w:ascii="Verdana" w:hAnsi="Verdana"/>
        </w:rPr>
      </w:pPr>
      <w:r w:rsidRPr="00FC0F97">
        <w:rPr>
          <w:rFonts w:ascii="Verdana" w:hAnsi="Verdana"/>
        </w:rPr>
        <w:t xml:space="preserve">TRA </w:t>
      </w:r>
      <w:proofErr w:type="spellStart"/>
      <w:r w:rsidRPr="00FC0F97">
        <w:rPr>
          <w:rFonts w:ascii="Verdana" w:hAnsi="Verdana"/>
        </w:rPr>
        <w:t>Deskbook</w:t>
      </w:r>
      <w:proofErr w:type="spellEnd"/>
    </w:p>
    <w:p w:rsidR="001F7B99" w:rsidRPr="00FC0F97" w:rsidRDefault="001F7B99" w:rsidP="001F7B99">
      <w:pPr>
        <w:pStyle w:val="BESABulletedText"/>
        <w:numPr>
          <w:ilvl w:val="0"/>
          <w:numId w:val="7"/>
        </w:numPr>
        <w:rPr>
          <w:rFonts w:ascii="Verdana" w:hAnsi="Verdana"/>
        </w:rPr>
      </w:pPr>
      <w:r w:rsidRPr="00FC0F97">
        <w:rPr>
          <w:rFonts w:ascii="Verdana" w:hAnsi="Verdana"/>
        </w:rPr>
        <w:t>Defense Acquisition Guidebook</w:t>
      </w:r>
    </w:p>
    <w:p w:rsidR="001F7B99" w:rsidRPr="00FC0F97" w:rsidRDefault="001F7B99" w:rsidP="001F7B99">
      <w:pPr>
        <w:pStyle w:val="BESABulletedText"/>
        <w:numPr>
          <w:ilvl w:val="0"/>
          <w:numId w:val="7"/>
        </w:numPr>
        <w:rPr>
          <w:rFonts w:ascii="Verdana" w:hAnsi="Verdana"/>
        </w:rPr>
      </w:pPr>
      <w:proofErr w:type="spellStart"/>
      <w:r w:rsidRPr="00FC0F97">
        <w:rPr>
          <w:rFonts w:ascii="Verdana" w:hAnsi="Verdana"/>
        </w:rPr>
        <w:t>DoDD</w:t>
      </w:r>
      <w:proofErr w:type="spellEnd"/>
      <w:r w:rsidRPr="00FC0F97">
        <w:rPr>
          <w:rFonts w:ascii="Verdana" w:hAnsi="Verdana"/>
        </w:rPr>
        <w:t xml:space="preserve"> 5000.01</w:t>
      </w:r>
    </w:p>
    <w:p w:rsidR="001F7B99" w:rsidRPr="00FC0F97" w:rsidRDefault="001F7B99" w:rsidP="001F7B99">
      <w:pPr>
        <w:pStyle w:val="BESABulletedText"/>
        <w:numPr>
          <w:ilvl w:val="0"/>
          <w:numId w:val="7"/>
        </w:numPr>
        <w:rPr>
          <w:rFonts w:ascii="Verdana" w:hAnsi="Verdana"/>
        </w:rPr>
      </w:pPr>
      <w:proofErr w:type="spellStart"/>
      <w:r w:rsidRPr="00FC0F97">
        <w:rPr>
          <w:rFonts w:ascii="Verdana" w:hAnsi="Verdana"/>
        </w:rPr>
        <w:t>DoDI</w:t>
      </w:r>
      <w:proofErr w:type="spellEnd"/>
      <w:r w:rsidRPr="00FC0F97">
        <w:rPr>
          <w:rFonts w:ascii="Verdana" w:hAnsi="Verdana"/>
        </w:rPr>
        <w:t xml:space="preserve"> 5000.02</w:t>
      </w:r>
    </w:p>
    <w:p w:rsidR="00491A35" w:rsidRPr="001F7B99" w:rsidRDefault="001F7B99" w:rsidP="001F7B99">
      <w:pPr>
        <w:pStyle w:val="ListParagraph"/>
        <w:numPr>
          <w:ilvl w:val="0"/>
          <w:numId w:val="7"/>
        </w:numPr>
        <w:rPr>
          <w:rFonts w:ascii="Verdana" w:hAnsi="Verdana"/>
          <w:sz w:val="20"/>
          <w:szCs w:val="20"/>
        </w:rPr>
      </w:pPr>
      <w:r w:rsidRPr="001F7B99">
        <w:rPr>
          <w:rFonts w:ascii="Verdana" w:hAnsi="Verdana"/>
        </w:rPr>
        <w:t>Title 10 United States Code (USC) 2366</w:t>
      </w:r>
    </w:p>
    <w:p w:rsidR="00491A35" w:rsidRDefault="00491A35" w:rsidP="00491A35">
      <w:pPr>
        <w:rPr>
          <w:rFonts w:ascii="Verdana" w:hAnsi="Verdana"/>
          <w:sz w:val="20"/>
          <w:szCs w:val="20"/>
        </w:rPr>
      </w:pPr>
    </w:p>
    <w:p w:rsidR="001F7B99" w:rsidRDefault="001F7B99" w:rsidP="00491A35">
      <w:pPr>
        <w:rPr>
          <w:rFonts w:ascii="Verdana" w:hAnsi="Verdana"/>
          <w:b/>
          <w:sz w:val="20"/>
          <w:szCs w:val="20"/>
        </w:rPr>
      </w:pPr>
    </w:p>
    <w:p w:rsidR="00D95928" w:rsidRDefault="00D95928" w:rsidP="00491A35">
      <w:pPr>
        <w:rPr>
          <w:rFonts w:ascii="Verdana" w:hAnsi="Verdana"/>
          <w:b/>
          <w:sz w:val="20"/>
          <w:szCs w:val="20"/>
        </w:rPr>
      </w:pPr>
    </w:p>
    <w:p w:rsidR="00D95928" w:rsidRDefault="00D95928" w:rsidP="00491A35">
      <w:pPr>
        <w:rPr>
          <w:rFonts w:ascii="Verdana" w:hAnsi="Verdana"/>
          <w:b/>
          <w:sz w:val="20"/>
          <w:szCs w:val="20"/>
        </w:rPr>
      </w:pPr>
    </w:p>
    <w:p w:rsidR="006A07D3" w:rsidRDefault="006A07D3" w:rsidP="00491A35">
      <w:pPr>
        <w:rPr>
          <w:rFonts w:ascii="Verdana" w:hAnsi="Verdana"/>
          <w:b/>
          <w:sz w:val="20"/>
          <w:szCs w:val="20"/>
        </w:rPr>
      </w:pPr>
    </w:p>
    <w:p w:rsidR="00491A35" w:rsidRPr="00491A35" w:rsidRDefault="00491A35" w:rsidP="00491A35">
      <w:pPr>
        <w:rPr>
          <w:rFonts w:ascii="Verdana" w:hAnsi="Verdana"/>
          <w:b/>
          <w:sz w:val="20"/>
          <w:szCs w:val="20"/>
        </w:rPr>
      </w:pPr>
      <w:r w:rsidRPr="00491A35">
        <w:rPr>
          <w:rFonts w:ascii="Verdana" w:hAnsi="Verdana"/>
          <w:b/>
          <w:sz w:val="20"/>
          <w:szCs w:val="20"/>
        </w:rPr>
        <w:t>1.2.3</w:t>
      </w:r>
      <w:proofErr w:type="gramStart"/>
      <w:r w:rsidRPr="00491A35">
        <w:rPr>
          <w:rFonts w:ascii="Verdana" w:hAnsi="Verdana"/>
          <w:b/>
          <w:sz w:val="20"/>
          <w:szCs w:val="20"/>
        </w:rPr>
        <w:t>.  TRA</w:t>
      </w:r>
      <w:proofErr w:type="gramEnd"/>
      <w:r w:rsidRPr="00491A35">
        <w:rPr>
          <w:rFonts w:ascii="Verdana" w:hAnsi="Verdana"/>
          <w:b/>
          <w:sz w:val="20"/>
          <w:szCs w:val="20"/>
        </w:rPr>
        <w:t xml:space="preserve"> Acquisition Lifecycle Activities</w:t>
      </w:r>
    </w:p>
    <w:p w:rsidR="00491A35" w:rsidRDefault="00491A35" w:rsidP="00491A35">
      <w:pPr>
        <w:rPr>
          <w:rFonts w:ascii="Verdana" w:hAnsi="Verdana"/>
          <w:sz w:val="20"/>
          <w:szCs w:val="20"/>
        </w:rPr>
      </w:pPr>
    </w:p>
    <w:p w:rsidR="00491A35" w:rsidRDefault="00491A35" w:rsidP="00491A35">
      <w:pPr>
        <w:rPr>
          <w:rFonts w:ascii="Verdana" w:hAnsi="Verdan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6"/>
        <w:gridCol w:w="1596"/>
        <w:gridCol w:w="1596"/>
        <w:gridCol w:w="1596"/>
        <w:gridCol w:w="1596"/>
        <w:gridCol w:w="1596"/>
      </w:tblGrid>
      <w:tr w:rsidR="00D95928" w:rsidRPr="008F068F" w:rsidTr="00BF5FC2">
        <w:trPr>
          <w:trHeight w:val="720"/>
        </w:trPr>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12 to 24 months prior to MD</w:t>
            </w:r>
          </w:p>
        </w:tc>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12 months prior to MD</w:t>
            </w:r>
          </w:p>
        </w:tc>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11 months prior to MD</w:t>
            </w:r>
          </w:p>
        </w:tc>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10 months prior to MD</w:t>
            </w:r>
          </w:p>
        </w:tc>
        <w:tc>
          <w:tcPr>
            <w:tcW w:w="833" w:type="pct"/>
            <w:vAlign w:val="center"/>
          </w:tcPr>
          <w:p w:rsidR="00D95928" w:rsidRPr="008F068F" w:rsidRDefault="00D95928" w:rsidP="00BF5FC2">
            <w:pPr>
              <w:ind w:left="36"/>
              <w:jc w:val="center"/>
              <w:rPr>
                <w:rFonts w:ascii="Verdana" w:hAnsi="Verdana"/>
                <w:sz w:val="18"/>
                <w:szCs w:val="18"/>
              </w:rPr>
            </w:pPr>
            <w:r w:rsidRPr="008F068F">
              <w:rPr>
                <w:rFonts w:ascii="Verdana" w:hAnsi="Verdana"/>
                <w:sz w:val="18"/>
                <w:szCs w:val="18"/>
              </w:rPr>
              <w:t>9 months prior to MD</w:t>
            </w:r>
          </w:p>
        </w:tc>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8 months prior to MD</w:t>
            </w:r>
          </w:p>
        </w:tc>
      </w:tr>
      <w:tr w:rsidR="00D95928" w:rsidRPr="008F068F" w:rsidTr="00BF5FC2">
        <w:trPr>
          <w:trHeight w:val="720"/>
        </w:trPr>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PM requests TRA</w:t>
            </w:r>
          </w:p>
        </w:tc>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AQR</w:t>
            </w:r>
            <w:r>
              <w:rPr>
                <w:rFonts w:ascii="Verdana" w:hAnsi="Verdana"/>
                <w:b/>
                <w:sz w:val="16"/>
                <w:szCs w:val="16"/>
              </w:rPr>
              <w:t xml:space="preserve"> &amp; </w:t>
            </w:r>
            <w:r w:rsidRPr="008F068F">
              <w:rPr>
                <w:rFonts w:ascii="Verdana" w:hAnsi="Verdana"/>
                <w:b/>
                <w:sz w:val="16"/>
                <w:szCs w:val="16"/>
              </w:rPr>
              <w:t>PM develop plan</w:t>
            </w:r>
          </w:p>
        </w:tc>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 xml:space="preserve">AQR coordinates IRP team </w:t>
            </w:r>
          </w:p>
        </w:tc>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PM identifies candidate CTEs</w:t>
            </w:r>
          </w:p>
        </w:tc>
        <w:tc>
          <w:tcPr>
            <w:tcW w:w="833" w:type="pct"/>
            <w:vAlign w:val="center"/>
          </w:tcPr>
          <w:p w:rsidR="00D95928" w:rsidRPr="008F068F" w:rsidRDefault="00D95928" w:rsidP="00BF5FC2">
            <w:pPr>
              <w:ind w:left="36"/>
              <w:jc w:val="center"/>
              <w:rPr>
                <w:rFonts w:ascii="Verdana" w:hAnsi="Verdana"/>
                <w:b/>
                <w:sz w:val="16"/>
                <w:szCs w:val="16"/>
              </w:rPr>
            </w:pPr>
            <w:r w:rsidRPr="008F068F">
              <w:rPr>
                <w:rFonts w:ascii="Verdana" w:hAnsi="Verdana"/>
                <w:b/>
                <w:sz w:val="16"/>
                <w:szCs w:val="16"/>
              </w:rPr>
              <w:t>AQR</w:t>
            </w:r>
            <w:r>
              <w:rPr>
                <w:rFonts w:ascii="Verdana" w:hAnsi="Verdana"/>
                <w:b/>
                <w:sz w:val="16"/>
                <w:szCs w:val="16"/>
              </w:rPr>
              <w:t xml:space="preserve"> &amp; </w:t>
            </w:r>
            <w:r w:rsidRPr="008F068F">
              <w:rPr>
                <w:rFonts w:ascii="Verdana" w:hAnsi="Verdana"/>
                <w:b/>
                <w:sz w:val="16"/>
                <w:szCs w:val="16"/>
              </w:rPr>
              <w:t xml:space="preserve">IRP review CTE list </w:t>
            </w:r>
          </w:p>
        </w:tc>
        <w:tc>
          <w:tcPr>
            <w:tcW w:w="833" w:type="pct"/>
            <w:vAlign w:val="center"/>
          </w:tcPr>
          <w:p w:rsidR="00D95928" w:rsidRDefault="00D95928" w:rsidP="00BF5FC2">
            <w:pPr>
              <w:jc w:val="center"/>
              <w:rPr>
                <w:rFonts w:ascii="Verdana" w:hAnsi="Verdana"/>
                <w:b/>
                <w:sz w:val="16"/>
                <w:szCs w:val="16"/>
              </w:rPr>
            </w:pPr>
            <w:r w:rsidRPr="008F068F">
              <w:rPr>
                <w:rFonts w:ascii="Verdana" w:hAnsi="Verdana"/>
                <w:b/>
                <w:sz w:val="16"/>
                <w:szCs w:val="16"/>
              </w:rPr>
              <w:t>AQR coordinates plan with DRD</w:t>
            </w:r>
          </w:p>
          <w:p w:rsidR="00D95928" w:rsidRPr="008F068F" w:rsidRDefault="00D95928" w:rsidP="00BF5FC2">
            <w:pPr>
              <w:jc w:val="center"/>
              <w:rPr>
                <w:rFonts w:ascii="Verdana" w:hAnsi="Verdana"/>
                <w:b/>
                <w:sz w:val="16"/>
                <w:szCs w:val="16"/>
              </w:rPr>
            </w:pPr>
            <w:r>
              <w:rPr>
                <w:rFonts w:ascii="Verdana" w:hAnsi="Verdana"/>
                <w:b/>
                <w:sz w:val="16"/>
                <w:szCs w:val="16"/>
              </w:rPr>
              <w:t>(ACAT ID &amp; IAM only)</w:t>
            </w:r>
          </w:p>
        </w:tc>
      </w:tr>
    </w:tbl>
    <w:p w:rsidR="00D95928" w:rsidRPr="009A31EE" w:rsidRDefault="00D95928" w:rsidP="00D95928">
      <w:pPr>
        <w:rPr>
          <w:rFonts w:ascii="Verdana" w:hAnsi="Verdana"/>
          <w:sz w:val="18"/>
          <w:szCs w:val="18"/>
        </w:rPr>
      </w:pPr>
    </w:p>
    <w:p w:rsidR="00D95928" w:rsidRPr="009A31EE" w:rsidRDefault="00D95928" w:rsidP="00D95928">
      <w:pPr>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6"/>
        <w:gridCol w:w="1596"/>
        <w:gridCol w:w="1596"/>
        <w:gridCol w:w="1596"/>
        <w:gridCol w:w="1596"/>
        <w:gridCol w:w="1596"/>
      </w:tblGrid>
      <w:tr w:rsidR="00D95928" w:rsidRPr="008F068F" w:rsidTr="00BF5FC2">
        <w:trPr>
          <w:trHeight w:val="720"/>
        </w:trPr>
        <w:tc>
          <w:tcPr>
            <w:tcW w:w="833" w:type="pct"/>
            <w:vAlign w:val="center"/>
          </w:tcPr>
          <w:p w:rsidR="00D95928" w:rsidRPr="008F068F" w:rsidRDefault="00D95928" w:rsidP="00BF5FC2">
            <w:pPr>
              <w:jc w:val="center"/>
              <w:rPr>
                <w:rFonts w:ascii="Verdana" w:hAnsi="Verdana"/>
                <w:sz w:val="18"/>
                <w:szCs w:val="18"/>
                <w:highlight w:val="yellow"/>
                <w:u w:val="single"/>
              </w:rPr>
            </w:pPr>
            <w:r w:rsidRPr="008F068F">
              <w:rPr>
                <w:rFonts w:ascii="Verdana" w:hAnsi="Verdana"/>
                <w:sz w:val="18"/>
                <w:szCs w:val="18"/>
              </w:rPr>
              <w:t>8 to 6 months prior to MD</w:t>
            </w:r>
          </w:p>
        </w:tc>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6 months prior to MD</w:t>
            </w:r>
          </w:p>
        </w:tc>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No later than 3 months prior to MD</w:t>
            </w:r>
          </w:p>
        </w:tc>
        <w:tc>
          <w:tcPr>
            <w:tcW w:w="833" w:type="pct"/>
            <w:vAlign w:val="center"/>
          </w:tcPr>
          <w:p w:rsidR="00D95928" w:rsidRPr="008F068F" w:rsidRDefault="00D95928" w:rsidP="00BF5FC2">
            <w:pPr>
              <w:jc w:val="center"/>
              <w:rPr>
                <w:rFonts w:ascii="Verdana" w:hAnsi="Verdana"/>
                <w:sz w:val="18"/>
                <w:szCs w:val="18"/>
              </w:rPr>
            </w:pPr>
            <w:r w:rsidRPr="008F068F">
              <w:rPr>
                <w:rFonts w:ascii="Verdana" w:hAnsi="Verdana"/>
                <w:sz w:val="18"/>
                <w:szCs w:val="18"/>
              </w:rPr>
              <w:t>No later than 2.5 months prior to MD</w:t>
            </w:r>
          </w:p>
        </w:tc>
        <w:tc>
          <w:tcPr>
            <w:tcW w:w="833" w:type="pct"/>
            <w:vAlign w:val="center"/>
          </w:tcPr>
          <w:p w:rsidR="00D95928" w:rsidRPr="008F068F" w:rsidRDefault="00D95928" w:rsidP="00BF5FC2">
            <w:pPr>
              <w:ind w:left="36"/>
              <w:jc w:val="center"/>
              <w:rPr>
                <w:rFonts w:ascii="Verdana" w:hAnsi="Verdana"/>
                <w:sz w:val="18"/>
                <w:szCs w:val="18"/>
              </w:rPr>
            </w:pPr>
            <w:r w:rsidRPr="008F068F">
              <w:rPr>
                <w:rFonts w:ascii="Verdana" w:hAnsi="Verdana"/>
                <w:sz w:val="18"/>
                <w:szCs w:val="18"/>
              </w:rPr>
              <w:t>No later than 2 months prior to MD</w:t>
            </w:r>
          </w:p>
        </w:tc>
        <w:tc>
          <w:tcPr>
            <w:tcW w:w="833" w:type="pct"/>
            <w:vAlign w:val="center"/>
          </w:tcPr>
          <w:p w:rsidR="00D95928" w:rsidRPr="008F068F" w:rsidRDefault="00D95928" w:rsidP="00BF5FC2">
            <w:pPr>
              <w:jc w:val="center"/>
              <w:rPr>
                <w:rFonts w:ascii="Verdana" w:hAnsi="Verdana"/>
                <w:b/>
                <w:sz w:val="18"/>
                <w:szCs w:val="18"/>
                <w:highlight w:val="yellow"/>
              </w:rPr>
            </w:pPr>
            <w:r w:rsidRPr="008F068F">
              <w:rPr>
                <w:rFonts w:ascii="Verdana" w:hAnsi="Verdana"/>
                <w:b/>
                <w:sz w:val="18"/>
                <w:szCs w:val="18"/>
              </w:rPr>
              <w:t>Milestone Decision</w:t>
            </w:r>
          </w:p>
        </w:tc>
      </w:tr>
      <w:tr w:rsidR="00D95928" w:rsidRPr="008F068F" w:rsidTr="00BF5FC2">
        <w:trPr>
          <w:gridAfter w:val="1"/>
          <w:wAfter w:w="1596" w:type="dxa"/>
          <w:trHeight w:val="720"/>
        </w:trPr>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PM collects data for CTE assessment</w:t>
            </w:r>
          </w:p>
        </w:tc>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IRP assigns TRLs</w:t>
            </w:r>
          </w:p>
        </w:tc>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PM</w:t>
            </w:r>
            <w:r>
              <w:rPr>
                <w:rFonts w:ascii="Verdana" w:hAnsi="Verdana"/>
                <w:b/>
                <w:sz w:val="16"/>
                <w:szCs w:val="16"/>
              </w:rPr>
              <w:t xml:space="preserve"> &amp; </w:t>
            </w:r>
            <w:r w:rsidRPr="008F068F">
              <w:rPr>
                <w:rFonts w:ascii="Verdana" w:hAnsi="Verdana"/>
                <w:b/>
                <w:sz w:val="16"/>
                <w:szCs w:val="16"/>
              </w:rPr>
              <w:t xml:space="preserve">IRP </w:t>
            </w:r>
            <w:r>
              <w:rPr>
                <w:rFonts w:ascii="Verdana" w:hAnsi="Verdana"/>
                <w:b/>
                <w:sz w:val="16"/>
                <w:szCs w:val="16"/>
              </w:rPr>
              <w:t>L</w:t>
            </w:r>
            <w:r w:rsidRPr="008F068F">
              <w:rPr>
                <w:rFonts w:ascii="Verdana" w:hAnsi="Verdana"/>
                <w:b/>
                <w:sz w:val="16"/>
                <w:szCs w:val="16"/>
              </w:rPr>
              <w:t>ead document TRA finding</w:t>
            </w:r>
            <w:r>
              <w:rPr>
                <w:rFonts w:ascii="Verdana" w:hAnsi="Verdana"/>
                <w:b/>
                <w:sz w:val="16"/>
                <w:szCs w:val="16"/>
              </w:rPr>
              <w:t>s &amp; coordinate with AQR; &amp; for ACAT ID &amp; IAM, with DRD.</w:t>
            </w:r>
          </w:p>
        </w:tc>
        <w:tc>
          <w:tcPr>
            <w:tcW w:w="833" w:type="pct"/>
            <w:vAlign w:val="center"/>
          </w:tcPr>
          <w:p w:rsidR="00D95928" w:rsidRPr="008F068F" w:rsidRDefault="00D95928" w:rsidP="00BF5FC2">
            <w:pPr>
              <w:jc w:val="center"/>
              <w:rPr>
                <w:rFonts w:ascii="Verdana" w:hAnsi="Verdana"/>
                <w:b/>
                <w:sz w:val="16"/>
                <w:szCs w:val="16"/>
              </w:rPr>
            </w:pPr>
            <w:r w:rsidRPr="008F068F">
              <w:rPr>
                <w:rFonts w:ascii="Verdana" w:hAnsi="Verdana"/>
                <w:b/>
                <w:sz w:val="16"/>
                <w:szCs w:val="16"/>
              </w:rPr>
              <w:t>PM submits TRA to AQR</w:t>
            </w:r>
          </w:p>
        </w:tc>
        <w:tc>
          <w:tcPr>
            <w:tcW w:w="833" w:type="pct"/>
            <w:vAlign w:val="center"/>
          </w:tcPr>
          <w:p w:rsidR="00D95928" w:rsidRPr="008F068F" w:rsidRDefault="00D95928" w:rsidP="00BF5FC2">
            <w:pPr>
              <w:ind w:left="36"/>
              <w:jc w:val="center"/>
              <w:rPr>
                <w:rFonts w:ascii="Verdana" w:hAnsi="Verdana"/>
                <w:b/>
                <w:sz w:val="16"/>
                <w:szCs w:val="16"/>
              </w:rPr>
            </w:pPr>
            <w:r w:rsidRPr="008F068F">
              <w:rPr>
                <w:rFonts w:ascii="Verdana" w:hAnsi="Verdana"/>
                <w:b/>
                <w:sz w:val="16"/>
                <w:szCs w:val="16"/>
              </w:rPr>
              <w:t xml:space="preserve">AQR submits TRA to </w:t>
            </w:r>
            <w:r>
              <w:rPr>
                <w:rFonts w:ascii="Verdana" w:hAnsi="Verdana"/>
                <w:b/>
                <w:sz w:val="16"/>
                <w:szCs w:val="16"/>
              </w:rPr>
              <w:t xml:space="preserve">CAE; &amp; for ACAT ID &amp; IAM, with DRD. </w:t>
            </w:r>
          </w:p>
        </w:tc>
      </w:tr>
    </w:tbl>
    <w:p w:rsidR="00D95928" w:rsidRDefault="00D95928" w:rsidP="00491A35">
      <w:pPr>
        <w:rPr>
          <w:rFonts w:ascii="Verdana" w:hAnsi="Verdana"/>
          <w:sz w:val="20"/>
          <w:szCs w:val="20"/>
        </w:rPr>
      </w:pPr>
    </w:p>
    <w:p w:rsidR="00D95928" w:rsidRDefault="00D95928" w:rsidP="00491A35">
      <w:pPr>
        <w:rPr>
          <w:rFonts w:ascii="Verdana" w:hAnsi="Verdana"/>
          <w:sz w:val="20"/>
          <w:szCs w:val="20"/>
        </w:rPr>
      </w:pPr>
    </w:p>
    <w:p w:rsidR="008B4BF9" w:rsidRDefault="008B4BF9" w:rsidP="00491A35">
      <w:pPr>
        <w:rPr>
          <w:rFonts w:ascii="Verdana" w:hAnsi="Verdana"/>
          <w:sz w:val="20"/>
          <w:szCs w:val="20"/>
        </w:rPr>
      </w:pPr>
    </w:p>
    <w:p w:rsidR="008B4BF9" w:rsidRDefault="008B4BF9" w:rsidP="00491A35">
      <w:pPr>
        <w:rPr>
          <w:rFonts w:ascii="Verdana" w:hAnsi="Verdana"/>
          <w:sz w:val="20"/>
          <w:szCs w:val="20"/>
        </w:rPr>
      </w:pPr>
    </w:p>
    <w:p w:rsidR="00491A35" w:rsidRPr="00491A35" w:rsidRDefault="00491A35" w:rsidP="00491A35">
      <w:pPr>
        <w:rPr>
          <w:rFonts w:ascii="Verdana" w:hAnsi="Verdana"/>
          <w:b/>
          <w:sz w:val="20"/>
          <w:szCs w:val="20"/>
        </w:rPr>
      </w:pPr>
      <w:r w:rsidRPr="00491A35">
        <w:rPr>
          <w:rFonts w:ascii="Verdana" w:hAnsi="Verdana"/>
          <w:b/>
          <w:sz w:val="20"/>
          <w:szCs w:val="20"/>
        </w:rPr>
        <w:t>1.2.</w:t>
      </w:r>
      <w:r>
        <w:rPr>
          <w:rFonts w:ascii="Verdana" w:hAnsi="Verdana"/>
          <w:b/>
          <w:sz w:val="20"/>
          <w:szCs w:val="20"/>
        </w:rPr>
        <w:t>4</w:t>
      </w:r>
      <w:proofErr w:type="gramStart"/>
      <w:r w:rsidRPr="00491A35">
        <w:rPr>
          <w:rFonts w:ascii="Verdana" w:hAnsi="Verdana"/>
          <w:b/>
          <w:sz w:val="20"/>
          <w:szCs w:val="20"/>
        </w:rPr>
        <w:t>.  TRA</w:t>
      </w:r>
      <w:proofErr w:type="gramEnd"/>
      <w:r w:rsidRPr="00491A35">
        <w:rPr>
          <w:rFonts w:ascii="Verdana" w:hAnsi="Verdana"/>
          <w:b/>
          <w:sz w:val="20"/>
          <w:szCs w:val="20"/>
        </w:rPr>
        <w:t xml:space="preserve"> Contract Language Integration</w:t>
      </w:r>
    </w:p>
    <w:p w:rsidR="00491A35" w:rsidRDefault="00491A35" w:rsidP="00491A35">
      <w:pPr>
        <w:rPr>
          <w:rFonts w:ascii="Verdana" w:hAnsi="Verdana"/>
          <w:sz w:val="20"/>
          <w:szCs w:val="20"/>
        </w:rPr>
      </w:pPr>
    </w:p>
    <w:p w:rsidR="00491A35" w:rsidRDefault="00740C92" w:rsidP="00491A35">
      <w:pPr>
        <w:rPr>
          <w:rFonts w:ascii="Verdana" w:hAnsi="Verdana"/>
          <w:bCs/>
          <w:szCs w:val="20"/>
        </w:rPr>
      </w:pPr>
      <w:r>
        <w:rPr>
          <w:rFonts w:ascii="Verdana" w:hAnsi="Verdana"/>
          <w:bCs/>
          <w:szCs w:val="20"/>
        </w:rPr>
        <w:t>AFI 63-101, Section 3.16, contains the contracting language requirements for integrating the TRA.</w:t>
      </w:r>
    </w:p>
    <w:p w:rsidR="00740C92" w:rsidRDefault="00740C92" w:rsidP="00491A35">
      <w:pPr>
        <w:rPr>
          <w:rFonts w:ascii="Verdana" w:hAnsi="Verdana"/>
          <w:bCs/>
          <w:szCs w:val="20"/>
        </w:rPr>
      </w:pPr>
    </w:p>
    <w:p w:rsidR="00740C92" w:rsidRPr="0028150C" w:rsidRDefault="00740C92" w:rsidP="00740C92">
      <w:pPr>
        <w:rPr>
          <w:rFonts w:ascii="Verdana" w:hAnsi="Verdana" w:cs="Arial"/>
          <w:i/>
          <w:sz w:val="20"/>
          <w:szCs w:val="20"/>
        </w:rPr>
      </w:pPr>
      <w:r w:rsidRPr="0028150C">
        <w:rPr>
          <w:rFonts w:ascii="Verdana" w:hAnsi="Verdana" w:cs="Arial"/>
          <w:b/>
          <w:i/>
          <w:sz w:val="20"/>
          <w:szCs w:val="20"/>
        </w:rPr>
        <w:t>AFI 63-101, Section 3.16</w:t>
      </w:r>
    </w:p>
    <w:p w:rsidR="00740C92" w:rsidRDefault="00740C92" w:rsidP="00740C92">
      <w:pPr>
        <w:rPr>
          <w:rFonts w:ascii="Verdana" w:hAnsi="Verdana" w:cs="Arial"/>
          <w:sz w:val="20"/>
          <w:szCs w:val="20"/>
        </w:rPr>
      </w:pPr>
    </w:p>
    <w:p w:rsidR="00740C92" w:rsidRPr="00A95AB6" w:rsidRDefault="00740C92" w:rsidP="00740C92">
      <w:pPr>
        <w:pStyle w:val="BESAScreenText"/>
        <w:rPr>
          <w:rFonts w:ascii="Verdana" w:hAnsi="Verdana"/>
        </w:rPr>
      </w:pPr>
      <w:r>
        <w:rPr>
          <w:rFonts w:ascii="Verdana" w:hAnsi="Verdana"/>
        </w:rPr>
        <w:t>IAW with AFI 63-101, 3.16, t</w:t>
      </w:r>
      <w:r w:rsidRPr="00A95AB6">
        <w:rPr>
          <w:rFonts w:ascii="Verdana" w:hAnsi="Verdana"/>
        </w:rPr>
        <w:t>he source selection approach, as part of the acquisition strategy, shall be developed to reduce risk over the life cycle of the program. This includes identifying the strengths, weaknesses, domain experience, process capability, development capacity, and past performance for all developer team members with significant development responsibilities. Source selection guidance and procedures are contained in FAR Part 15, DFARS Part 215, AFFARS 5315.3 and AFFARS Mandatory Procedure 5315.3. Request for proposal (RFP) and source selection approach should require the following</w:t>
      </w:r>
      <w:r>
        <w:rPr>
          <w:rFonts w:ascii="Verdana" w:hAnsi="Verdana"/>
        </w:rPr>
        <w:t xml:space="preserve"> TRA information, so that it can be integrated into contracts</w:t>
      </w:r>
      <w:r w:rsidRPr="00A95AB6">
        <w:rPr>
          <w:rFonts w:ascii="Verdana" w:hAnsi="Verdana"/>
        </w:rPr>
        <w:t xml:space="preserve">: </w:t>
      </w:r>
    </w:p>
    <w:p w:rsidR="00740C92" w:rsidRPr="00173EC9" w:rsidRDefault="00740C92" w:rsidP="00740C92">
      <w:pPr>
        <w:pStyle w:val="BESAScreenText"/>
        <w:numPr>
          <w:ilvl w:val="0"/>
          <w:numId w:val="8"/>
        </w:numPr>
        <w:autoSpaceDE w:val="0"/>
        <w:autoSpaceDN w:val="0"/>
        <w:adjustRightInd w:val="0"/>
        <w:rPr>
          <w:rFonts w:ascii="Verdana" w:hAnsi="Verdana"/>
          <w:szCs w:val="20"/>
        </w:rPr>
      </w:pPr>
      <w:r w:rsidRPr="00173EC9">
        <w:rPr>
          <w:rFonts w:ascii="Verdana" w:hAnsi="Verdana"/>
        </w:rPr>
        <w:t xml:space="preserve">Expectations for </w:t>
      </w:r>
      <w:proofErr w:type="spellStart"/>
      <w:r w:rsidRPr="00173EC9">
        <w:rPr>
          <w:rFonts w:ascii="Verdana" w:hAnsi="Verdana"/>
        </w:rPr>
        <w:t>warfighters</w:t>
      </w:r>
      <w:proofErr w:type="spellEnd"/>
      <w:r w:rsidRPr="00173EC9">
        <w:rPr>
          <w:rFonts w:ascii="Verdana" w:hAnsi="Verdana"/>
        </w:rPr>
        <w:t xml:space="preserve">, users, decision-makers, evaluation teams, and industry from the outset of the source selection. This includes an understanding by all of the </w:t>
      </w:r>
      <w:r w:rsidRPr="00173EC9">
        <w:rPr>
          <w:rFonts w:ascii="Verdana" w:hAnsi="Verdana"/>
          <w:szCs w:val="20"/>
        </w:rPr>
        <w:t>desired end-state and clear expectations to industry on proposal requirements and timelines.</w:t>
      </w:r>
    </w:p>
    <w:p w:rsidR="00740C92" w:rsidRPr="00173EC9" w:rsidRDefault="00740C92" w:rsidP="00740C92">
      <w:pPr>
        <w:pStyle w:val="BESAScreenText"/>
        <w:numPr>
          <w:ilvl w:val="0"/>
          <w:numId w:val="8"/>
        </w:numPr>
        <w:autoSpaceDE w:val="0"/>
        <w:autoSpaceDN w:val="0"/>
        <w:adjustRightInd w:val="0"/>
        <w:rPr>
          <w:rFonts w:ascii="Verdana" w:hAnsi="Verdana"/>
          <w:szCs w:val="20"/>
        </w:rPr>
      </w:pPr>
      <w:r w:rsidRPr="00173EC9">
        <w:rPr>
          <w:rFonts w:ascii="Verdana" w:hAnsi="Verdana"/>
          <w:szCs w:val="20"/>
        </w:rPr>
        <w:t xml:space="preserve">A clear understanding of the methods of estimating costs for the program including uncertainty analysis and verification requirements. The government most probable cost estimate may need to be verified by a certified cost estimator </w:t>
      </w:r>
      <w:r>
        <w:rPr>
          <w:rFonts w:ascii="Verdana" w:hAnsi="Verdana"/>
          <w:szCs w:val="20"/>
        </w:rPr>
        <w:t>IAW</w:t>
      </w:r>
      <w:r w:rsidRPr="00173EC9">
        <w:rPr>
          <w:rFonts w:ascii="Verdana" w:hAnsi="Verdana"/>
          <w:szCs w:val="20"/>
        </w:rPr>
        <w:t xml:space="preserve"> SAF / FM policy / guidance.</w:t>
      </w:r>
    </w:p>
    <w:p w:rsidR="00740C92" w:rsidRPr="00173EC9" w:rsidRDefault="00740C92" w:rsidP="00740C92">
      <w:pPr>
        <w:pStyle w:val="BESAScreenText"/>
        <w:numPr>
          <w:ilvl w:val="0"/>
          <w:numId w:val="8"/>
        </w:numPr>
        <w:autoSpaceDE w:val="0"/>
        <w:autoSpaceDN w:val="0"/>
        <w:adjustRightInd w:val="0"/>
        <w:rPr>
          <w:rFonts w:ascii="Verdana" w:hAnsi="Verdana"/>
          <w:szCs w:val="20"/>
        </w:rPr>
      </w:pPr>
      <w:r w:rsidRPr="00173EC9">
        <w:rPr>
          <w:rFonts w:ascii="Verdana" w:hAnsi="Verdana"/>
          <w:szCs w:val="20"/>
        </w:rPr>
        <w:t>Identification of the key discriminators from among the mission requirements. These must represent the key areas of importance and emphasis to be considered in the source selection decision and support meaningful comparison and discrimination between and among competing proposals.</w:t>
      </w:r>
    </w:p>
    <w:p w:rsidR="00740C92" w:rsidRPr="00173EC9" w:rsidRDefault="00740C92" w:rsidP="00740C92">
      <w:pPr>
        <w:pStyle w:val="BESAScreenText"/>
        <w:numPr>
          <w:ilvl w:val="0"/>
          <w:numId w:val="8"/>
        </w:numPr>
        <w:autoSpaceDE w:val="0"/>
        <w:autoSpaceDN w:val="0"/>
        <w:adjustRightInd w:val="0"/>
        <w:rPr>
          <w:rFonts w:ascii="Verdana" w:hAnsi="Verdana"/>
          <w:szCs w:val="20"/>
        </w:rPr>
      </w:pPr>
      <w:r w:rsidRPr="00173EC9">
        <w:rPr>
          <w:rFonts w:ascii="Verdana" w:hAnsi="Verdana"/>
          <w:szCs w:val="20"/>
        </w:rPr>
        <w:t>Establishment of the minimum performance or capability requirements against which offers will be judged. For contracts after MS B this includes minimum prototype performance. The PM shall address technology maturity in the solicitation supporting source selections conducted in conjunction with a MS</w:t>
      </w:r>
      <w:r>
        <w:rPr>
          <w:rFonts w:ascii="Verdana" w:hAnsi="Verdana"/>
          <w:szCs w:val="20"/>
        </w:rPr>
        <w:t xml:space="preserve"> </w:t>
      </w:r>
      <w:r w:rsidRPr="00173EC9">
        <w:rPr>
          <w:rFonts w:ascii="Verdana" w:hAnsi="Verdana"/>
          <w:szCs w:val="20"/>
        </w:rPr>
        <w:t>/</w:t>
      </w:r>
      <w:r>
        <w:rPr>
          <w:rFonts w:ascii="Verdana" w:hAnsi="Verdana"/>
          <w:szCs w:val="20"/>
        </w:rPr>
        <w:t xml:space="preserve"> </w:t>
      </w:r>
      <w:r w:rsidRPr="00173EC9">
        <w:rPr>
          <w:rFonts w:ascii="Verdana" w:hAnsi="Verdana"/>
          <w:szCs w:val="20"/>
        </w:rPr>
        <w:t>KDP B. The measure of merit that the technology in a program has been demonstrated in a relevant environment</w:t>
      </w:r>
      <w:r>
        <w:rPr>
          <w:rFonts w:ascii="Verdana" w:hAnsi="Verdana"/>
          <w:szCs w:val="20"/>
        </w:rPr>
        <w:t xml:space="preserve"> </w:t>
      </w:r>
      <w:r w:rsidRPr="00173EC9">
        <w:rPr>
          <w:rFonts w:ascii="Verdana" w:hAnsi="Verdana"/>
          <w:szCs w:val="20"/>
        </w:rPr>
        <w:t>is that all CTE</w:t>
      </w:r>
      <w:r>
        <w:rPr>
          <w:rFonts w:ascii="Verdana" w:hAnsi="Verdana"/>
          <w:szCs w:val="20"/>
        </w:rPr>
        <w:t>s</w:t>
      </w:r>
      <w:r w:rsidRPr="00173EC9">
        <w:rPr>
          <w:rFonts w:ascii="Verdana" w:hAnsi="Verdana"/>
          <w:szCs w:val="20"/>
        </w:rPr>
        <w:t xml:space="preserve"> are at TRL 6 or greater.</w:t>
      </w:r>
    </w:p>
    <w:p w:rsidR="00740C92" w:rsidRPr="00740C92" w:rsidRDefault="00740C92" w:rsidP="00740C92">
      <w:pPr>
        <w:pStyle w:val="ListParagraph"/>
        <w:numPr>
          <w:ilvl w:val="0"/>
          <w:numId w:val="8"/>
        </w:numPr>
        <w:rPr>
          <w:rFonts w:ascii="Verdana" w:hAnsi="Verdana"/>
          <w:sz w:val="20"/>
          <w:szCs w:val="20"/>
        </w:rPr>
      </w:pPr>
      <w:r w:rsidRPr="00740C92">
        <w:rPr>
          <w:rFonts w:ascii="Verdana" w:hAnsi="Verdana"/>
          <w:szCs w:val="20"/>
        </w:rPr>
        <w:t xml:space="preserve">The PM shall include language in solicitations for the EMD phase advising </w:t>
      </w:r>
      <w:proofErr w:type="spellStart"/>
      <w:r w:rsidRPr="00740C92">
        <w:rPr>
          <w:rFonts w:ascii="Verdana" w:hAnsi="Verdana"/>
          <w:szCs w:val="20"/>
        </w:rPr>
        <w:t>offerors</w:t>
      </w:r>
      <w:proofErr w:type="spellEnd"/>
      <w:r w:rsidRPr="00740C92">
        <w:rPr>
          <w:rFonts w:ascii="Verdana" w:hAnsi="Verdana"/>
          <w:szCs w:val="20"/>
        </w:rPr>
        <w:t xml:space="preserve"> that (1) the government will not award a contract to an </w:t>
      </w:r>
      <w:proofErr w:type="spellStart"/>
      <w:r w:rsidRPr="00740C92">
        <w:rPr>
          <w:rFonts w:ascii="Verdana" w:hAnsi="Verdana"/>
          <w:szCs w:val="20"/>
        </w:rPr>
        <w:t>offeror</w:t>
      </w:r>
      <w:proofErr w:type="spellEnd"/>
      <w:r w:rsidRPr="00740C92">
        <w:rPr>
          <w:rFonts w:ascii="Verdana" w:hAnsi="Verdana"/>
          <w:szCs w:val="20"/>
        </w:rPr>
        <w:t xml:space="preserve"> whose proposal is based on CTEs that have not been demonstrated in a relevant environment, and (2) that </w:t>
      </w:r>
      <w:proofErr w:type="spellStart"/>
      <w:r w:rsidRPr="00740C92">
        <w:rPr>
          <w:rFonts w:ascii="Verdana" w:hAnsi="Verdana"/>
          <w:szCs w:val="20"/>
        </w:rPr>
        <w:t>offerors</w:t>
      </w:r>
      <w:proofErr w:type="spellEnd"/>
      <w:r w:rsidRPr="00740C92">
        <w:rPr>
          <w:rFonts w:ascii="Verdana" w:hAnsi="Verdana"/>
          <w:szCs w:val="20"/>
        </w:rPr>
        <w:t xml:space="preserve"> will be required to specify the technology readiness level of the CTEs on which their proposal is based and to provide reports documenting how those CTEs have been demonstrated in a relevant environment.</w:t>
      </w:r>
    </w:p>
    <w:p w:rsidR="00491A35" w:rsidRDefault="00491A35" w:rsidP="00491A35">
      <w:pPr>
        <w:rPr>
          <w:rFonts w:ascii="Verdana" w:hAnsi="Verdana"/>
          <w:sz w:val="20"/>
          <w:szCs w:val="20"/>
        </w:rPr>
      </w:pPr>
    </w:p>
    <w:p w:rsidR="00740C92" w:rsidRDefault="00740C92" w:rsidP="00491A35">
      <w:pPr>
        <w:rPr>
          <w:rFonts w:ascii="Verdana" w:hAnsi="Verdana"/>
          <w:b/>
          <w:sz w:val="20"/>
          <w:szCs w:val="20"/>
        </w:rPr>
      </w:pPr>
    </w:p>
    <w:p w:rsidR="00491A35" w:rsidRDefault="00937419" w:rsidP="00491A35">
      <w:pPr>
        <w:rPr>
          <w:rFonts w:ascii="Verdana" w:hAnsi="Verdana"/>
          <w:sz w:val="20"/>
          <w:szCs w:val="20"/>
        </w:rPr>
      </w:pPr>
      <w:r w:rsidRPr="00937419">
        <w:rPr>
          <w:rFonts w:ascii="Verdana" w:hAnsi="Verdana"/>
          <w:noProof/>
          <w:lang w:eastAsia="zh-TW"/>
        </w:rPr>
        <w:pict>
          <v:shape id="_x0000_s1026" type="#_x0000_t202" style="position:absolute;margin-left:.15pt;margin-top:31.05pt;width:467.7pt;height:235.2pt;z-index:251660288;mso-width-relative:margin;mso-height-relative:margin">
            <v:textbox>
              <w:txbxContent>
                <w:p w:rsidR="00CE77CB" w:rsidRDefault="008B4BF9" w:rsidP="00CE77CB">
                  <w:pPr>
                    <w:jc w:val="center"/>
                  </w:pPr>
                  <w:r>
                    <w:rPr>
                      <w:noProof/>
                    </w:rPr>
                    <w:drawing>
                      <wp:inline distT="0" distB="0" distL="0" distR="0">
                        <wp:extent cx="5375910" cy="2833688"/>
                        <wp:effectExtent l="19050" t="0" r="0" b="0"/>
                        <wp:docPr id="4" name="Picture 4" descr="\\OKCOK06OFS01\Projects\00-Active\1796_AFIT Task Order 7_TRA_SYS109\04-Development\04-Graphics\coursegraphics\finalimages\module1\lesson2\1213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COK06OFS01\Projects\00-Active\1796_AFIT Task Order 7_TRA_SYS109\04-Development\04-Graphics\coursegraphics\finalimages\module1\lesson2\12130a.png"/>
                                <pic:cNvPicPr>
                                  <a:picLocks noChangeAspect="1" noChangeArrowheads="1"/>
                                </pic:cNvPicPr>
                              </pic:nvPicPr>
                              <pic:blipFill>
                                <a:blip r:embed="rId10"/>
                                <a:srcRect/>
                                <a:stretch>
                                  <a:fillRect/>
                                </a:stretch>
                              </pic:blipFill>
                              <pic:spPr bwMode="auto">
                                <a:xfrm>
                                  <a:off x="0" y="0"/>
                                  <a:ext cx="5375910" cy="2833688"/>
                                </a:xfrm>
                                <a:prstGeom prst="rect">
                                  <a:avLst/>
                                </a:prstGeom>
                                <a:noFill/>
                                <a:ln w="9525">
                                  <a:noFill/>
                                  <a:miter lim="800000"/>
                                  <a:headEnd/>
                                  <a:tailEnd/>
                                </a:ln>
                              </pic:spPr>
                            </pic:pic>
                          </a:graphicData>
                        </a:graphic>
                      </wp:inline>
                    </w:drawing>
                  </w:r>
                </w:p>
              </w:txbxContent>
            </v:textbox>
            <w10:wrap type="square"/>
          </v:shape>
        </w:pict>
      </w:r>
      <w:r w:rsidR="00491A35" w:rsidRPr="00491A35">
        <w:rPr>
          <w:rFonts w:ascii="Verdana" w:hAnsi="Verdana"/>
          <w:b/>
          <w:sz w:val="20"/>
          <w:szCs w:val="20"/>
        </w:rPr>
        <w:t>1.2.5</w:t>
      </w:r>
      <w:proofErr w:type="gramStart"/>
      <w:r w:rsidR="00491A35" w:rsidRPr="00491A35">
        <w:rPr>
          <w:rFonts w:ascii="Verdana" w:hAnsi="Verdana"/>
          <w:b/>
          <w:sz w:val="20"/>
          <w:szCs w:val="20"/>
        </w:rPr>
        <w:t>.  How</w:t>
      </w:r>
      <w:proofErr w:type="gramEnd"/>
      <w:r w:rsidR="00491A35" w:rsidRPr="00491A35">
        <w:rPr>
          <w:rFonts w:ascii="Verdana" w:hAnsi="Verdana"/>
          <w:b/>
          <w:sz w:val="20"/>
          <w:szCs w:val="20"/>
        </w:rPr>
        <w:t xml:space="preserve"> Perpetual Lens Affects the TRA</w:t>
      </w:r>
      <w:r w:rsidR="00AD69CC">
        <w:rPr>
          <w:rFonts w:ascii="Verdana" w:hAnsi="Verdana"/>
          <w:sz w:val="20"/>
          <w:szCs w:val="20"/>
        </w:rPr>
        <w:br/>
      </w:r>
    </w:p>
    <w:p w:rsidR="00CE77CB" w:rsidRDefault="00CE77CB" w:rsidP="00AD69CC">
      <w:pPr>
        <w:pStyle w:val="BESAScreenText"/>
        <w:autoSpaceDE w:val="0"/>
        <w:autoSpaceDN w:val="0"/>
        <w:adjustRightInd w:val="0"/>
        <w:rPr>
          <w:rFonts w:ascii="Verdana" w:hAnsi="Verdana"/>
        </w:rPr>
      </w:pPr>
    </w:p>
    <w:p w:rsidR="00AD69CC" w:rsidRDefault="00AD69CC" w:rsidP="00AD69CC">
      <w:pPr>
        <w:pStyle w:val="BESAScreenText"/>
        <w:autoSpaceDE w:val="0"/>
        <w:autoSpaceDN w:val="0"/>
        <w:adjustRightInd w:val="0"/>
        <w:rPr>
          <w:rFonts w:ascii="Verdana" w:hAnsi="Verdana"/>
        </w:rPr>
      </w:pPr>
      <w:r>
        <w:rPr>
          <w:rFonts w:ascii="Verdana" w:hAnsi="Verdana"/>
        </w:rPr>
        <w:t xml:space="preserve">The TRA process can be viewed differently by different players in the process. Remember, each person will bring their own experiences and their own perceptions to the table. This can cause them to view aspects of the TRA process through their own unique </w:t>
      </w:r>
      <w:r w:rsidRPr="00E013FB">
        <w:rPr>
          <w:rFonts w:ascii="Verdana" w:hAnsi="Verdana"/>
          <w:i/>
        </w:rPr>
        <w:t>filter</w:t>
      </w:r>
      <w:r>
        <w:rPr>
          <w:rFonts w:ascii="Verdana" w:hAnsi="Verdana"/>
        </w:rPr>
        <w:t xml:space="preserve"> or lens of perception.</w:t>
      </w:r>
    </w:p>
    <w:p w:rsidR="00AD69CC" w:rsidRDefault="00AD69CC" w:rsidP="00AD69CC">
      <w:pPr>
        <w:pStyle w:val="BESAScreenText"/>
        <w:autoSpaceDE w:val="0"/>
        <w:autoSpaceDN w:val="0"/>
        <w:adjustRightInd w:val="0"/>
        <w:rPr>
          <w:rFonts w:ascii="Verdana" w:hAnsi="Verdana"/>
        </w:rPr>
      </w:pPr>
      <w:r>
        <w:rPr>
          <w:rFonts w:ascii="Verdana" w:hAnsi="Verdana"/>
        </w:rPr>
        <w:t>Since TRAs are one-dimensional, it is important to take the experiences, knowledge, and perceptions of all of the IRP Team Members and focus them toward the performance of the TRA process. The IRP Lead is responsible for delivering a fair and accurate TRA. To ensure that this happens, he or she must see that all of the team members combine their expertise, but do not diminish their individual strengths and differences, which provide for a more comprehensive assessment. The end result should be a team consensus that the program’s technology maturity was thoroughly and accurately assessed.</w:t>
      </w:r>
    </w:p>
    <w:p w:rsidR="00AD69CC" w:rsidRPr="00AD69CC" w:rsidRDefault="00AD69CC" w:rsidP="00AD69CC">
      <w:pPr>
        <w:rPr>
          <w:rFonts w:ascii="Verdana" w:hAnsi="Verdana"/>
          <w:sz w:val="20"/>
          <w:szCs w:val="20"/>
        </w:rPr>
      </w:pPr>
      <w:r>
        <w:rPr>
          <w:rFonts w:ascii="Verdana" w:hAnsi="Verdana"/>
        </w:rPr>
        <w:t>We all come from different corporate cultures which also influence our perceptions. Corporate culture infers different informational silos or disparate thinking with different things being measured. When different corporate cultures are properly brought together, they create a balance and produce a Common Operational Picture (COP).</w:t>
      </w:r>
    </w:p>
    <w:sectPr w:rsidR="00AD69CC" w:rsidRPr="00AD69CC" w:rsidSect="00DC5CA8">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408" w:rsidRDefault="00B53408" w:rsidP="00140D15">
      <w:r>
        <w:separator/>
      </w:r>
    </w:p>
  </w:endnote>
  <w:endnote w:type="continuationSeparator" w:id="0">
    <w:p w:rsidR="00B53408" w:rsidRDefault="00B53408" w:rsidP="00140D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4996"/>
      <w:docPartObj>
        <w:docPartGallery w:val="Page Numbers (Bottom of Page)"/>
        <w:docPartUnique/>
      </w:docPartObj>
    </w:sdtPr>
    <w:sdtContent>
      <w:p w:rsidR="00140D15" w:rsidRDefault="00937419">
        <w:pPr>
          <w:pStyle w:val="Footer"/>
          <w:jc w:val="center"/>
        </w:pPr>
        <w:fldSimple w:instr=" PAGE   \* MERGEFORMAT ">
          <w:r w:rsidR="008B4BF9">
            <w:rPr>
              <w:noProof/>
            </w:rPr>
            <w:t>6</w:t>
          </w:r>
        </w:fldSimple>
      </w:p>
    </w:sdtContent>
  </w:sdt>
  <w:p w:rsidR="00140D15" w:rsidRDefault="00140D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408" w:rsidRDefault="00B53408" w:rsidP="00140D15">
      <w:r>
        <w:separator/>
      </w:r>
    </w:p>
  </w:footnote>
  <w:footnote w:type="continuationSeparator" w:id="0">
    <w:p w:rsidR="00B53408" w:rsidRDefault="00B53408" w:rsidP="00140D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568"/>
    <w:multiLevelType w:val="hybridMultilevel"/>
    <w:tmpl w:val="E034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95352"/>
    <w:multiLevelType w:val="hybridMultilevel"/>
    <w:tmpl w:val="8CCE3A64"/>
    <w:lvl w:ilvl="0" w:tplc="39909C46">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506A3D"/>
    <w:multiLevelType w:val="hybridMultilevel"/>
    <w:tmpl w:val="C6B21D1E"/>
    <w:lvl w:ilvl="0" w:tplc="57DCFCEA">
      <w:start w:val="1"/>
      <w:numFmt w:val="bullet"/>
      <w:lvlText w:val=""/>
      <w:lvlJc w:val="left"/>
      <w:pPr>
        <w:tabs>
          <w:tab w:val="num" w:pos="720"/>
        </w:tabs>
        <w:ind w:left="720" w:hanging="360"/>
      </w:pPr>
      <w:rPr>
        <w:rFonts w:ascii="Symbol" w:hAnsi="Symbol" w:hint="default"/>
        <w:b w:val="0"/>
        <w:i w:val="0"/>
        <w:sz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415344D5"/>
    <w:multiLevelType w:val="hybridMultilevel"/>
    <w:tmpl w:val="30824174"/>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F77B2"/>
    <w:multiLevelType w:val="hybridMultilevel"/>
    <w:tmpl w:val="660EB53E"/>
    <w:lvl w:ilvl="0" w:tplc="04090001">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8B76EB"/>
    <w:multiLevelType w:val="hybridMultilevel"/>
    <w:tmpl w:val="F186696E"/>
    <w:lvl w:ilvl="0" w:tplc="39909C46">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4301DA"/>
    <w:multiLevelType w:val="hybridMultilevel"/>
    <w:tmpl w:val="F9DC2D46"/>
    <w:lvl w:ilvl="0" w:tplc="04090001">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DE4C89"/>
    <w:multiLevelType w:val="hybridMultilevel"/>
    <w:tmpl w:val="B27A5E76"/>
    <w:lvl w:ilvl="0" w:tplc="39909C46">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2"/>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91A35"/>
    <w:rsid w:val="00062E6E"/>
    <w:rsid w:val="00121248"/>
    <w:rsid w:val="00140D15"/>
    <w:rsid w:val="00144F95"/>
    <w:rsid w:val="0019361E"/>
    <w:rsid w:val="00195521"/>
    <w:rsid w:val="001A3582"/>
    <w:rsid w:val="001F7B99"/>
    <w:rsid w:val="00224F9F"/>
    <w:rsid w:val="0024623D"/>
    <w:rsid w:val="0028150C"/>
    <w:rsid w:val="003041DF"/>
    <w:rsid w:val="003A2977"/>
    <w:rsid w:val="003D4E6A"/>
    <w:rsid w:val="00403432"/>
    <w:rsid w:val="004775F7"/>
    <w:rsid w:val="00491A35"/>
    <w:rsid w:val="00534688"/>
    <w:rsid w:val="00535CDA"/>
    <w:rsid w:val="00556725"/>
    <w:rsid w:val="0058695D"/>
    <w:rsid w:val="0065147A"/>
    <w:rsid w:val="006A07D3"/>
    <w:rsid w:val="006B085A"/>
    <w:rsid w:val="006B2AAB"/>
    <w:rsid w:val="006B7022"/>
    <w:rsid w:val="00740C92"/>
    <w:rsid w:val="00776729"/>
    <w:rsid w:val="00844AF2"/>
    <w:rsid w:val="00874F62"/>
    <w:rsid w:val="008B4BF9"/>
    <w:rsid w:val="009155EC"/>
    <w:rsid w:val="00937419"/>
    <w:rsid w:val="0095561A"/>
    <w:rsid w:val="009577BA"/>
    <w:rsid w:val="009C1465"/>
    <w:rsid w:val="009D5DDA"/>
    <w:rsid w:val="009E7A00"/>
    <w:rsid w:val="00A049F7"/>
    <w:rsid w:val="00A31B60"/>
    <w:rsid w:val="00A453D9"/>
    <w:rsid w:val="00A62752"/>
    <w:rsid w:val="00A66B07"/>
    <w:rsid w:val="00A76FE9"/>
    <w:rsid w:val="00AB21F3"/>
    <w:rsid w:val="00AD69CC"/>
    <w:rsid w:val="00B1709D"/>
    <w:rsid w:val="00B53408"/>
    <w:rsid w:val="00BF7168"/>
    <w:rsid w:val="00C0027D"/>
    <w:rsid w:val="00CB533F"/>
    <w:rsid w:val="00CE77CB"/>
    <w:rsid w:val="00CF2F80"/>
    <w:rsid w:val="00D402EF"/>
    <w:rsid w:val="00D47A8B"/>
    <w:rsid w:val="00D559EA"/>
    <w:rsid w:val="00D95928"/>
    <w:rsid w:val="00DC0CD7"/>
    <w:rsid w:val="00DC5CA8"/>
    <w:rsid w:val="00DD7CB3"/>
    <w:rsid w:val="00DE2DFC"/>
    <w:rsid w:val="00E62ACE"/>
    <w:rsid w:val="00EA21BB"/>
    <w:rsid w:val="00EA379E"/>
    <w:rsid w:val="00F37D21"/>
    <w:rsid w:val="00F5050C"/>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aText">
    <w:name w:val="Media Text"/>
    <w:link w:val="MediaTextChar"/>
    <w:rsid w:val="009577BA"/>
    <w:rPr>
      <w:rFonts w:ascii="Times New Roman" w:eastAsia="Times New Roman" w:hAnsi="Times New Roman" w:cs="Times New Roman"/>
      <w:sz w:val="20"/>
      <w:szCs w:val="20"/>
    </w:rPr>
  </w:style>
  <w:style w:type="character" w:customStyle="1" w:styleId="MediaTextChar">
    <w:name w:val="Media Text Char"/>
    <w:basedOn w:val="DefaultParagraphFont"/>
    <w:link w:val="MediaText"/>
    <w:rsid w:val="009577BA"/>
    <w:rPr>
      <w:rFonts w:ascii="Times New Roman" w:eastAsia="Times New Roman" w:hAnsi="Times New Roman" w:cs="Times New Roman"/>
      <w:sz w:val="20"/>
      <w:szCs w:val="20"/>
    </w:rPr>
  </w:style>
  <w:style w:type="paragraph" w:customStyle="1" w:styleId="BESAScreenText">
    <w:name w:val="BESA Screen Text"/>
    <w:basedOn w:val="Normal"/>
    <w:rsid w:val="009577BA"/>
    <w:pPr>
      <w:spacing w:before="120" w:after="120"/>
    </w:pPr>
    <w:rPr>
      <w:rFonts w:ascii="Arial" w:eastAsia="SimSun" w:hAnsi="Arial" w:cs="Times New Roman"/>
      <w:sz w:val="20"/>
      <w:szCs w:val="24"/>
    </w:rPr>
  </w:style>
  <w:style w:type="paragraph" w:customStyle="1" w:styleId="BESABulletedText">
    <w:name w:val="BESA Bulleted Text"/>
    <w:basedOn w:val="BESAScreenText"/>
    <w:rsid w:val="009577BA"/>
    <w:pPr>
      <w:spacing w:before="60" w:after="60"/>
    </w:pPr>
  </w:style>
  <w:style w:type="paragraph" w:styleId="Header">
    <w:name w:val="header"/>
    <w:basedOn w:val="Normal"/>
    <w:link w:val="HeaderChar"/>
    <w:uiPriority w:val="99"/>
    <w:semiHidden/>
    <w:unhideWhenUsed/>
    <w:rsid w:val="00140D15"/>
    <w:pPr>
      <w:tabs>
        <w:tab w:val="center" w:pos="4680"/>
        <w:tab w:val="right" w:pos="9360"/>
      </w:tabs>
    </w:pPr>
  </w:style>
  <w:style w:type="character" w:customStyle="1" w:styleId="HeaderChar">
    <w:name w:val="Header Char"/>
    <w:basedOn w:val="DefaultParagraphFont"/>
    <w:link w:val="Header"/>
    <w:uiPriority w:val="99"/>
    <w:semiHidden/>
    <w:rsid w:val="00140D15"/>
  </w:style>
  <w:style w:type="paragraph" w:styleId="Footer">
    <w:name w:val="footer"/>
    <w:basedOn w:val="Normal"/>
    <w:link w:val="FooterChar"/>
    <w:uiPriority w:val="99"/>
    <w:unhideWhenUsed/>
    <w:rsid w:val="00140D15"/>
    <w:pPr>
      <w:tabs>
        <w:tab w:val="center" w:pos="4680"/>
        <w:tab w:val="right" w:pos="9360"/>
      </w:tabs>
    </w:pPr>
  </w:style>
  <w:style w:type="character" w:customStyle="1" w:styleId="FooterChar">
    <w:name w:val="Footer Char"/>
    <w:basedOn w:val="DefaultParagraphFont"/>
    <w:link w:val="Footer"/>
    <w:uiPriority w:val="99"/>
    <w:rsid w:val="00140D15"/>
  </w:style>
  <w:style w:type="paragraph" w:styleId="ListParagraph">
    <w:name w:val="List Paragraph"/>
    <w:basedOn w:val="Normal"/>
    <w:uiPriority w:val="34"/>
    <w:qFormat/>
    <w:rsid w:val="001F7B99"/>
    <w:pPr>
      <w:ind w:left="720"/>
      <w:contextualSpacing/>
    </w:pPr>
  </w:style>
  <w:style w:type="paragraph" w:styleId="BalloonText">
    <w:name w:val="Balloon Text"/>
    <w:basedOn w:val="Normal"/>
    <w:link w:val="BalloonTextChar"/>
    <w:uiPriority w:val="99"/>
    <w:semiHidden/>
    <w:unhideWhenUsed/>
    <w:rsid w:val="00CE77CB"/>
    <w:rPr>
      <w:rFonts w:ascii="Tahoma" w:hAnsi="Tahoma" w:cs="Tahoma"/>
      <w:sz w:val="16"/>
      <w:szCs w:val="16"/>
    </w:rPr>
  </w:style>
  <w:style w:type="character" w:customStyle="1" w:styleId="BalloonTextChar">
    <w:name w:val="Balloon Text Char"/>
    <w:basedOn w:val="DefaultParagraphFont"/>
    <w:link w:val="BalloonText"/>
    <w:uiPriority w:val="99"/>
    <w:semiHidden/>
    <w:rsid w:val="00CE77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1511</Words>
  <Characters>8614</Characters>
  <Application>Microsoft Office Word</Application>
  <DocSecurity>0</DocSecurity>
  <Lines>71</Lines>
  <Paragraphs>20</Paragraphs>
  <ScaleCrop>false</ScaleCrop>
  <Company>Hewlett-Packard</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Woodward</dc:creator>
  <cp:lastModifiedBy>Jamie Liske</cp:lastModifiedBy>
  <cp:revision>29</cp:revision>
  <dcterms:created xsi:type="dcterms:W3CDTF">2010-05-03T21:39:00Z</dcterms:created>
  <dcterms:modified xsi:type="dcterms:W3CDTF">2010-06-14T16:17:00Z</dcterms:modified>
</cp:coreProperties>
</file>