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Lilla (Brukes på reisevei):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rgb(140, 40, 92)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Rød(brukes på informasjon om campusene):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rgb(200, 36, 63)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Blå(brukes på fasiliteter):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rgb(101, 108, 150)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Turkis(klasserom og grupperom):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rgb(137, 208, 200)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