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rial" w:hAnsi="Arial"/>
          <w:color w:val="000000"/>
        </w:rPr>
        <w:t>Group SE-2424 | Assignment 3 | Akhanov Yerdaulet, Shadiyarbek Syrym, Sabyrzhan Akylbek</w:t>
      </w:r>
    </w:p>
    <w:p>
      <w:pPr>
        <w:pStyle w:val="Title"/>
        <w:widowControl/>
      </w:pPr>
      <w:r>
        <w:rPr>
          <w:rFonts w:ascii="Arial" w:hAnsi="Arial"/>
          <w:color w:val="000000"/>
        </w:rPr>
        <w:t>Astana route estimate methodology</w:t>
      </w:r>
    </w:p>
    <w:p>
      <w:pPr>
        <w:widowControl/>
      </w:pPr>
      <w:r>
        <w:rPr>
          <w:rFonts w:ascii="Arial" w:hAnsi="Arial"/>
          <w:color w:val="000000"/>
        </w:rPr>
        <w:t>Status: executed ORS instrument pilot and separate exploratory Google–ORS test; Google–ORS period comparison planned; initial TomTom–2GIS comparison unperformed.</w:t>
      </w:r>
    </w:p>
    <w:p>
      <w:pPr>
        <w:widowControl/>
      </w:pPr>
      <w:r>
        <w:rPr>
          <w:rFonts w:ascii="Arial" w:hAnsi="Arial"/>
          <w:color w:val="000000"/>
        </w:rPr>
        <w:t xml:space="preserve">ORS analysis snapshot: 2026-10-24T11:13:51.125096+00:00. Public repository: </w:t>
      </w:r>
      <w:hyperlink r:id="rId10">
        <w:r>
          <w:rPr>
            <w:color w:val="174B76"/>
            <w:sz w:val="18"/>
          </w:rPr>
          <w:t>https://github.com/SuperFlyTK/rmt-a3-travel-time-astana</w:t>
        </w:r>
      </w:hyperlink>
    </w:p>
    <w:p>
      <w:pPr>
        <w:pStyle w:val="Heading1"/>
      </w:pPr>
      <w:r>
        <w:t>Segment 1. Methodology</w:t>
      </w:r>
    </w:p>
    <w:p>
      <w:pPr>
        <w:pStyle w:val="Heading2"/>
      </w:pPr>
      <w:r>
        <w:t>T1 Declare basic information</w:t>
      </w:r>
    </w:p>
    <w:p>
      <w:pPr>
        <w:widowControl/>
      </w:pPr>
      <w:r>
        <w:rPr>
          <w:rFonts w:ascii="Arial" w:hAnsi="Arial"/>
          <w:color w:val="000000"/>
        </w:rPr>
        <w:t>How do Google traffic-aware travel-time estimates differ from ORS control estimates on fixed Astana routes during peak and off-peak periods?</w:t>
      </w:r>
    </w:p>
    <w:p>
      <w:pPr>
        <w:widowControl/>
      </w:pPr>
      <w:r>
        <w:rPr>
          <w:rFonts w:ascii="Arial" w:hAnsi="Arial"/>
          <w:color w:val="000000"/>
        </w:rPr>
        <w:t>The amended question compares traffic-aware Google estimates with an ORS control that lacks live traffic. Common endpoints and defined periods make disagreement observable, but provider models and recommended streets also differ. Neither service supplies observed journeys. After the initial TomTom–2GIS design remained unperformed, the team approved this dated Google–ORS design and its aggregate-only retention. The completed exploratory cycle establishes a descriptive starting point; it does not answer the peak-versus-off-peak question.</w:t>
      </w:r>
    </w:p>
    <w:p>
      <w:pPr>
        <w:widowControl/>
      </w:pPr>
      <w:r>
        <w:rPr>
          <w:rFonts w:ascii="Arial" w:hAnsi="Arial"/>
          <w:color w:val="000000"/>
        </w:rPr>
        <w:t>Dated amendment: 2026-10-24T11:32:30.838148+00:00. Initial preregistered question, retained for provenance: How do TomTom and 2GIS traffic-aware travel-time estimates diverge on fixed Astana routes during evening peak compared with off-peak periods?</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928"/>
        <w:gridCol w:w="7710"/>
      </w:tblGrid>
      <w:tr>
        <w:trPr>
          <w:tblHeader/>
          <w:cantSplit/>
        </w:trPr>
        <w:tc>
          <w:tcPr>
            <w:tcW w:type="dxa" w:w="1928"/>
            <w:vAlign w:val="center"/>
            <w:shd w:fill="EAEAEA"/>
          </w:tcPr>
          <w:p>
            <w:pPr>
              <w:keepNext/>
              <w:spacing w:after="40" w:line="240" w:lineRule="auto"/>
            </w:pPr>
            <w:r>
              <w:rPr>
                <w:rFonts w:ascii="Arial" w:hAnsi="Arial"/>
                <w:b/>
                <w:color w:val="000000"/>
                <w:sz w:val="18"/>
              </w:rPr>
              <w:t>Item</w:t>
            </w:r>
          </w:p>
        </w:tc>
        <w:tc>
          <w:tcPr>
            <w:tcW w:type="dxa" w:w="7710"/>
            <w:vAlign w:val="center"/>
            <w:shd w:fill="EAEAEA"/>
          </w:tcPr>
          <w:p>
            <w:pPr>
              <w:keepNext/>
              <w:spacing w:after="40" w:line="240" w:lineRule="auto"/>
            </w:pPr>
            <w:r>
              <w:rPr>
                <w:rFonts w:ascii="Arial" w:hAnsi="Arial"/>
                <w:b/>
                <w:color w:val="000000"/>
                <w:sz w:val="18"/>
              </w:rPr>
              <w:t>Entry</w:t>
            </w:r>
          </w:p>
        </w:tc>
      </w:tr>
      <w:tr>
        <w:trPr>
          <w:cantSplit/>
        </w:trPr>
        <w:tc>
          <w:tcPr>
            <w:tcW w:type="dxa" w:w="1928"/>
            <w:vAlign w:val="center"/>
          </w:tcPr>
          <w:p>
            <w:pPr>
              <w:keepNext/>
              <w:spacing w:after="40" w:line="240" w:lineRule="auto"/>
            </w:pPr>
            <w:r>
              <w:rPr>
                <w:rFonts w:ascii="Arial" w:hAnsi="Arial"/>
                <w:color w:val="000000"/>
                <w:sz w:val="18"/>
              </w:rPr>
              <w:t>Group and team</w:t>
            </w:r>
          </w:p>
        </w:tc>
        <w:tc>
          <w:tcPr>
            <w:tcW w:type="dxa" w:w="7710"/>
            <w:vAlign w:val="center"/>
          </w:tcPr>
          <w:p>
            <w:pPr>
              <w:keepNext/>
              <w:spacing w:after="40" w:line="240" w:lineRule="auto"/>
            </w:pPr>
            <w:r>
              <w:rPr>
                <w:rFonts w:ascii="Arial" w:hAnsi="Arial"/>
                <w:color w:val="000000"/>
                <w:sz w:val="18"/>
              </w:rPr>
              <w:t>SE-2424 | AkhanovYerdaulet_ShadiyarbekSyrym_SabyrzhanAkylbek</w:t>
            </w:r>
          </w:p>
        </w:tc>
      </w:tr>
      <w:tr>
        <w:trPr>
          <w:cantSplit/>
        </w:trPr>
        <w:tc>
          <w:tcPr>
            <w:tcW w:type="dxa" w:w="1928"/>
            <w:vAlign w:val="center"/>
          </w:tcPr>
          <w:p>
            <w:pPr>
              <w:keepNext/>
              <w:spacing w:after="40" w:line="240" w:lineRule="auto"/>
            </w:pPr>
            <w:r>
              <w:rPr>
                <w:rFonts w:ascii="Arial" w:hAnsi="Arial"/>
                <w:color w:val="000000"/>
                <w:sz w:val="18"/>
              </w:rPr>
              <w:t>Repository</w:t>
            </w:r>
          </w:p>
        </w:tc>
        <w:tc>
          <w:tcPr>
            <w:tcW w:type="dxa" w:w="7710"/>
            <w:vAlign w:val="center"/>
          </w:tcPr>
          <w:p>
            <w:pPr>
              <w:keepNext/>
              <w:spacing w:after="40" w:line="240" w:lineRule="auto"/>
            </w:pPr>
            <w:hyperlink r:id="rId10">
              <w:r>
                <w:rPr>
                  <w:color w:val="174B76"/>
                  <w:sz w:val="18"/>
                </w:rPr>
                <w:t>https://github.com/SuperFlyTK/rmt-a3-travel-time-astana</w:t>
              </w:r>
            </w:hyperlink>
          </w:p>
        </w:tc>
      </w:tr>
      <w:tr>
        <w:trPr>
          <w:cantSplit/>
        </w:trPr>
        <w:tc>
          <w:tcPr>
            <w:tcW w:type="dxa" w:w="1928"/>
            <w:vAlign w:val="center"/>
          </w:tcPr>
          <w:p>
            <w:pPr>
              <w:keepNext/>
              <w:spacing w:after="40" w:line="240" w:lineRule="auto"/>
            </w:pPr>
            <w:r>
              <w:rPr>
                <w:rFonts w:ascii="Arial" w:hAnsi="Arial"/>
                <w:color w:val="000000"/>
                <w:sz w:val="18"/>
              </w:rPr>
              <w:t>Drive folder</w:t>
            </w:r>
          </w:p>
        </w:tc>
        <w:tc>
          <w:tcPr>
            <w:tcW w:type="dxa" w:w="7710"/>
            <w:vAlign w:val="center"/>
          </w:tcPr>
          <w:p>
            <w:pPr>
              <w:keepNext/>
              <w:spacing w:after="40" w:line="240" w:lineRule="auto"/>
            </w:pPr>
            <w:hyperlink r:id="rId11">
              <w:r>
                <w:rPr>
                  <w:color w:val="174B76"/>
                  <w:sz w:val="18"/>
                </w:rPr>
                <w:t>https://drive.google.com/drive/folders/1hEVyoDFR0XzRWSv3yIm2EGExC427-yE6</w:t>
              </w:r>
            </w:hyperlink>
            <w:r>
              <w:rPr>
                <w:rFonts w:ascii="Arial" w:hAnsi="Arial"/>
                <w:color w:val="000000"/>
                <w:sz w:val="18"/>
              </w:rPr>
              <w:br/>
              <w:t>Archive available; anyone with the link can read it</w:t>
            </w:r>
          </w:p>
        </w:tc>
      </w:tr>
      <w:tr>
        <w:trPr>
          <w:cantSplit/>
        </w:trPr>
        <w:tc>
          <w:tcPr>
            <w:tcW w:type="dxa" w:w="1928"/>
            <w:vAlign w:val="center"/>
          </w:tcPr>
          <w:p>
            <w:pPr>
              <w:keepNext w:val="0"/>
              <w:spacing w:after="40" w:line="240" w:lineRule="auto"/>
            </w:pPr>
            <w:r>
              <w:rPr>
                <w:rFonts w:ascii="Arial" w:hAnsi="Arial"/>
                <w:color w:val="000000"/>
                <w:sz w:val="18"/>
              </w:rPr>
              <w:t>Folders</w:t>
            </w:r>
          </w:p>
        </w:tc>
        <w:tc>
          <w:tcPr>
            <w:tcW w:type="dxa" w:w="7710"/>
            <w:vAlign w:val="center"/>
          </w:tcPr>
          <w:p>
            <w:pPr>
              <w:keepNext w:val="0"/>
              <w:spacing w:after="40" w:line="240" w:lineRule="auto"/>
            </w:pPr>
            <w:r>
              <w:rPr>
                <w:rFonts w:ascii="Arial" w:hAnsi="Arial"/>
                <w:color w:val="000000"/>
                <w:sz w:val="18"/>
              </w:rPr>
              <w:t>collector/: extraction; config/: fixed design; data/routes.csv: sample; data/raw/: original observations; analysis/: processing; results/: working data; figures/: evidence; report/: reproducible document; docs/: provenance and journal</w:t>
            </w:r>
          </w:p>
        </w:tc>
      </w:tr>
    </w:tbl>
    <w:p>
      <w:pPr>
        <w:spacing w:after="20"/>
      </w:pPr>
    </w:p>
    <w:p>
      <w:pPr>
        <w:pStyle w:val="Heading2"/>
      </w:pPr>
      <w:r>
        <w:t>T2 Record your Approach Card</w:t>
      </w:r>
    </w:p>
    <w:p>
      <w:pPr>
        <w:widowControl/>
      </w:pPr>
      <w:r>
        <w:rPr>
          <w:rFonts w:ascii="Arial" w:hAnsi="Arial"/>
          <w:color w:val="000000"/>
        </w:rPr>
        <w:t>The approach is quantitative secondary-data analysis using repeated observations. Researchers select requests but do not manipulate road conditions, allocate traffic treatments or recruit drivers. It is therefore observational. Repeated endpoints reduce spatial inconsistency. Purposive route selection and a short window limit generalisation, while repeated requests on one route remain dependent. ORS supplies a control without live traffic; Google uses a traffic-aware request preference. This contrast measures disagreement between complete service outputs, not the isolated causal effect of traffic.</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928"/>
        <w:gridCol w:w="7710"/>
      </w:tblGrid>
      <w:tr>
        <w:trPr>
          <w:tblHeader/>
          <w:cantSplit/>
        </w:trPr>
        <w:tc>
          <w:tcPr>
            <w:tcW w:type="dxa" w:w="1928"/>
            <w:vAlign w:val="center"/>
            <w:shd w:fill="EAEAEA"/>
          </w:tcPr>
          <w:p>
            <w:pPr>
              <w:keepNext/>
              <w:spacing w:after="40" w:line="240" w:lineRule="auto"/>
            </w:pPr>
            <w:r>
              <w:rPr>
                <w:rFonts w:ascii="Arial" w:hAnsi="Arial"/>
                <w:b/>
                <w:color w:val="000000"/>
                <w:sz w:val="18"/>
              </w:rPr>
              <w:t>Dimension</w:t>
            </w:r>
          </w:p>
        </w:tc>
        <w:tc>
          <w:tcPr>
            <w:tcW w:type="dxa" w:w="7710"/>
            <w:vAlign w:val="center"/>
            <w:shd w:fill="EAEAEA"/>
          </w:tcPr>
          <w:p>
            <w:pPr>
              <w:keepNext/>
              <w:spacing w:after="40" w:line="240" w:lineRule="auto"/>
            </w:pPr>
            <w:r>
              <w:rPr>
                <w:rFonts w:ascii="Arial" w:hAnsi="Arial"/>
                <w:b/>
                <w:color w:val="000000"/>
                <w:sz w:val="18"/>
              </w:rPr>
              <w:t>Declared approach</w:t>
            </w:r>
          </w:p>
        </w:tc>
      </w:tr>
      <w:tr>
        <w:trPr>
          <w:cantSplit/>
        </w:trPr>
        <w:tc>
          <w:tcPr>
            <w:tcW w:type="dxa" w:w="1928"/>
            <w:vAlign w:val="center"/>
          </w:tcPr>
          <w:p>
            <w:pPr>
              <w:keepNext/>
              <w:spacing w:after="40" w:line="240" w:lineRule="auto"/>
            </w:pPr>
            <w:r>
              <w:rPr>
                <w:rFonts w:ascii="Arial" w:hAnsi="Arial"/>
                <w:color w:val="000000"/>
                <w:sz w:val="18"/>
              </w:rPr>
              <w:t>Data and purpose</w:t>
            </w:r>
          </w:p>
        </w:tc>
        <w:tc>
          <w:tcPr>
            <w:tcW w:type="dxa" w:w="7710"/>
            <w:vAlign w:val="center"/>
          </w:tcPr>
          <w:p>
            <w:pPr>
              <w:keepNext/>
              <w:spacing w:after="40" w:line="240" w:lineRule="auto"/>
            </w:pPr>
            <w:r>
              <w:rPr>
                <w:rFonts w:ascii="Arial" w:hAnsi="Arial"/>
                <w:color w:val="000000"/>
                <w:sz w:val="18"/>
              </w:rPr>
              <w:t>Numerical API estimates; descriptive agreement planned; instrument feasibility observed</w:t>
            </w:r>
          </w:p>
        </w:tc>
      </w:tr>
      <w:tr>
        <w:trPr>
          <w:cantSplit/>
        </w:trPr>
        <w:tc>
          <w:tcPr>
            <w:tcW w:type="dxa" w:w="1928"/>
            <w:vAlign w:val="center"/>
          </w:tcPr>
          <w:p>
            <w:pPr>
              <w:keepNext/>
              <w:spacing w:after="40" w:line="240" w:lineRule="auto"/>
            </w:pPr>
            <w:r>
              <w:rPr>
                <w:rFonts w:ascii="Arial" w:hAnsi="Arial"/>
                <w:color w:val="000000"/>
                <w:sz w:val="18"/>
              </w:rPr>
              <w:t>Design</w:t>
            </w:r>
          </w:p>
        </w:tc>
        <w:tc>
          <w:tcPr>
            <w:tcW w:type="dxa" w:w="7710"/>
            <w:vAlign w:val="center"/>
          </w:tcPr>
          <w:p>
            <w:pPr>
              <w:keepNext/>
              <w:spacing w:after="40" w:line="240" w:lineRule="auto"/>
            </w:pPr>
            <w:r>
              <w:rPr>
                <w:rFonts w:ascii="Arial" w:hAnsi="Arial"/>
                <w:color w:val="000000"/>
                <w:sz w:val="18"/>
              </w:rPr>
              <w:t>Observational repeated measures; secondary data; prospective paired comparison</w:t>
            </w:r>
          </w:p>
        </w:tc>
      </w:tr>
      <w:tr>
        <w:trPr>
          <w:cantSplit/>
        </w:trPr>
        <w:tc>
          <w:tcPr>
            <w:tcW w:type="dxa" w:w="1928"/>
            <w:vAlign w:val="center"/>
          </w:tcPr>
          <w:p>
            <w:pPr>
              <w:keepNext/>
              <w:spacing w:after="40" w:line="240" w:lineRule="auto"/>
            </w:pPr>
            <w:r>
              <w:rPr>
                <w:rFonts w:ascii="Arial" w:hAnsi="Arial"/>
                <w:color w:val="000000"/>
                <w:sz w:val="18"/>
              </w:rPr>
              <w:t>Strength</w:t>
            </w:r>
          </w:p>
        </w:tc>
        <w:tc>
          <w:tcPr>
            <w:tcW w:type="dxa" w:w="7710"/>
            <w:vAlign w:val="center"/>
          </w:tcPr>
          <w:p>
            <w:pPr>
              <w:keepNext/>
              <w:spacing w:after="40" w:line="240" w:lineRule="auto"/>
            </w:pPr>
            <w:r>
              <w:rPr>
                <w:rFonts w:ascii="Arial" w:hAnsi="Arial"/>
                <w:color w:val="000000"/>
                <w:sz w:val="18"/>
              </w:rPr>
              <w:t>Fixed OD identifiers, timestamps and preserved failures support reproduction</w:t>
            </w:r>
          </w:p>
        </w:tc>
      </w:tr>
      <w:tr>
        <w:trPr>
          <w:cantSplit/>
        </w:trPr>
        <w:tc>
          <w:tcPr>
            <w:tcW w:type="dxa" w:w="1928"/>
            <w:vAlign w:val="center"/>
          </w:tcPr>
          <w:p>
            <w:pPr>
              <w:keepNext w:val="0"/>
              <w:spacing w:after="40" w:line="240" w:lineRule="auto"/>
            </w:pPr>
            <w:r>
              <w:rPr>
                <w:rFonts w:ascii="Arial" w:hAnsi="Arial"/>
                <w:color w:val="000000"/>
                <w:sz w:val="18"/>
              </w:rPr>
              <w:t>Weakness</w:t>
            </w:r>
          </w:p>
        </w:tc>
        <w:tc>
          <w:tcPr>
            <w:tcW w:type="dxa" w:w="7710"/>
            <w:vAlign w:val="center"/>
          </w:tcPr>
          <w:p>
            <w:pPr>
              <w:keepNext w:val="0"/>
              <w:spacing w:after="40" w:line="240" w:lineRule="auto"/>
            </w:pPr>
            <w:r>
              <w:rPr>
                <w:rFonts w:ascii="Arial" w:hAnsi="Arial"/>
                <w:color w:val="000000"/>
                <w:sz w:val="18"/>
              </w:rPr>
              <w:t>No ground truth; proprietary provider behavior; dependent routes and short duration</w:t>
            </w:r>
          </w:p>
        </w:tc>
      </w:tr>
    </w:tbl>
    <w:p>
      <w:pPr>
        <w:spacing w:after="20"/>
      </w:pPr>
    </w:p>
    <w:p>
      <w:pPr>
        <w:pStyle w:val="Heading2"/>
      </w:pPr>
      <w:r>
        <w:t>T3 Concept table</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757"/>
        <w:gridCol w:w="4989"/>
        <w:gridCol w:w="2891"/>
      </w:tblGrid>
      <w:tr>
        <w:trPr>
          <w:tblHeader/>
          <w:cantSplit/>
        </w:trPr>
        <w:tc>
          <w:tcPr>
            <w:tcW w:type="dxa" w:w="1757"/>
            <w:vAlign w:val="center"/>
            <w:shd w:fill="EAEAEA"/>
          </w:tcPr>
          <w:p>
            <w:pPr>
              <w:keepNext/>
              <w:spacing w:after="40" w:line="240" w:lineRule="auto"/>
            </w:pPr>
            <w:r>
              <w:rPr>
                <w:rFonts w:ascii="Arial" w:hAnsi="Arial"/>
                <w:b/>
                <w:color w:val="000000"/>
                <w:sz w:val="18"/>
              </w:rPr>
              <w:t>Concept</w:t>
            </w:r>
          </w:p>
        </w:tc>
        <w:tc>
          <w:tcPr>
            <w:tcW w:type="dxa" w:w="4989"/>
            <w:vAlign w:val="center"/>
            <w:shd w:fill="EAEAEA"/>
          </w:tcPr>
          <w:p>
            <w:pPr>
              <w:keepNext/>
              <w:spacing w:after="40" w:line="240" w:lineRule="auto"/>
            </w:pPr>
            <w:r>
              <w:rPr>
                <w:rFonts w:ascii="Arial" w:hAnsi="Arial"/>
                <w:b/>
                <w:color w:val="000000"/>
                <w:sz w:val="18"/>
              </w:rPr>
              <w:t>Operational definition</w:t>
            </w:r>
          </w:p>
        </w:tc>
        <w:tc>
          <w:tcPr>
            <w:tcW w:type="dxa" w:w="2891"/>
            <w:vAlign w:val="center"/>
            <w:shd w:fill="EAEAEA"/>
          </w:tcPr>
          <w:p>
            <w:pPr>
              <w:keepNext/>
              <w:spacing w:after="40" w:line="240" w:lineRule="auto"/>
            </w:pPr>
            <w:r>
              <w:rPr>
                <w:rFonts w:ascii="Arial" w:hAnsi="Arial"/>
                <w:b/>
                <w:color w:val="000000"/>
                <w:sz w:val="18"/>
              </w:rPr>
              <w:t>Measure and unit</w:t>
            </w:r>
          </w:p>
        </w:tc>
      </w:tr>
      <w:tr>
        <w:trPr>
          <w:cantSplit/>
        </w:trPr>
        <w:tc>
          <w:tcPr>
            <w:tcW w:type="dxa" w:w="1757"/>
            <w:vAlign w:val="center"/>
          </w:tcPr>
          <w:p>
            <w:pPr>
              <w:keepNext/>
              <w:spacing w:after="40" w:line="240" w:lineRule="auto"/>
            </w:pPr>
            <w:r>
              <w:rPr>
                <w:rFonts w:ascii="Arial" w:hAnsi="Arial"/>
                <w:color w:val="000000"/>
                <w:sz w:val="18"/>
              </w:rPr>
              <w:t>Travel-time disagreement</w:t>
            </w:r>
          </w:p>
        </w:tc>
        <w:tc>
          <w:tcPr>
            <w:tcW w:type="dxa" w:w="4989"/>
            <w:vAlign w:val="center"/>
          </w:tcPr>
          <w:p>
            <w:pPr>
              <w:keepNext/>
              <w:spacing w:after="40" w:line="240" w:lineRule="auto"/>
            </w:pPr>
            <w:r>
              <w:rPr>
                <w:rFonts w:ascii="Arial" w:hAnsi="Arial"/>
                <w:color w:val="000000"/>
                <w:sz w:val="18"/>
              </w:rPr>
              <w:t>For paired estimates A and B, d=A−B and m=(A+B)/2</w:t>
            </w:r>
          </w:p>
        </w:tc>
        <w:tc>
          <w:tcPr>
            <w:tcW w:type="dxa" w:w="2891"/>
            <w:vAlign w:val="center"/>
          </w:tcPr>
          <w:p>
            <w:pPr>
              <w:keepNext/>
              <w:spacing w:after="40" w:line="240" w:lineRule="auto"/>
            </w:pPr>
            <w:r>
              <w:rPr>
                <w:rFonts w:ascii="Arial" w:hAnsi="Arial"/>
                <w:color w:val="000000"/>
                <w:sz w:val="18"/>
              </w:rPr>
              <w:t>d and |d| in seconds; 100d/m and 100|d|/m in percent</w:t>
            </w:r>
          </w:p>
        </w:tc>
      </w:tr>
      <w:tr>
        <w:trPr>
          <w:cantSplit/>
        </w:trPr>
        <w:tc>
          <w:tcPr>
            <w:tcW w:type="dxa" w:w="1757"/>
            <w:vAlign w:val="center"/>
          </w:tcPr>
          <w:p>
            <w:pPr>
              <w:keepNext/>
              <w:spacing w:after="40" w:line="240" w:lineRule="auto"/>
            </w:pPr>
            <w:r>
              <w:rPr>
                <w:rFonts w:ascii="Arial" w:hAnsi="Arial"/>
                <w:color w:val="000000"/>
                <w:sz w:val="18"/>
              </w:rPr>
              <w:t>Traffic period</w:t>
            </w:r>
          </w:p>
        </w:tc>
        <w:tc>
          <w:tcPr>
            <w:tcW w:type="dxa" w:w="4989"/>
            <w:vAlign w:val="center"/>
          </w:tcPr>
          <w:p>
            <w:pPr>
              <w:keepNext/>
              <w:spacing w:after="40" w:line="240" w:lineRule="auto"/>
            </w:pPr>
            <w:r>
              <w:rPr>
                <w:rFonts w:ascii="Arial" w:hAnsi="Arial"/>
                <w:color w:val="000000"/>
                <w:sz w:val="18"/>
              </w:rPr>
              <w:t>Classify request timestamp in Asia/Almaty; start included, end excluded</w:t>
            </w:r>
          </w:p>
        </w:tc>
        <w:tc>
          <w:tcPr>
            <w:tcW w:type="dxa" w:w="2891"/>
            <w:vAlign w:val="center"/>
          </w:tcPr>
          <w:p>
            <w:pPr>
              <w:keepNext/>
              <w:spacing w:after="40" w:line="240" w:lineRule="auto"/>
            </w:pPr>
            <w:r>
              <w:rPr>
                <w:rFonts w:ascii="Arial" w:hAnsi="Arial"/>
                <w:color w:val="000000"/>
                <w:sz w:val="18"/>
              </w:rPr>
              <w:t>Nominal: peak, offpeak, other</w:t>
            </w:r>
          </w:p>
        </w:tc>
      </w:tr>
      <w:tr>
        <w:trPr>
          <w:cantSplit/>
        </w:trPr>
        <w:tc>
          <w:tcPr>
            <w:tcW w:type="dxa" w:w="1757"/>
            <w:vAlign w:val="center"/>
          </w:tcPr>
          <w:p>
            <w:pPr>
              <w:keepNext/>
              <w:spacing w:after="40" w:line="240" w:lineRule="auto"/>
            </w:pPr>
            <w:r>
              <w:rPr>
                <w:rFonts w:ascii="Arial" w:hAnsi="Arial"/>
                <w:color w:val="000000"/>
                <w:sz w:val="18"/>
              </w:rPr>
              <w:t>Route comparability</w:t>
            </w:r>
          </w:p>
        </w:tc>
        <w:tc>
          <w:tcPr>
            <w:tcW w:type="dxa" w:w="4989"/>
            <w:vAlign w:val="center"/>
          </w:tcPr>
          <w:p>
            <w:pPr>
              <w:keepNext/>
              <w:spacing w:after="40" w:line="240" w:lineRule="auto"/>
            </w:pPr>
            <w:r>
              <w:rPr>
                <w:rFonts w:ascii="Arial" w:hAnsi="Arial"/>
                <w:color w:val="000000"/>
                <w:sz w:val="18"/>
              </w:rPr>
              <w:t>100|LA−LB|/((LA+LB)/2) ≤ 5; length proxy only</w:t>
            </w:r>
          </w:p>
        </w:tc>
        <w:tc>
          <w:tcPr>
            <w:tcW w:type="dxa" w:w="2891"/>
            <w:vAlign w:val="center"/>
          </w:tcPr>
          <w:p>
            <w:pPr>
              <w:keepNext/>
              <w:spacing w:after="40" w:line="240" w:lineRule="auto"/>
            </w:pPr>
            <w:r>
              <w:rPr>
                <w:rFonts w:ascii="Arial" w:hAnsi="Arial"/>
                <w:color w:val="000000"/>
                <w:sz w:val="18"/>
              </w:rPr>
              <w:t>Ratio: percent; nominal: comparable yes/no</w:t>
            </w:r>
          </w:p>
        </w:tc>
      </w:tr>
      <w:tr>
        <w:trPr>
          <w:cantSplit/>
        </w:trPr>
        <w:tc>
          <w:tcPr>
            <w:tcW w:type="dxa" w:w="1757"/>
            <w:vAlign w:val="center"/>
          </w:tcPr>
          <w:p>
            <w:pPr>
              <w:keepNext w:val="0"/>
              <w:spacing w:after="40" w:line="240" w:lineRule="auto"/>
            </w:pPr>
            <w:r>
              <w:rPr>
                <w:rFonts w:ascii="Arial" w:hAnsi="Arial"/>
                <w:color w:val="000000"/>
                <w:sz w:val="18"/>
              </w:rPr>
              <w:t>Instrument reliability</w:t>
            </w:r>
          </w:p>
        </w:tc>
        <w:tc>
          <w:tcPr>
            <w:tcW w:type="dxa" w:w="4989"/>
            <w:vAlign w:val="center"/>
          </w:tcPr>
          <w:p>
            <w:pPr>
              <w:keepNext w:val="0"/>
              <w:spacing w:after="40" w:line="240" w:lineRule="auto"/>
            </w:pPr>
            <w:r>
              <w:rPr>
                <w:rFonts w:ascii="Arial" w:hAnsi="Arial"/>
                <w:color w:val="000000"/>
                <w:sz w:val="18"/>
              </w:rPr>
              <w:t>Valid route responses and elapsed request time</w:t>
            </w:r>
          </w:p>
        </w:tc>
        <w:tc>
          <w:tcPr>
            <w:tcW w:type="dxa" w:w="2891"/>
            <w:vAlign w:val="center"/>
          </w:tcPr>
          <w:p>
            <w:pPr>
              <w:keepNext w:val="0"/>
              <w:spacing w:after="40" w:line="240" w:lineRule="auto"/>
            </w:pPr>
            <w:r>
              <w:rPr>
                <w:rFonts w:ascii="Arial" w:hAnsi="Arial"/>
                <w:color w:val="000000"/>
                <w:sz w:val="18"/>
              </w:rPr>
              <w:t>Ratio: success proportion, latency seconds</w:t>
            </w:r>
          </w:p>
        </w:tc>
      </w:tr>
    </w:tbl>
    <w:p>
      <w:pPr>
        <w:spacing w:after="20"/>
      </w:pPr>
    </w:p>
    <w:p>
      <w:pPr>
        <w:pStyle w:val="Heading2"/>
      </w:pPr>
      <w:r>
        <w:t>T4 What exactly was observed</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438"/>
        <w:gridCol w:w="7200"/>
      </w:tblGrid>
      <w:tr>
        <w:trPr>
          <w:tblHeader/>
          <w:cantSplit/>
        </w:trPr>
        <w:tc>
          <w:tcPr>
            <w:tcW w:type="dxa" w:w="2438"/>
            <w:vAlign w:val="center"/>
            <w:shd w:fill="EAEAEA"/>
          </w:tcPr>
          <w:p>
            <w:pPr>
              <w:keepNext/>
              <w:spacing w:after="40" w:line="240" w:lineRule="auto"/>
            </w:pPr>
            <w:r>
              <w:rPr>
                <w:rFonts w:ascii="Arial" w:hAnsi="Arial"/>
                <w:b/>
                <w:color w:val="000000"/>
                <w:sz w:val="18"/>
              </w:rPr>
              <w:t>Observation element</w:t>
            </w:r>
          </w:p>
        </w:tc>
        <w:tc>
          <w:tcPr>
            <w:tcW w:type="dxa" w:w="7200"/>
            <w:vAlign w:val="center"/>
            <w:shd w:fill="EAEAEA"/>
          </w:tcPr>
          <w:p>
            <w:pPr>
              <w:keepNext/>
              <w:spacing w:after="40" w:line="240" w:lineRule="auto"/>
            </w:pPr>
            <w:r>
              <w:rPr>
                <w:rFonts w:ascii="Arial" w:hAnsi="Arial"/>
                <w:b/>
                <w:color w:val="000000"/>
                <w:sz w:val="18"/>
              </w:rPr>
              <w:t>Entry</w:t>
            </w:r>
          </w:p>
        </w:tc>
      </w:tr>
      <w:tr>
        <w:trPr>
          <w:cantSplit/>
        </w:trPr>
        <w:tc>
          <w:tcPr>
            <w:tcW w:type="dxa" w:w="2438"/>
            <w:vAlign w:val="center"/>
          </w:tcPr>
          <w:p>
            <w:pPr>
              <w:keepNext/>
              <w:spacing w:after="40" w:line="240" w:lineRule="auto"/>
            </w:pPr>
            <w:r>
              <w:rPr>
                <w:rFonts w:ascii="Arial" w:hAnsi="Arial"/>
                <w:color w:val="000000"/>
                <w:sz w:val="18"/>
              </w:rPr>
              <w:t>Unit</w:t>
            </w:r>
          </w:p>
        </w:tc>
        <w:tc>
          <w:tcPr>
            <w:tcW w:type="dxa" w:w="7200"/>
            <w:vAlign w:val="center"/>
          </w:tcPr>
          <w:p>
            <w:pPr>
              <w:keepNext/>
              <w:spacing w:after="40" w:line="240" w:lineRule="auto"/>
            </w:pPr>
            <w:r>
              <w:rPr>
                <w:rFonts w:ascii="Arial" w:hAnsi="Arial"/>
                <w:color w:val="000000"/>
                <w:sz w:val="18"/>
              </w:rPr>
              <w:t>One provider response for a fixed OD pair at a recorded request start</w:t>
            </w:r>
          </w:p>
        </w:tc>
      </w:tr>
      <w:tr>
        <w:trPr>
          <w:cantSplit/>
        </w:trPr>
        <w:tc>
          <w:tcPr>
            <w:tcW w:type="dxa" w:w="2438"/>
            <w:vAlign w:val="center"/>
          </w:tcPr>
          <w:p>
            <w:pPr>
              <w:keepNext/>
              <w:spacing w:after="40" w:line="240" w:lineRule="auto"/>
            </w:pPr>
            <w:r>
              <w:rPr>
                <w:rFonts w:ascii="Arial" w:hAnsi="Arial"/>
                <w:color w:val="000000"/>
                <w:sz w:val="18"/>
              </w:rPr>
              <w:t>Observed</w:t>
            </w:r>
          </w:p>
        </w:tc>
        <w:tc>
          <w:tcPr>
            <w:tcW w:type="dxa" w:w="7200"/>
            <w:vAlign w:val="center"/>
          </w:tcPr>
          <w:p>
            <w:pPr>
              <w:keepNext/>
              <w:spacing w:after="40" w:line="240" w:lineRule="auto"/>
            </w:pPr>
            <w:r>
              <w:rPr>
                <w:rFonts w:ascii="Arial" w:hAnsi="Arial"/>
                <w:color w:val="000000"/>
                <w:sz w:val="18"/>
              </w:rPr>
              <w:t>ORS estimate, distance, geometry, status, timestamps and elapsed request time; separate aggregate Google–ORS disagreement</w:t>
            </w:r>
          </w:p>
        </w:tc>
      </w:tr>
      <w:tr>
        <w:trPr>
          <w:cantSplit/>
        </w:trPr>
        <w:tc>
          <w:tcPr>
            <w:tcW w:type="dxa" w:w="2438"/>
            <w:vAlign w:val="center"/>
          </w:tcPr>
          <w:p>
            <w:pPr>
              <w:keepNext/>
              <w:spacing w:after="40" w:line="240" w:lineRule="auto"/>
            </w:pPr>
            <w:r>
              <w:rPr>
                <w:rFonts w:ascii="Arial" w:hAnsi="Arial"/>
                <w:color w:val="000000"/>
                <w:sz w:val="18"/>
              </w:rPr>
              <w:t>Not observed</w:t>
            </w:r>
          </w:p>
        </w:tc>
        <w:tc>
          <w:tcPr>
            <w:tcW w:type="dxa" w:w="7200"/>
            <w:vAlign w:val="center"/>
          </w:tcPr>
          <w:p>
            <w:pPr>
              <w:keepNext/>
              <w:spacing w:after="40" w:line="240" w:lineRule="auto"/>
            </w:pPr>
            <w:r>
              <w:rPr>
                <w:rFonts w:ascii="Arial" w:hAnsi="Arial"/>
                <w:color w:val="000000"/>
                <w:sz w:val="18"/>
              </w:rPr>
              <w:t>Actual trips, driver behavior, independently measured traffic conditions or TomTom–2GIS disagreement</w:t>
            </w:r>
          </w:p>
        </w:tc>
      </w:tr>
      <w:tr>
        <w:trPr>
          <w:cantSplit/>
        </w:trPr>
        <w:tc>
          <w:tcPr>
            <w:tcW w:type="dxa" w:w="2438"/>
            <w:vAlign w:val="center"/>
          </w:tcPr>
          <w:p>
            <w:pPr>
              <w:keepNext w:val="0"/>
              <w:spacing w:after="40" w:line="240" w:lineRule="auto"/>
            </w:pPr>
            <w:r>
              <w:rPr>
                <w:rFonts w:ascii="Arial" w:hAnsi="Arial"/>
                <w:color w:val="000000"/>
                <w:sz w:val="18"/>
              </w:rPr>
              <w:t>Comparison unit planned</w:t>
            </w:r>
          </w:p>
        </w:tc>
        <w:tc>
          <w:tcPr>
            <w:tcW w:type="dxa" w:w="7200"/>
            <w:vAlign w:val="center"/>
          </w:tcPr>
          <w:p>
            <w:pPr>
              <w:keepNext w:val="0"/>
              <w:spacing w:after="40" w:line="240" w:lineRule="auto"/>
            </w:pPr>
            <w:r>
              <w:rPr>
                <w:rFonts w:ascii="Arial" w:hAnsi="Arial"/>
                <w:color w:val="000000"/>
                <w:sz w:val="18"/>
              </w:rPr>
              <w:t>Same route and cycle, provider request starts ≤ 60 seconds apart; same period and date</w:t>
            </w:r>
          </w:p>
        </w:tc>
      </w:tr>
    </w:tbl>
    <w:p>
      <w:pPr>
        <w:spacing w:after="20"/>
      </w:pPr>
    </w:p>
    <w:p>
      <w:pPr>
        <w:pStyle w:val="Heading2"/>
      </w:pPr>
      <w:r>
        <w:t>T5 Define your Research strategy</w:t>
      </w:r>
    </w:p>
    <w:p>
      <w:pPr>
        <w:widowControl/>
      </w:pPr>
      <w:r>
        <w:rPr>
          <w:rFonts w:ascii="Arial" w:hAnsi="Arial"/>
          <w:color w:val="000000"/>
        </w:rPr>
        <w:t>The strategy is a bounded Astana case study with purposive sampling of public arterial corridors and landmarks. Common endpoints specify a requested journey, not a common returned path. Similar distance cannot prove street-level equivalence. The initial design planned pair-level sensitivity analysis; the amended protocol instead reports aggregate disagreement and the proportion of lengths within five percent of the pair mean. Permitted ORS geometry remains available, while Google individual outputs are transient. Differences cannot be interpreted as provider error.</w:t>
      </w:r>
    </w:p>
    <w:p>
      <w:pPr>
        <w:pStyle w:val="Heading2"/>
      </w:pPr>
      <w:r>
        <w:t>T6 Define sample, dataset or cases</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324"/>
        <w:gridCol w:w="7313"/>
      </w:tblGrid>
      <w:tr>
        <w:trPr>
          <w:tblHeader/>
          <w:cantSplit/>
        </w:trPr>
        <w:tc>
          <w:tcPr>
            <w:tcW w:type="dxa" w:w="2324"/>
            <w:vAlign w:val="center"/>
            <w:shd w:fill="EAEAEA"/>
          </w:tcPr>
          <w:p>
            <w:pPr>
              <w:keepNext/>
              <w:spacing w:after="40" w:line="240" w:lineRule="auto"/>
            </w:pPr>
            <w:r>
              <w:rPr>
                <w:rFonts w:ascii="Arial" w:hAnsi="Arial"/>
                <w:b/>
                <w:color w:val="000000"/>
                <w:sz w:val="18"/>
              </w:rPr>
              <w:t>Item</w:t>
            </w:r>
          </w:p>
        </w:tc>
        <w:tc>
          <w:tcPr>
            <w:tcW w:type="dxa" w:w="7313"/>
            <w:vAlign w:val="center"/>
            <w:shd w:fill="EAEAEA"/>
          </w:tcPr>
          <w:p>
            <w:pPr>
              <w:keepNext/>
              <w:spacing w:after="40" w:line="240" w:lineRule="auto"/>
            </w:pPr>
            <w:r>
              <w:rPr>
                <w:rFonts w:ascii="Arial" w:hAnsi="Arial"/>
                <w:b/>
                <w:color w:val="000000"/>
                <w:sz w:val="18"/>
              </w:rPr>
              <w:t>Entry</w:t>
            </w:r>
          </w:p>
        </w:tc>
      </w:tr>
      <w:tr>
        <w:trPr>
          <w:cantSplit/>
        </w:trPr>
        <w:tc>
          <w:tcPr>
            <w:tcW w:type="dxa" w:w="2324"/>
            <w:vAlign w:val="center"/>
          </w:tcPr>
          <w:p>
            <w:pPr>
              <w:keepNext/>
              <w:spacing w:after="40" w:line="240" w:lineRule="auto"/>
            </w:pPr>
            <w:r>
              <w:rPr>
                <w:rFonts w:ascii="Arial" w:hAnsi="Arial"/>
                <w:color w:val="000000"/>
                <w:sz w:val="18"/>
              </w:rPr>
              <w:t>Population or case set</w:t>
            </w:r>
          </w:p>
        </w:tc>
        <w:tc>
          <w:tcPr>
            <w:tcW w:type="dxa" w:w="7313"/>
            <w:vAlign w:val="center"/>
          </w:tcPr>
          <w:p>
            <w:pPr>
              <w:keepNext/>
              <w:spacing w:after="40" w:line="240" w:lineRule="auto"/>
            </w:pPr>
            <w:r>
              <w:rPr>
                <w:rFonts w:ascii="Arial" w:hAnsi="Arial"/>
                <w:color w:val="000000"/>
                <w:sz w:val="18"/>
              </w:rPr>
              <w:t>Fixed public OD pairs on selected Astana arterial corridors; not all city trips</w:t>
            </w:r>
          </w:p>
        </w:tc>
      </w:tr>
      <w:tr>
        <w:trPr>
          <w:cantSplit/>
        </w:trPr>
        <w:tc>
          <w:tcPr>
            <w:tcW w:type="dxa" w:w="2324"/>
            <w:vAlign w:val="center"/>
          </w:tcPr>
          <w:p>
            <w:pPr>
              <w:keepNext/>
              <w:spacing w:after="40" w:line="240" w:lineRule="auto"/>
            </w:pPr>
            <w:r>
              <w:rPr>
                <w:rFonts w:ascii="Arial" w:hAnsi="Arial"/>
                <w:color w:val="000000"/>
                <w:sz w:val="18"/>
              </w:rPr>
              <w:t>Planned sample</w:t>
            </w:r>
          </w:p>
        </w:tc>
        <w:tc>
          <w:tcPr>
            <w:tcW w:type="dxa" w:w="7313"/>
            <w:vAlign w:val="center"/>
          </w:tcPr>
          <w:p>
            <w:pPr>
              <w:keepNext/>
              <w:spacing w:after="40" w:line="240" w:lineRule="auto"/>
            </w:pPr>
            <w:r>
              <w:rPr>
                <w:rFonts w:ascii="Arial" w:hAnsi="Arial"/>
                <w:color w:val="000000"/>
                <w:sz w:val="18"/>
              </w:rPr>
              <w:t>20 routes; 3 full pilot cycles; 768 nominal scheduled ORS requests</w:t>
            </w:r>
          </w:p>
        </w:tc>
      </w:tr>
      <w:tr>
        <w:trPr>
          <w:cantSplit/>
        </w:trPr>
        <w:tc>
          <w:tcPr>
            <w:tcW w:type="dxa" w:w="2324"/>
            <w:vAlign w:val="center"/>
          </w:tcPr>
          <w:p>
            <w:pPr>
              <w:keepNext/>
              <w:spacing w:after="40" w:line="240" w:lineRule="auto"/>
            </w:pPr>
            <w:r>
              <w:rPr>
                <w:rFonts w:ascii="Arial" w:hAnsi="Arial"/>
                <w:color w:val="000000"/>
                <w:sz w:val="18"/>
              </w:rPr>
              <w:t>Achieved ORS snapshot</w:t>
            </w:r>
          </w:p>
        </w:tc>
        <w:tc>
          <w:tcPr>
            <w:tcW w:type="dxa" w:w="7313"/>
            <w:vAlign w:val="center"/>
          </w:tcPr>
          <w:p>
            <w:pPr>
              <w:keepNext/>
              <w:spacing w:after="40" w:line="240" w:lineRule="auto"/>
            </w:pPr>
            <w:r>
              <w:rPr>
                <w:rFonts w:ascii="Arial" w:hAnsi="Arial"/>
                <w:color w:val="000000"/>
                <w:sz w:val="18"/>
              </w:rPr>
              <w:t>68 raw rows; 68 unique requests; 68 usable observations; 0 initial TomTom–2GIS pairs</w:t>
            </w:r>
          </w:p>
        </w:tc>
      </w:tr>
      <w:tr>
        <w:trPr>
          <w:cantSplit/>
        </w:trPr>
        <w:tc>
          <w:tcPr>
            <w:tcW w:type="dxa" w:w="2324"/>
            <w:vAlign w:val="center"/>
          </w:tcPr>
          <w:p>
            <w:pPr>
              <w:keepNext/>
              <w:spacing w:after="40" w:line="240" w:lineRule="auto"/>
            </w:pPr>
            <w:r>
              <w:rPr>
                <w:rFonts w:ascii="Arial" w:hAnsi="Arial"/>
                <w:color w:val="000000"/>
                <w:sz w:val="18"/>
              </w:rPr>
              <w:t>Selection strategy</w:t>
            </w:r>
          </w:p>
        </w:tc>
        <w:tc>
          <w:tcPr>
            <w:tcW w:type="dxa" w:w="7313"/>
            <w:vAlign w:val="center"/>
          </w:tcPr>
          <w:p>
            <w:pPr>
              <w:keepNext/>
              <w:spacing w:after="40" w:line="240" w:lineRule="auto"/>
            </w:pPr>
            <w:r>
              <w:rPr>
                <w:rFonts w:ascii="Arial" w:hAnsi="Arial"/>
                <w:color w:val="000000"/>
                <w:sz w:val="18"/>
              </w:rPr>
              <w:t>Purposive route and endpoint selection against public-road and corridor criteria</w:t>
            </w:r>
          </w:p>
        </w:tc>
      </w:tr>
      <w:tr>
        <w:trPr>
          <w:cantSplit/>
        </w:trPr>
        <w:tc>
          <w:tcPr>
            <w:tcW w:type="dxa" w:w="2324"/>
            <w:vAlign w:val="center"/>
          </w:tcPr>
          <w:p>
            <w:pPr>
              <w:keepNext w:val="0"/>
              <w:spacing w:after="40" w:line="240" w:lineRule="auto"/>
            </w:pPr>
            <w:r>
              <w:rPr>
                <w:rFonts w:ascii="Arial" w:hAnsi="Arial"/>
                <w:color w:val="000000"/>
                <w:sz w:val="18"/>
              </w:rPr>
              <w:t>Source</w:t>
            </w:r>
          </w:p>
        </w:tc>
        <w:tc>
          <w:tcPr>
            <w:tcW w:type="dxa" w:w="7313"/>
            <w:vAlign w:val="center"/>
          </w:tcPr>
          <w:p>
            <w:pPr>
              <w:keepNext w:val="0"/>
              <w:spacing w:after="40" w:line="240" w:lineRule="auto"/>
            </w:pPr>
            <w:hyperlink r:id="rId12">
              <w:r>
                <w:rPr>
                  <w:color w:val="174B76"/>
                  <w:sz w:val="18"/>
                </w:rPr>
                <w:t>https://github.com/SuperFlyTK/rmt-a3-travel-time-astana/blob/main/data/routes.csv</w:t>
              </w:r>
            </w:hyperlink>
            <w:r>
              <w:rPr>
                <w:rFonts w:ascii="Arial" w:hAnsi="Arial"/>
                <w:color w:val="000000"/>
                <w:sz w:val="18"/>
              </w:rPr>
              <w:br/>
            </w:r>
            <w:hyperlink r:id="rId13">
              <w:r>
                <w:rPr>
                  <w:color w:val="174B76"/>
                  <w:sz w:val="18"/>
                </w:rPr>
                <w:t>https://github.com/SuperFlyTK/rmt-a3-travel-time-astana/tree/main/data/sources</w:t>
              </w:r>
            </w:hyperlink>
          </w:p>
        </w:tc>
      </w:tr>
    </w:tbl>
    <w:p>
      <w:pPr>
        <w:spacing w:after="20"/>
      </w:pPr>
    </w:p>
    <w:p>
      <w:pPr>
        <w:widowControl/>
      </w:pPr>
      <w:r>
        <w:rPr>
          <w:rFonts w:ascii="Arial" w:hAnsi="Arial"/>
          <w:color w:val="000000"/>
        </w:rPr>
        <w:t>Coordinates were fixed before research collection using public OpenStreetMap endpoint records. Reverse directions are distinct cases because access and road direction can differ. The expected-length column is a spherical straight-line lower bound, not a measured driving distance. It supports a geographic plausibility check and must not be substituted for the returned route length. The sample contains named corridors rather than personal origins. Selection does not give every Astana journey a known probability of inclusion, so the intended conclusions remain conditional on these cases.</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551"/>
        <w:gridCol w:w="3118"/>
        <w:gridCol w:w="2268"/>
        <w:gridCol w:w="1701"/>
      </w:tblGrid>
      <w:tr>
        <w:trPr>
          <w:tblHeader/>
          <w:cantSplit/>
        </w:trPr>
        <w:tc>
          <w:tcPr>
            <w:tcW w:type="dxa" w:w="2551"/>
            <w:vAlign w:val="center"/>
            <w:shd w:fill="EAEAEA"/>
          </w:tcPr>
          <w:p>
            <w:pPr>
              <w:keepNext/>
              <w:spacing w:after="40" w:line="240" w:lineRule="auto"/>
            </w:pPr>
            <w:r>
              <w:rPr>
                <w:rFonts w:ascii="Arial" w:hAnsi="Arial"/>
                <w:b/>
                <w:color w:val="000000"/>
                <w:sz w:val="18"/>
              </w:rPr>
              <w:t>Amended Google–ORS date</w:t>
            </w:r>
          </w:p>
        </w:tc>
        <w:tc>
          <w:tcPr>
            <w:tcW w:type="dxa" w:w="3118"/>
            <w:vAlign w:val="center"/>
            <w:shd w:fill="EAEAEA"/>
          </w:tcPr>
          <w:p>
            <w:pPr>
              <w:keepNext/>
              <w:spacing w:after="40" w:line="240" w:lineRule="auto"/>
            </w:pPr>
            <w:r>
              <w:rPr>
                <w:rFonts w:ascii="Arial" w:hAnsi="Arial"/>
                <w:b/>
                <w:color w:val="000000"/>
                <w:sz w:val="18"/>
              </w:rPr>
              <w:t>Local eligibility window</w:t>
            </w:r>
          </w:p>
        </w:tc>
        <w:tc>
          <w:tcPr>
            <w:tcW w:type="dxa" w:w="2268"/>
            <w:vAlign w:val="center"/>
            <w:shd w:fill="EAEAEA"/>
          </w:tcPr>
          <w:p>
            <w:pPr>
              <w:keepNext/>
              <w:spacing w:after="40" w:line="240" w:lineRule="auto"/>
            </w:pPr>
            <w:r>
              <w:rPr>
                <w:rFonts w:ascii="Arial" w:hAnsi="Arial"/>
                <w:b/>
                <w:color w:val="000000"/>
                <w:sz w:val="18"/>
              </w:rPr>
              <w:t>Period</w:t>
            </w:r>
          </w:p>
        </w:tc>
        <w:tc>
          <w:tcPr>
            <w:tcW w:type="dxa" w:w="1701"/>
            <w:vAlign w:val="center"/>
            <w:shd w:fill="EAEAEA"/>
          </w:tcPr>
          <w:p>
            <w:pPr>
              <w:keepNext/>
              <w:spacing w:after="40" w:line="240" w:lineRule="auto"/>
            </w:pPr>
            <w:r>
              <w:rPr>
                <w:rFonts w:ascii="Arial" w:hAnsi="Arial"/>
                <w:b/>
                <w:color w:val="000000"/>
                <w:sz w:val="18"/>
              </w:rPr>
              <w:t>Planned pairs</w:t>
            </w:r>
          </w:p>
        </w:tc>
      </w:tr>
      <w:tr>
        <w:trPr>
          <w:cantSplit/>
        </w:trPr>
        <w:tc>
          <w:tcPr>
            <w:tcW w:type="dxa" w:w="2551"/>
            <w:vAlign w:val="center"/>
          </w:tcPr>
          <w:p>
            <w:pPr>
              <w:keepNext/>
              <w:spacing w:after="40" w:line="240" w:lineRule="auto"/>
            </w:pPr>
            <w:r>
              <w:rPr>
                <w:rFonts w:ascii="Arial" w:hAnsi="Arial"/>
                <w:color w:val="000000"/>
                <w:sz w:val="18"/>
              </w:rPr>
              <w:t>24 Oct 2026</w:t>
            </w:r>
          </w:p>
        </w:tc>
        <w:tc>
          <w:tcPr>
            <w:tcW w:type="dxa" w:w="3118"/>
            <w:vAlign w:val="center"/>
          </w:tcPr>
          <w:p>
            <w:pPr>
              <w:keepNext/>
              <w:spacing w:after="40" w:line="240" w:lineRule="auto"/>
            </w:pPr>
            <w:r>
              <w:rPr>
                <w:rFonts w:ascii="Arial" w:hAnsi="Arial"/>
                <w:color w:val="000000"/>
                <w:sz w:val="18"/>
              </w:rPr>
              <w:t>17:30–19:30</w:t>
            </w:r>
          </w:p>
        </w:tc>
        <w:tc>
          <w:tcPr>
            <w:tcW w:type="dxa" w:w="2268"/>
            <w:vAlign w:val="center"/>
          </w:tcPr>
          <w:p>
            <w:pPr>
              <w:keepNext/>
              <w:spacing w:after="40" w:line="240" w:lineRule="auto"/>
            </w:pPr>
            <w:r>
              <w:rPr>
                <w:rFonts w:ascii="Arial" w:hAnsi="Arial"/>
                <w:color w:val="000000"/>
                <w:sz w:val="18"/>
              </w:rPr>
              <w:t>peak</w:t>
            </w:r>
          </w:p>
        </w:tc>
        <w:tc>
          <w:tcPr>
            <w:tcW w:type="dxa" w:w="1701"/>
            <w:vAlign w:val="center"/>
          </w:tcPr>
          <w:p>
            <w:pPr>
              <w:keepNext/>
              <w:spacing w:after="40" w:line="240" w:lineRule="auto"/>
            </w:pPr>
            <w:r>
              <w:rPr>
                <w:rFonts w:ascii="Arial" w:hAnsi="Arial"/>
                <w:color w:val="000000"/>
                <w:sz w:val="18"/>
              </w:rPr>
              <w:t>20</w:t>
            </w:r>
          </w:p>
        </w:tc>
      </w:tr>
      <w:tr>
        <w:trPr>
          <w:cantSplit/>
        </w:trPr>
        <w:tc>
          <w:tcPr>
            <w:tcW w:type="dxa" w:w="2551"/>
            <w:vAlign w:val="center"/>
          </w:tcPr>
          <w:p>
            <w:pPr>
              <w:keepNext/>
              <w:spacing w:after="40" w:line="240" w:lineRule="auto"/>
            </w:pPr>
            <w:r>
              <w:rPr>
                <w:rFonts w:ascii="Arial" w:hAnsi="Arial"/>
                <w:color w:val="000000"/>
                <w:sz w:val="18"/>
              </w:rPr>
              <w:t>24 Oct 2026</w:t>
            </w:r>
          </w:p>
        </w:tc>
        <w:tc>
          <w:tcPr>
            <w:tcW w:type="dxa" w:w="3118"/>
            <w:vAlign w:val="center"/>
          </w:tcPr>
          <w:p>
            <w:pPr>
              <w:keepNext/>
              <w:spacing w:after="40" w:line="240" w:lineRule="auto"/>
            </w:pPr>
            <w:r>
              <w:rPr>
                <w:rFonts w:ascii="Arial" w:hAnsi="Arial"/>
                <w:color w:val="000000"/>
                <w:sz w:val="18"/>
              </w:rPr>
              <w:t>22:00–00:00</w:t>
            </w:r>
          </w:p>
        </w:tc>
        <w:tc>
          <w:tcPr>
            <w:tcW w:type="dxa" w:w="2268"/>
            <w:vAlign w:val="center"/>
          </w:tcPr>
          <w:p>
            <w:pPr>
              <w:keepNext/>
              <w:spacing w:after="40" w:line="240" w:lineRule="auto"/>
            </w:pPr>
            <w:r>
              <w:rPr>
                <w:rFonts w:ascii="Arial" w:hAnsi="Arial"/>
                <w:color w:val="000000"/>
                <w:sz w:val="18"/>
              </w:rPr>
              <w:t>offpeak</w:t>
            </w:r>
          </w:p>
        </w:tc>
        <w:tc>
          <w:tcPr>
            <w:tcW w:type="dxa" w:w="1701"/>
            <w:vAlign w:val="center"/>
          </w:tcPr>
          <w:p>
            <w:pPr>
              <w:keepNext/>
              <w:spacing w:after="40" w:line="240" w:lineRule="auto"/>
            </w:pPr>
            <w:r>
              <w:rPr>
                <w:rFonts w:ascii="Arial" w:hAnsi="Arial"/>
                <w:color w:val="000000"/>
                <w:sz w:val="18"/>
              </w:rPr>
              <w:t>20</w:t>
            </w:r>
          </w:p>
        </w:tc>
      </w:tr>
      <w:tr>
        <w:trPr>
          <w:cantSplit/>
        </w:trPr>
        <w:tc>
          <w:tcPr>
            <w:tcW w:type="dxa" w:w="2551"/>
            <w:vAlign w:val="center"/>
          </w:tcPr>
          <w:p>
            <w:pPr>
              <w:keepNext/>
              <w:spacing w:after="40" w:line="240" w:lineRule="auto"/>
            </w:pPr>
            <w:r>
              <w:rPr>
                <w:rFonts w:ascii="Arial" w:hAnsi="Arial"/>
                <w:color w:val="000000"/>
                <w:sz w:val="18"/>
              </w:rPr>
              <w:t>25 Oct 2026</w:t>
            </w:r>
          </w:p>
        </w:tc>
        <w:tc>
          <w:tcPr>
            <w:tcW w:type="dxa" w:w="3118"/>
            <w:vAlign w:val="center"/>
          </w:tcPr>
          <w:p>
            <w:pPr>
              <w:keepNext/>
              <w:spacing w:after="40" w:line="240" w:lineRule="auto"/>
            </w:pPr>
            <w:r>
              <w:rPr>
                <w:rFonts w:ascii="Arial" w:hAnsi="Arial"/>
                <w:color w:val="000000"/>
                <w:sz w:val="18"/>
              </w:rPr>
              <w:t>10:00–12:00</w:t>
            </w:r>
          </w:p>
        </w:tc>
        <w:tc>
          <w:tcPr>
            <w:tcW w:type="dxa" w:w="2268"/>
            <w:vAlign w:val="center"/>
          </w:tcPr>
          <w:p>
            <w:pPr>
              <w:keepNext/>
              <w:spacing w:after="40" w:line="240" w:lineRule="auto"/>
            </w:pPr>
            <w:r>
              <w:rPr>
                <w:rFonts w:ascii="Arial" w:hAnsi="Arial"/>
                <w:color w:val="000000"/>
                <w:sz w:val="18"/>
              </w:rPr>
              <w:t>offpeak</w:t>
            </w:r>
          </w:p>
        </w:tc>
        <w:tc>
          <w:tcPr>
            <w:tcW w:type="dxa" w:w="1701"/>
            <w:vAlign w:val="center"/>
          </w:tcPr>
          <w:p>
            <w:pPr>
              <w:keepNext/>
              <w:spacing w:after="40" w:line="240" w:lineRule="auto"/>
            </w:pPr>
            <w:r>
              <w:rPr>
                <w:rFonts w:ascii="Arial" w:hAnsi="Arial"/>
                <w:color w:val="000000"/>
                <w:sz w:val="18"/>
              </w:rPr>
              <w:t>20</w:t>
            </w:r>
          </w:p>
        </w:tc>
      </w:tr>
      <w:tr>
        <w:trPr>
          <w:cantSplit/>
        </w:trPr>
        <w:tc>
          <w:tcPr>
            <w:tcW w:type="dxa" w:w="2551"/>
            <w:vAlign w:val="center"/>
          </w:tcPr>
          <w:p>
            <w:pPr>
              <w:keepNext/>
              <w:spacing w:after="40" w:line="240" w:lineRule="auto"/>
            </w:pPr>
            <w:r>
              <w:rPr>
                <w:rFonts w:ascii="Arial" w:hAnsi="Arial"/>
                <w:color w:val="000000"/>
                <w:sz w:val="18"/>
              </w:rPr>
              <w:t>25 Oct 2026</w:t>
            </w:r>
          </w:p>
        </w:tc>
        <w:tc>
          <w:tcPr>
            <w:tcW w:type="dxa" w:w="3118"/>
            <w:vAlign w:val="center"/>
          </w:tcPr>
          <w:p>
            <w:pPr>
              <w:keepNext/>
              <w:spacing w:after="40" w:line="240" w:lineRule="auto"/>
            </w:pPr>
            <w:r>
              <w:rPr>
                <w:rFonts w:ascii="Arial" w:hAnsi="Arial"/>
                <w:color w:val="000000"/>
                <w:sz w:val="18"/>
              </w:rPr>
              <w:t>17:30–19:30</w:t>
            </w:r>
          </w:p>
        </w:tc>
        <w:tc>
          <w:tcPr>
            <w:tcW w:type="dxa" w:w="2268"/>
            <w:vAlign w:val="center"/>
          </w:tcPr>
          <w:p>
            <w:pPr>
              <w:keepNext/>
              <w:spacing w:after="40" w:line="240" w:lineRule="auto"/>
            </w:pPr>
            <w:r>
              <w:rPr>
                <w:rFonts w:ascii="Arial" w:hAnsi="Arial"/>
                <w:color w:val="000000"/>
                <w:sz w:val="18"/>
              </w:rPr>
              <w:t>peak</w:t>
            </w:r>
          </w:p>
        </w:tc>
        <w:tc>
          <w:tcPr>
            <w:tcW w:type="dxa" w:w="1701"/>
            <w:vAlign w:val="center"/>
          </w:tcPr>
          <w:p>
            <w:pPr>
              <w:keepNext/>
              <w:spacing w:after="40" w:line="240" w:lineRule="auto"/>
            </w:pPr>
            <w:r>
              <w:rPr>
                <w:rFonts w:ascii="Arial" w:hAnsi="Arial"/>
                <w:color w:val="000000"/>
                <w:sz w:val="18"/>
              </w:rPr>
              <w:t>20</w:t>
            </w:r>
          </w:p>
        </w:tc>
      </w:tr>
      <w:tr>
        <w:trPr>
          <w:cantSplit/>
        </w:trPr>
        <w:tc>
          <w:tcPr>
            <w:tcW w:type="dxa" w:w="2551"/>
            <w:vAlign w:val="center"/>
          </w:tcPr>
          <w:p>
            <w:pPr>
              <w:keepNext w:val="0"/>
              <w:spacing w:after="40" w:line="240" w:lineRule="auto"/>
            </w:pPr>
            <w:r>
              <w:rPr>
                <w:rFonts w:ascii="Arial" w:hAnsi="Arial"/>
                <w:color w:val="000000"/>
                <w:sz w:val="18"/>
              </w:rPr>
              <w:t>25 Oct 2026</w:t>
            </w:r>
          </w:p>
        </w:tc>
        <w:tc>
          <w:tcPr>
            <w:tcW w:type="dxa" w:w="3118"/>
            <w:vAlign w:val="center"/>
          </w:tcPr>
          <w:p>
            <w:pPr>
              <w:keepNext w:val="0"/>
              <w:spacing w:after="40" w:line="240" w:lineRule="auto"/>
            </w:pPr>
            <w:r>
              <w:rPr>
                <w:rFonts w:ascii="Arial" w:hAnsi="Arial"/>
                <w:color w:val="000000"/>
                <w:sz w:val="18"/>
              </w:rPr>
              <w:t>22:00–00:00</w:t>
            </w:r>
          </w:p>
        </w:tc>
        <w:tc>
          <w:tcPr>
            <w:tcW w:type="dxa" w:w="2268"/>
            <w:vAlign w:val="center"/>
          </w:tcPr>
          <w:p>
            <w:pPr>
              <w:keepNext w:val="0"/>
              <w:spacing w:after="40" w:line="240" w:lineRule="auto"/>
            </w:pPr>
            <w:r>
              <w:rPr>
                <w:rFonts w:ascii="Arial" w:hAnsi="Arial"/>
                <w:color w:val="000000"/>
                <w:sz w:val="18"/>
              </w:rPr>
              <w:t>offpeak</w:t>
            </w:r>
          </w:p>
        </w:tc>
        <w:tc>
          <w:tcPr>
            <w:tcW w:type="dxa" w:w="1701"/>
            <w:vAlign w:val="center"/>
          </w:tcPr>
          <w:p>
            <w:pPr>
              <w:keepNext w:val="0"/>
              <w:spacing w:after="40" w:line="240" w:lineRule="auto"/>
            </w:pPr>
            <w:r>
              <w:rPr>
                <w:rFonts w:ascii="Arial" w:hAnsi="Arial"/>
                <w:color w:val="000000"/>
                <w:sz w:val="18"/>
              </w:rPr>
              <w:t>20</w:t>
            </w:r>
          </w:p>
        </w:tc>
      </w:tr>
    </w:tbl>
    <w:p>
      <w:pPr>
        <w:spacing w:after="20"/>
      </w:pPr>
    </w:p>
    <w:p>
      <w:pPr>
        <w:widowControl/>
      </w:pPr>
      <w:r>
        <w:rPr>
          <w:rFonts w:ascii="Arial" w:hAnsi="Arial"/>
          <w:color w:val="000000"/>
        </w:rPr>
        <w:t>One prospective batch of 20 pairs is eligible in each window, at the first available worker check; the total cap is 100 further Google requests. Actual timestamps determine coverage. Missed windows are not backfilled. Planning a batch does not count it as observed; actual counts appear in Segment 4.</w:t>
      </w:r>
    </w:p>
    <w:p>
      <w:pPr>
        <w:widowControl/>
      </w:pPr>
      <w:r>
        <w:rPr>
          <w:rFonts w:ascii="Arial" w:hAnsi="Arial"/>
          <w:color w:val="000000"/>
        </w:rPr>
        <w:t xml:space="preserve">Amended protocol and storage rules: </w:t>
      </w:r>
      <w:hyperlink r:id="rId14">
        <w:r>
          <w:rPr>
            <w:color w:val="174B76"/>
            <w:sz w:val="18"/>
          </w:rPr>
          <w:t>https://github.com/SuperFlyTK/rmt-a3-travel-time-astana/blob/main/docs/google_followup_protocol.json</w:t>
        </w:r>
      </w:hyperlink>
    </w:p>
    <w:p>
      <w:pPr>
        <w:pStyle w:val="Heading2"/>
      </w:pPr>
      <w:r>
        <w:t>T7 Procedure actually followed</w:t>
      </w:r>
    </w:p>
    <w:p>
      <w:pPr>
        <w:widowControl/>
      </w:pPr>
      <w:r>
        <w:rPr>
          <w:rFonts w:ascii="Arial" w:hAnsi="Arial"/>
          <w:color w:val="000000"/>
        </w:rPr>
        <w:t>First, the team reviewed earlier assignments and separated credential checks from research data. Second, it inspected documentation and publication terms, then disabled the original TomTom and 2GIS adapters. Third, route definitions, period rules and expectations were fixed on 24.10.2026. Fourth, the ORS collector recorded pilot requests and unsuccessful attempts. Fifth, processing produced an audited working file, coverage tables and original figures. The journal identifies the operator and later changes.</w:t>
      </w:r>
    </w:p>
    <w:p>
      <w:pPr>
        <w:widowControl/>
      </w:pPr>
      <w:r>
        <w:rPr>
          <w:rFonts w:ascii="Arial" w:hAnsi="Arial"/>
          <w:color w:val="000000"/>
        </w:rPr>
        <w:t>The pilot plan uses 3 complete cycles with 300 seconds between the end of one cycle and the next. The scheduled plan rotates 4 routes every 15 minutes within a bounded 48-hour window. Each route therefore has a nominal 75-minute revisit. Scheduler delays remain visible through actual request times. No past observation is backfilled. Reproduction uses the versioned configuration and dependency file; Python 3.12.14 processed this snapshot. A future provider pair must use the same endpoints, car mode and closely aligned request starts.</w:t>
      </w:r>
    </w:p>
    <w:p>
      <w:pPr>
        <w:keepNext/>
        <w:widowControl/>
      </w:pPr>
      <w:r>
        <w:rPr>
          <w:rFonts w:ascii="Arial" w:hAnsi="Arial"/>
          <w:color w:val="000000"/>
        </w:rPr>
        <w:t>Figure 1 distinguishes successful requests from recorded failures.</w:t>
      </w:r>
    </w:p>
    <w:p>
      <w:pPr>
        <w:keepNext/>
        <w:jc w:val="center"/>
      </w:pPr>
      <w:r>
        <w:drawing>
          <wp:inline xmlns:a="http://schemas.openxmlformats.org/drawingml/2006/main" xmlns:pic="http://schemas.openxmlformats.org/drawingml/2006/picture">
            <wp:extent cx="5976000" cy="3172713"/>
            <wp:docPr id="1" name="Picture 1" descr="Recorded request outcomes by provider and collection phase. Exact duplicate rows are counted once. HTTP success does not itself imply a usable route." title="Figure 1"/>
            <wp:cNvGraphicFramePr>
              <a:graphicFrameLocks noChangeAspect="1"/>
            </wp:cNvGraphicFramePr>
            <a:graphic>
              <a:graphicData uri="http://schemas.openxmlformats.org/drawingml/2006/picture">
                <pic:pic>
                  <pic:nvPicPr>
                    <pic:cNvPr id="0" name="analysis_request_quality.png"/>
                    <pic:cNvPicPr/>
                  </pic:nvPicPr>
                  <pic:blipFill>
                    <a:blip r:embed="rId15"/>
                    <a:stretch>
                      <a:fillRect/>
                    </a:stretch>
                  </pic:blipFill>
                  <pic:spPr>
                    <a:xfrm>
                      <a:off x="0" y="0"/>
                      <a:ext cx="5976000" cy="3172713"/>
                    </a:xfrm>
                    <a:prstGeom prst="rect"/>
                  </pic:spPr>
                </pic:pic>
              </a:graphicData>
            </a:graphic>
          </wp:inline>
        </w:drawing>
      </w:r>
    </w:p>
    <w:p>
      <w:pPr>
        <w:pStyle w:val="Caption"/>
        <w:widowControl/>
      </w:pPr>
      <w:r>
        <w:rPr>
          <w:rFonts w:ascii="Arial" w:hAnsi="Arial"/>
          <w:color w:val="000000"/>
        </w:rPr>
        <w:t>Figure 1. Recorded request outcomes by provider and collection phase. Exact duplicate rows are counted once. HTTP success does not itself imply a usable route. Source: results/request_quality.csv. © openrouteservice by HeiGIT | Data from OpenStreetMap.</w:t>
      </w:r>
    </w:p>
    <w:p>
      <w:pPr>
        <w:keepNext/>
        <w:widowControl/>
      </w:pPr>
      <w:r>
        <w:rPr>
          <w:rFonts w:ascii="Arial" w:hAnsi="Arial"/>
          <w:color w:val="000000"/>
        </w:rPr>
        <w:t>Figure 2 checks which predefined periods actually received usable observations.</w:t>
      </w:r>
    </w:p>
    <w:p>
      <w:pPr>
        <w:keepNext/>
        <w:jc w:val="center"/>
      </w:pPr>
      <w:r>
        <w:drawing>
          <wp:inline xmlns:a="http://schemas.openxmlformats.org/drawingml/2006/main" xmlns:pic="http://schemas.openxmlformats.org/drawingml/2006/picture">
            <wp:extent cx="5976000" cy="3172713"/>
            <wp:docPr id="2" name="Picture 2" descr="Usable observations classified by Asia/Almaty request time. Intervals include their start and exclude their end. A zero bar is observed absence, not a missing plot." title="Figure 2"/>
            <wp:cNvGraphicFramePr>
              <a:graphicFrameLocks noChangeAspect="1"/>
            </wp:cNvGraphicFramePr>
            <a:graphic>
              <a:graphicData uri="http://schemas.openxmlformats.org/drawingml/2006/picture">
                <pic:pic>
                  <pic:nvPicPr>
                    <pic:cNvPr id="0" name="analysis_period_coverage.png"/>
                    <pic:cNvPicPr/>
                  </pic:nvPicPr>
                  <pic:blipFill>
                    <a:blip r:embed="rId16"/>
                    <a:stretch>
                      <a:fillRect/>
                    </a:stretch>
                  </pic:blipFill>
                  <pic:spPr>
                    <a:xfrm>
                      <a:off x="0" y="0"/>
                      <a:ext cx="5976000" cy="3172713"/>
                    </a:xfrm>
                    <a:prstGeom prst="rect"/>
                  </pic:spPr>
                </pic:pic>
              </a:graphicData>
            </a:graphic>
          </wp:inline>
        </w:drawing>
      </w:r>
    </w:p>
    <w:p>
      <w:pPr>
        <w:pStyle w:val="Caption"/>
        <w:widowControl/>
      </w:pPr>
      <w:r>
        <w:rPr>
          <w:rFonts w:ascii="Arial" w:hAnsi="Arial"/>
          <w:color w:val="000000"/>
        </w:rPr>
        <w:t>Figure 2. Usable observations classified by Asia/Almaty request time. Intervals include their start and exclude their end. A zero bar is observed absence, not a missing plot. Source: results/observations.csv. © openrouteservice by HeiGIT | Data from OpenStreetMap.</w:t>
      </w:r>
    </w:p>
    <w:p>
      <w:pPr>
        <w:keepNext/>
        <w:widowControl/>
      </w:pPr>
      <w:r>
        <w:rPr>
          <w:rFonts w:ascii="Arial" w:hAnsi="Arial"/>
          <w:color w:val="000000"/>
        </w:rPr>
        <w:t>Figure 3 compares recorded control estimates across the fixed route identifiers.</w:t>
      </w:r>
    </w:p>
    <w:p>
      <w:pPr>
        <w:keepNext/>
        <w:jc w:val="center"/>
      </w:pPr>
      <w:r>
        <w:drawing>
          <wp:inline xmlns:a="http://schemas.openxmlformats.org/drawingml/2006/main" xmlns:pic="http://schemas.openxmlformats.org/drawingml/2006/picture">
            <wp:extent cx="5976000" cy="3080771"/>
            <wp:docPr id="3" name="Picture 3" descr="Median recorded duration per provider and fixed origin–destination route. ORS is a control without live traffic. This instrument summary cannot establish peak traffic disagreement or travel-time accuracy." title="Figure 3"/>
            <wp:cNvGraphicFramePr>
              <a:graphicFrameLocks noChangeAspect="1"/>
            </wp:cNvGraphicFramePr>
            <a:graphic>
              <a:graphicData uri="http://schemas.openxmlformats.org/drawingml/2006/picture">
                <pic:pic>
                  <pic:nvPicPr>
                    <pic:cNvPr id="0" name="analysis_provider_durations.png"/>
                    <pic:cNvPicPr/>
                  </pic:nvPicPr>
                  <pic:blipFill>
                    <a:blip r:embed="rId17"/>
                    <a:stretch>
                      <a:fillRect/>
                    </a:stretch>
                  </pic:blipFill>
                  <pic:spPr>
                    <a:xfrm>
                      <a:off x="0" y="0"/>
                      <a:ext cx="5976000" cy="3080771"/>
                    </a:xfrm>
                    <a:prstGeom prst="rect"/>
                  </pic:spPr>
                </pic:pic>
              </a:graphicData>
            </a:graphic>
          </wp:inline>
        </w:drawing>
      </w:r>
    </w:p>
    <w:p>
      <w:pPr>
        <w:pStyle w:val="Caption"/>
        <w:widowControl/>
      </w:pPr>
      <w:r>
        <w:rPr>
          <w:rFonts w:ascii="Arial" w:hAnsi="Arial"/>
          <w:color w:val="000000"/>
        </w:rPr>
        <w:t>Figure 3. Median recorded duration per provider and fixed origin–destination route. ORS is a control without live traffic. This instrument summary cannot establish peak traffic disagreement or travel-time accuracy. Source: results/observations.csv. © openrouteservice by HeiGIT | Data from OpenStreetMap.</w:t>
      </w:r>
    </w:p>
    <w:p>
      <w:pPr>
        <w:keepNext/>
        <w:widowControl/>
      </w:pPr>
      <w:r>
        <w:rPr>
          <w:rFonts w:ascii="Arial" w:hAnsi="Arial"/>
          <w:color w:val="000000"/>
        </w:rPr>
        <w:t>Figure 4 checks the relationship between returned distance and estimated duration.</w:t>
      </w:r>
    </w:p>
    <w:p>
      <w:pPr>
        <w:keepNext/>
        <w:jc w:val="center"/>
      </w:pPr>
      <w:r>
        <w:drawing>
          <wp:inline xmlns:a="http://schemas.openxmlformats.org/drawingml/2006/main" xmlns:pic="http://schemas.openxmlformats.org/drawingml/2006/picture">
            <wp:extent cx="5976000" cy="3318070"/>
            <wp:docPr id="4" name="Picture 4" descr="Recorded estimated durations plotted against returned route distances. Values are API outputs, not measured journeys. Repeated values may overlap; no jitter or artificial observations are added." title="Figure 4"/>
            <wp:cNvGraphicFramePr>
              <a:graphicFrameLocks noChangeAspect="1"/>
            </wp:cNvGraphicFramePr>
            <a:graphic>
              <a:graphicData uri="http://schemas.openxmlformats.org/drawingml/2006/picture">
                <pic:pic>
                  <pic:nvPicPr>
                    <pic:cNvPr id="0" name="analysis_distance_duration.png"/>
                    <pic:cNvPicPr/>
                  </pic:nvPicPr>
                  <pic:blipFill>
                    <a:blip r:embed="rId18"/>
                    <a:stretch>
                      <a:fillRect/>
                    </a:stretch>
                  </pic:blipFill>
                  <pic:spPr>
                    <a:xfrm>
                      <a:off x="0" y="0"/>
                      <a:ext cx="5976000" cy="3318070"/>
                    </a:xfrm>
                    <a:prstGeom prst="rect"/>
                  </pic:spPr>
                </pic:pic>
              </a:graphicData>
            </a:graphic>
          </wp:inline>
        </w:drawing>
      </w:r>
    </w:p>
    <w:p>
      <w:pPr>
        <w:pStyle w:val="Caption"/>
        <w:widowControl/>
      </w:pPr>
      <w:r>
        <w:rPr>
          <w:rFonts w:ascii="Arial" w:hAnsi="Arial"/>
          <w:color w:val="000000"/>
        </w:rPr>
        <w:t>Figure 4. Recorded estimated durations plotted against returned route distances. Values are API outputs, not measured journeys. Repeated values may overlap; no jitter or artificial observations are added. Source: results/observations.csv. © openrouteservice by HeiGIT | Data from OpenStreetMap.</w:t>
      </w:r>
    </w:p>
    <w:p>
      <w:pPr>
        <w:keepNext/>
        <w:widowControl/>
      </w:pPr>
      <w:r>
        <w:rPr>
          <w:rFonts w:ascii="Arial" w:hAnsi="Arial"/>
          <w:color w:val="000000"/>
        </w:rPr>
        <w:t>Figure 5 shows the request-time evidence used for the instrument latency expectation.</w:t>
      </w:r>
    </w:p>
    <w:p>
      <w:pPr>
        <w:keepNext/>
        <w:jc w:val="center"/>
      </w:pPr>
      <w:r>
        <w:drawing>
          <wp:inline xmlns:a="http://schemas.openxmlformats.org/drawingml/2006/main" xmlns:pic="http://schemas.openxmlformats.org/drawingml/2006/picture">
            <wp:extent cx="5976000" cy="3322900"/>
            <wp:docPr id="5" name="Picture 5" descr="Recorded API request latencies by request start time. Latency is instrument performance and is distinct from estimated journey duration. Failed requests remain eligible if their timing was recorded." title="Figure 5"/>
            <wp:cNvGraphicFramePr>
              <a:graphicFrameLocks noChangeAspect="1"/>
            </wp:cNvGraphicFramePr>
            <a:graphic>
              <a:graphicData uri="http://schemas.openxmlformats.org/drawingml/2006/picture">
                <pic:pic>
                  <pic:nvPicPr>
                    <pic:cNvPr id="0" name="analysis_request_latency.png"/>
                    <pic:cNvPicPr/>
                  </pic:nvPicPr>
                  <pic:blipFill>
                    <a:blip r:embed="rId19"/>
                    <a:stretch>
                      <a:fillRect/>
                    </a:stretch>
                  </pic:blipFill>
                  <pic:spPr>
                    <a:xfrm>
                      <a:off x="0" y="0"/>
                      <a:ext cx="5976000" cy="3322900"/>
                    </a:xfrm>
                    <a:prstGeom prst="rect"/>
                  </pic:spPr>
                </pic:pic>
              </a:graphicData>
            </a:graphic>
          </wp:inline>
        </w:drawing>
      </w:r>
    </w:p>
    <w:p>
      <w:pPr>
        <w:pStyle w:val="Caption"/>
        <w:widowControl/>
      </w:pPr>
      <w:r>
        <w:rPr>
          <w:rFonts w:ascii="Arial" w:hAnsi="Arial"/>
          <w:color w:val="000000"/>
        </w:rPr>
        <w:t>Figure 5. Recorded API request latencies by request start time. Latency is instrument performance and is distinct from estimated journey duration. Failed requests remain eligible if their timing was recorded. Source: results/observations.csv. © openrouteservice by HeiGIT | Data from OpenStreetMap.</w:t>
      </w:r>
    </w:p>
    <w:p>
      <w:pPr>
        <w:keepNext/>
        <w:widowControl/>
      </w:pPr>
      <w:r>
        <w:rPr>
          <w:rFonts w:ascii="Arial" w:hAnsi="Arial"/>
          <w:color w:val="000000"/>
        </w:rPr>
        <w:t>Figure 6 preserves a readable extract of the actual observation file.</w:t>
      </w:r>
    </w:p>
    <w:p>
      <w:pPr>
        <w:keepNext/>
        <w:jc w:val="center"/>
      </w:pPr>
      <w:r>
        <w:drawing>
          <wp:inline xmlns:a="http://schemas.openxmlformats.org/drawingml/2006/main" xmlns:pic="http://schemas.openxmlformats.org/drawingml/2006/picture">
            <wp:extent cx="5976000" cy="3636132"/>
            <wp:docPr id="6" name="Picture 6" descr="Verbatim selected raw fields from the first recorded CSV rows, retained in observations.csv with source filename and line number. The rendered table is an evidence view, not a screenshot of a separate application." title="Figure 6"/>
            <wp:cNvGraphicFramePr>
              <a:graphicFrameLocks noChangeAspect="1"/>
            </wp:cNvGraphicFramePr>
            <a:graphic>
              <a:graphicData uri="http://schemas.openxmlformats.org/drawingml/2006/picture">
                <pic:pic>
                  <pic:nvPicPr>
                    <pic:cNvPr id="0" name="analysis_recorded_extract.png"/>
                    <pic:cNvPicPr/>
                  </pic:nvPicPr>
                  <pic:blipFill>
                    <a:blip r:embed="rId20"/>
                    <a:stretch>
                      <a:fillRect/>
                    </a:stretch>
                  </pic:blipFill>
                  <pic:spPr>
                    <a:xfrm>
                      <a:off x="0" y="0"/>
                      <a:ext cx="5976000" cy="3636132"/>
                    </a:xfrm>
                    <a:prstGeom prst="rect"/>
                  </pic:spPr>
                </pic:pic>
              </a:graphicData>
            </a:graphic>
          </wp:inline>
        </w:drawing>
      </w:r>
    </w:p>
    <w:p>
      <w:pPr>
        <w:pStyle w:val="Caption"/>
        <w:widowControl/>
      </w:pPr>
      <w:r>
        <w:rPr>
          <w:rFonts w:ascii="Arial" w:hAnsi="Arial"/>
          <w:color w:val="000000"/>
        </w:rPr>
        <w:t>Figure 6. Verbatim selected raw fields from the first recorded CSV rows, retained in observations.csv with source filename and line number. The rendered table is an evidence view, not a screenshot of a separate application. Source: results/observations.csv. © openrouteservice by HeiGIT | Data from OpenStreetMap.</w:t>
      </w:r>
    </w:p>
    <w:p>
      <w:pPr>
        <w:keepNext/>
        <w:widowControl/>
      </w:pPr>
      <w:r>
        <w:rPr>
          <w:rFonts w:ascii="Arial" w:hAnsi="Arial"/>
          <w:color w:val="000000"/>
        </w:rPr>
        <w:t>Figure 7 maps saved ORS paths for the fixed endpoints; these are modeled routes rather than tracked journeys.</w:t>
      </w:r>
    </w:p>
    <w:p>
      <w:pPr>
        <w:keepNext/>
        <w:jc w:val="center"/>
      </w:pPr>
      <w:r>
        <w:drawing>
          <wp:inline xmlns:a="http://schemas.openxmlformats.org/drawingml/2006/main" xmlns:pic="http://schemas.openxmlformats.org/drawingml/2006/picture">
            <wp:extent cx="5976000" cy="4144645"/>
            <wp:docPr id="7" name="Picture 7" descr="ORS control route geometries for the complete pilot-1 cycle: 20 directed routes displayed as ten forward and ten reverse OD directions on identical scales. Lines are actual saved openrouteservice LineString responses, not live-traffic routes or observed GPS trajectories. Endpoint labels follow data/routes.csv; recommended routes are not constrained to specified arteries. Routing geometry attribution: openrouteservice.org by HeiGIT, CC BY-SA 4.0; map data and endpoints: OpenStreetMap contributors, ODbL 1.0." title="Figure 7"/>
            <wp:cNvGraphicFramePr>
              <a:graphicFrameLocks noChangeAspect="1"/>
            </wp:cNvGraphicFramePr>
            <a:graphic>
              <a:graphicData uri="http://schemas.openxmlformats.org/drawingml/2006/picture">
                <pic:pic>
                  <pic:nvPicPr>
                    <pic:cNvPr id="0" name="route_map.png"/>
                    <pic:cNvPicPr/>
                  </pic:nvPicPr>
                  <pic:blipFill>
                    <a:blip r:embed="rId21"/>
                    <a:stretch>
                      <a:fillRect/>
                    </a:stretch>
                  </pic:blipFill>
                  <pic:spPr>
                    <a:xfrm>
                      <a:off x="0" y="0"/>
                      <a:ext cx="5976000" cy="4144645"/>
                    </a:xfrm>
                    <a:prstGeom prst="rect"/>
                  </pic:spPr>
                </pic:pic>
              </a:graphicData>
            </a:graphic>
          </wp:inline>
        </w:drawing>
      </w:r>
    </w:p>
    <w:p>
      <w:pPr>
        <w:pStyle w:val="Caption"/>
        <w:widowControl/>
      </w:pPr>
      <w:r>
        <w:rPr>
          <w:rFonts w:ascii="Arial" w:hAnsi="Arial"/>
          <w:color w:val="000000"/>
        </w:rPr>
        <w:t>Figure 7. ORS control route geometries for the complete pilot-1 cycle: 20 directed routes displayed as ten forward and ten reverse OD directions on identical scales. Lines are actual saved openrouteservice LineString responses, not live-traffic routes or observed GPS trajectories. Endpoint labels follow data/routes.csv; recommended routes are not constrained to specified arteries. Routing geometry attribution: openrouteservice.org by HeiGIT, CC BY-SA 4.0; map data and endpoints: OpenStreetMap contributors, ODbL 1.0. Source: figures/route_map_manifest.json. © openrouteservice by HeiGIT | Data from OpenStreetMap.</w:t>
      </w:r>
    </w:p>
    <w:p>
      <w:pPr>
        <w:keepNext/>
        <w:widowControl/>
      </w:pPr>
      <w:r>
        <w:rPr>
          <w:rFonts w:ascii="Arial" w:hAnsi="Arial"/>
          <w:color w:val="000000"/>
        </w:rPr>
        <w:t>Figure 8 documents the team-operated instrument and its recorded execution.</w:t>
      </w:r>
    </w:p>
    <w:p>
      <w:pPr>
        <w:keepNext/>
        <w:jc w:val="center"/>
      </w:pPr>
      <w:r>
        <w:drawing>
          <wp:inline xmlns:a="http://schemas.openxmlformats.org/drawingml/2006/main" xmlns:pic="http://schemas.openxmlformats.org/drawingml/2006/picture">
            <wp:extent cx="5976000" cy="2928580"/>
            <wp:docPr id="8" name="Picture 8" descr="Actual PowerShell view of the saved collector console log, showing the completed first ORS pilot cycle and the start of the second. Captured with .NET CopyFromScreen; this is a viewport excerpt, not a fabricated console." title="Figure 8"/>
            <wp:cNvGraphicFramePr>
              <a:graphicFrameLocks noChangeAspect="1"/>
            </wp:cNvGraphicFramePr>
            <a:graphic>
              <a:graphicData uri="http://schemas.openxmlformats.org/drawingml/2006/picture">
                <pic:pic>
                  <pic:nvPicPr>
                    <pic:cNvPr id="0" name="pilot_console.png"/>
                    <pic:cNvPicPr/>
                  </pic:nvPicPr>
                  <pic:blipFill>
                    <a:blip r:embed="rId22"/>
                    <a:stretch>
                      <a:fillRect/>
                    </a:stretch>
                  </pic:blipFill>
                  <pic:spPr>
                    <a:xfrm>
                      <a:off x="0" y="0"/>
                      <a:ext cx="5976000" cy="2928580"/>
                    </a:xfrm>
                    <a:prstGeom prst="rect"/>
                  </pic:spPr>
                </pic:pic>
              </a:graphicData>
            </a:graphic>
          </wp:inline>
        </w:drawing>
      </w:r>
    </w:p>
    <w:p>
      <w:pPr>
        <w:pStyle w:val="Caption"/>
        <w:widowControl/>
      </w:pPr>
      <w:r>
        <w:rPr>
          <w:rFonts w:ascii="Arial" w:hAnsi="Arial"/>
          <w:color w:val="000000"/>
        </w:rPr>
        <w:t>Figure 8. Actual PowerShell view of the saved collector console log, showing the completed first ORS pilot cycle and the start of the second. Captured with .NET CopyFromScreen; this is a viewport excerpt, not a fabricated console. Source: docs/pilot_console.log. Team-produced execution evidence.</w:t>
      </w:r>
    </w:p>
    <w:p>
      <w:pPr>
        <w:keepNext/>
        <w:widowControl/>
      </w:pPr>
      <w:r>
        <w:rPr>
          <w:rFonts w:ascii="Arial" w:hAnsi="Arial"/>
          <w:color w:val="000000"/>
        </w:rPr>
        <w:t>Figure 9 documents the team-operated instrument and its recorded execution.</w:t>
      </w:r>
    </w:p>
    <w:p>
      <w:pPr>
        <w:keepNext/>
        <w:jc w:val="center"/>
      </w:pPr>
      <w:r>
        <w:drawing>
          <wp:inline xmlns:a="http://schemas.openxmlformats.org/drawingml/2006/main" xmlns:pic="http://schemas.openxmlformats.org/drawingml/2006/picture">
            <wp:extent cx="5976000" cy="1606919"/>
            <wp:docPr id="9" name="Picture 9" descr="Actual PowerShell display of the original raw CSV header and first three records. The viewport wraps and clips long lines; the linked CSV contains the complete unchanged records." title="Figure 9"/>
            <wp:cNvGraphicFramePr>
              <a:graphicFrameLocks noChangeAspect="1"/>
            </wp:cNvGraphicFramePr>
            <a:graphic>
              <a:graphicData uri="http://schemas.openxmlformats.org/drawingml/2006/picture">
                <pic:pic>
                  <pic:nvPicPr>
                    <pic:cNvPr id="0" name="raw_csv_screen.png"/>
                    <pic:cNvPicPr/>
                  </pic:nvPicPr>
                  <pic:blipFill>
                    <a:blip r:embed="rId23"/>
                    <a:stretch>
                      <a:fillRect/>
                    </a:stretch>
                  </pic:blipFill>
                  <pic:spPr>
                    <a:xfrm>
                      <a:off x="0" y="0"/>
                      <a:ext cx="5976000" cy="1606919"/>
                    </a:xfrm>
                    <a:prstGeom prst="rect"/>
                  </pic:spPr>
                </pic:pic>
              </a:graphicData>
            </a:graphic>
          </wp:inline>
        </w:drawing>
      </w:r>
    </w:p>
    <w:p>
      <w:pPr>
        <w:pStyle w:val="Caption"/>
        <w:widowControl/>
      </w:pPr>
      <w:r>
        <w:rPr>
          <w:rFonts w:ascii="Arial" w:hAnsi="Arial"/>
          <w:color w:val="000000"/>
        </w:rPr>
        <w:t>Figure 9. Actual PowerShell display of the original raw CSV header and first three records. The viewport wraps and clips long lines; the linked CSV contains the complete unchanged records. Source: data/raw/2026-10-24.csv. Team-produced execution evidence.</w:t>
      </w:r>
    </w:p>
    <w:p>
      <w:pPr>
        <w:keepNext/>
        <w:widowControl/>
      </w:pPr>
      <w:r>
        <w:rPr>
          <w:rFonts w:ascii="Arial" w:hAnsi="Arial"/>
          <w:color w:val="000000"/>
        </w:rPr>
        <w:t>Figure 10 documents the team-operated instrument and its recorded execution.</w:t>
      </w:r>
    </w:p>
    <w:p>
      <w:pPr>
        <w:keepNext/>
        <w:jc w:val="center"/>
      </w:pPr>
      <w:r>
        <w:drawing>
          <wp:inline xmlns:a="http://schemas.openxmlformats.org/drawingml/2006/main" xmlns:pic="http://schemas.openxmlformats.org/drawingml/2006/picture">
            <wp:extent cx="5976000" cy="2862848"/>
            <wp:docPr id="10" name="Picture 10" descr="Successful cloud collector run on GitHub-hosted infrastructure. The workflow was manually dispatched for verification; the same workflow has a fifteen-minute schedule and a fixed end time." title="Figure 10"/>
            <wp:cNvGraphicFramePr>
              <a:graphicFrameLocks noChangeAspect="1"/>
            </wp:cNvGraphicFramePr>
            <a:graphic>
              <a:graphicData uri="http://schemas.openxmlformats.org/drawingml/2006/picture">
                <pic:pic>
                  <pic:nvPicPr>
                    <pic:cNvPr id="0" name="github_actions_success.png"/>
                    <pic:cNvPicPr/>
                  </pic:nvPicPr>
                  <pic:blipFill>
                    <a:blip r:embed="rId24"/>
                    <a:stretch>
                      <a:fillRect/>
                    </a:stretch>
                  </pic:blipFill>
                  <pic:spPr>
                    <a:xfrm>
                      <a:off x="0" y="0"/>
                      <a:ext cx="5976000" cy="2862848"/>
                    </a:xfrm>
                    <a:prstGeom prst="rect"/>
                  </pic:spPr>
                </pic:pic>
              </a:graphicData>
            </a:graphic>
          </wp:inline>
        </w:drawing>
      </w:r>
    </w:p>
    <w:p>
      <w:pPr>
        <w:pStyle w:val="Caption"/>
        <w:widowControl/>
      </w:pPr>
      <w:r>
        <w:rPr>
          <w:rFonts w:ascii="Arial" w:hAnsi="Arial"/>
          <w:color w:val="000000"/>
        </w:rPr>
        <w:t>Figure 10. Successful cloud collector run on GitHub-hosted infrastructure. The workflow was manually dispatched for verification; the same workflow has a fifteen-minute schedule and a fixed end time. Source: docs/cloud_run.json, docs/cloud_run.log. Team-produced execution evidence.</w:t>
      </w:r>
    </w:p>
    <w:p>
      <w:pPr>
        <w:widowControl/>
      </w:pPr>
      <w:r>
        <w:rPr>
          <w:rFonts w:ascii="Arial" w:hAnsi="Arial"/>
          <w:color w:val="000000"/>
        </w:rPr>
        <w:t>A separate protocol was recorded at 2026-10-24T11:24:15.506607+00:00, after a successful Google Demo credential check and before the exploratory cycle. It paired the same public endpoints with Google TRAFFIC_AWARE_OPTIMAL and the ORS control. Requests ran concurrently, with a maximum permitted start gap of 60 seconds. The bounded cycle is descriptive; its 20 valid pairs are separate from the 68-record ORS snapshot and do not enter the primary expected-results tests.</w:t>
      </w:r>
    </w:p>
    <w:p>
      <w:pPr>
        <w:widowControl/>
      </w:pPr>
      <w:r>
        <w:rPr>
          <w:rFonts w:ascii="Arial" w:hAnsi="Arial"/>
          <w:color w:val="000000"/>
        </w:rPr>
        <w:t>Local cycle: 24 October 2026 16:24:54 to 16:25:36 (Asia/Almaty); classified period: other.</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3402"/>
        <w:gridCol w:w="6236"/>
      </w:tblGrid>
      <w:tr>
        <w:trPr>
          <w:tblHeader/>
          <w:cantSplit/>
        </w:trPr>
        <w:tc>
          <w:tcPr>
            <w:tcW w:type="dxa" w:w="3402"/>
            <w:vAlign w:val="center"/>
            <w:shd w:fill="EAEAEA"/>
          </w:tcPr>
          <w:p>
            <w:pPr>
              <w:keepNext/>
              <w:spacing w:after="40" w:line="240" w:lineRule="auto"/>
            </w:pPr>
            <w:r>
              <w:rPr>
                <w:rFonts w:ascii="Arial" w:hAnsi="Arial"/>
                <w:b/>
                <w:color w:val="000000"/>
                <w:sz w:val="18"/>
              </w:rPr>
              <w:t>Exploratory aggregate</w:t>
            </w:r>
          </w:p>
        </w:tc>
        <w:tc>
          <w:tcPr>
            <w:tcW w:type="dxa" w:w="6236"/>
            <w:vAlign w:val="center"/>
            <w:shd w:fill="EAEAEA"/>
          </w:tcPr>
          <w:p>
            <w:pPr>
              <w:keepNext/>
              <w:spacing w:after="40" w:line="240" w:lineRule="auto"/>
            </w:pPr>
            <w:r>
              <w:rPr>
                <w:rFonts w:ascii="Arial" w:hAnsi="Arial"/>
                <w:b/>
                <w:color w:val="000000"/>
                <w:sz w:val="18"/>
              </w:rPr>
              <w:t>Recorded result</w:t>
            </w:r>
          </w:p>
        </w:tc>
      </w:tr>
      <w:tr>
        <w:trPr>
          <w:cantSplit/>
        </w:trPr>
        <w:tc>
          <w:tcPr>
            <w:tcW w:type="dxa" w:w="3402"/>
            <w:vAlign w:val="center"/>
          </w:tcPr>
          <w:p>
            <w:pPr>
              <w:keepNext/>
              <w:spacing w:after="40" w:line="240" w:lineRule="auto"/>
            </w:pPr>
            <w:r>
              <w:rPr>
                <w:rFonts w:ascii="Arial" w:hAnsi="Arial"/>
                <w:color w:val="000000"/>
                <w:sz w:val="18"/>
              </w:rPr>
              <w:t>Attempted / valid pairs</w:t>
            </w:r>
          </w:p>
        </w:tc>
        <w:tc>
          <w:tcPr>
            <w:tcW w:type="dxa" w:w="6236"/>
            <w:vAlign w:val="center"/>
          </w:tcPr>
          <w:p>
            <w:pPr>
              <w:keepNext/>
              <w:spacing w:after="40" w:line="240" w:lineRule="auto"/>
            </w:pPr>
            <w:r>
              <w:rPr>
                <w:rFonts w:ascii="Arial" w:hAnsi="Arial"/>
                <w:color w:val="000000"/>
                <w:sz w:val="18"/>
              </w:rPr>
              <w:t>20 / 20; successful Google responses 20, ORS responses 20</w:t>
            </w:r>
          </w:p>
        </w:tc>
      </w:tr>
      <w:tr>
        <w:trPr>
          <w:cantSplit/>
        </w:trPr>
        <w:tc>
          <w:tcPr>
            <w:tcW w:type="dxa" w:w="3402"/>
            <w:vAlign w:val="center"/>
          </w:tcPr>
          <w:p>
            <w:pPr>
              <w:keepNext/>
              <w:spacing w:after="40" w:line="240" w:lineRule="auto"/>
            </w:pPr>
            <w:r>
              <w:rPr>
                <w:rFonts w:ascii="Arial" w:hAnsi="Arial"/>
                <w:color w:val="000000"/>
                <w:sz w:val="18"/>
              </w:rPr>
              <w:t>Cycle interval (UTC)</w:t>
            </w:r>
          </w:p>
        </w:tc>
        <w:tc>
          <w:tcPr>
            <w:tcW w:type="dxa" w:w="6236"/>
            <w:vAlign w:val="center"/>
          </w:tcPr>
          <w:p>
            <w:pPr>
              <w:keepNext/>
              <w:spacing w:after="40" w:line="240" w:lineRule="auto"/>
            </w:pPr>
            <w:r>
              <w:rPr>
                <w:rFonts w:ascii="Arial" w:hAnsi="Arial"/>
                <w:color w:val="000000"/>
                <w:sz w:val="18"/>
              </w:rPr>
              <w:t>2026-10-24T11:24:54.664964+00:00</w:t>
              <w:br/>
              <w:t>to 2026-10-24T11:25:36.748530+00:00</w:t>
            </w:r>
          </w:p>
        </w:tc>
      </w:tr>
      <w:tr>
        <w:trPr>
          <w:cantSplit/>
        </w:trPr>
        <w:tc>
          <w:tcPr>
            <w:tcW w:type="dxa" w:w="3402"/>
            <w:vAlign w:val="center"/>
          </w:tcPr>
          <w:p>
            <w:pPr>
              <w:keepNext/>
              <w:spacing w:after="40" w:line="240" w:lineRule="auto"/>
            </w:pPr>
            <w:r>
              <w:rPr>
                <w:rFonts w:ascii="Arial" w:hAnsi="Arial"/>
                <w:color w:val="000000"/>
                <w:sz w:val="18"/>
              </w:rPr>
              <w:t>Largest request-start gap</w:t>
            </w:r>
          </w:p>
        </w:tc>
        <w:tc>
          <w:tcPr>
            <w:tcW w:type="dxa" w:w="6236"/>
            <w:vAlign w:val="center"/>
          </w:tcPr>
          <w:p>
            <w:pPr>
              <w:keepNext/>
              <w:spacing w:after="40" w:line="240" w:lineRule="auto"/>
            </w:pPr>
            <w:r>
              <w:rPr>
                <w:rFonts w:ascii="Arial" w:hAnsi="Arial"/>
                <w:color w:val="000000"/>
                <w:sz w:val="18"/>
              </w:rPr>
              <w:t>0.032 s</w:t>
            </w:r>
          </w:p>
        </w:tc>
      </w:tr>
      <w:tr>
        <w:trPr>
          <w:cantSplit/>
        </w:trPr>
        <w:tc>
          <w:tcPr>
            <w:tcW w:type="dxa" w:w="3402"/>
            <w:vAlign w:val="center"/>
          </w:tcPr>
          <w:p>
            <w:pPr>
              <w:keepNext/>
              <w:spacing w:after="40" w:line="240" w:lineRule="auto"/>
            </w:pPr>
            <w:r>
              <w:rPr>
                <w:rFonts w:ascii="Arial" w:hAnsi="Arial"/>
                <w:color w:val="000000"/>
                <w:sz w:val="18"/>
              </w:rPr>
              <w:t>Median signed / absolute difference</w:t>
            </w:r>
          </w:p>
        </w:tc>
        <w:tc>
          <w:tcPr>
            <w:tcW w:type="dxa" w:w="6236"/>
            <w:vAlign w:val="center"/>
          </w:tcPr>
          <w:p>
            <w:pPr>
              <w:keepNext/>
              <w:spacing w:after="40" w:line="240" w:lineRule="auto"/>
            </w:pPr>
            <w:r>
              <w:rPr>
                <w:rFonts w:ascii="Arial" w:hAnsi="Arial"/>
                <w:color w:val="000000"/>
                <w:sz w:val="18"/>
              </w:rPr>
              <w:t>730.5 / 730.5 s; signed = Google minus ORS</w:t>
            </w:r>
          </w:p>
        </w:tc>
      </w:tr>
      <w:tr>
        <w:trPr>
          <w:cantSplit/>
        </w:trPr>
        <w:tc>
          <w:tcPr>
            <w:tcW w:type="dxa" w:w="3402"/>
            <w:vAlign w:val="center"/>
          </w:tcPr>
          <w:p>
            <w:pPr>
              <w:keepNext/>
              <w:spacing w:after="40" w:line="240" w:lineRule="auto"/>
            </w:pPr>
            <w:r>
              <w:rPr>
                <w:rFonts w:ascii="Arial" w:hAnsi="Arial"/>
                <w:color w:val="000000"/>
                <w:sz w:val="18"/>
              </w:rPr>
              <w:t>MAE / RMSE as disagreement</w:t>
            </w:r>
          </w:p>
        </w:tc>
        <w:tc>
          <w:tcPr>
            <w:tcW w:type="dxa" w:w="6236"/>
            <w:vAlign w:val="center"/>
          </w:tcPr>
          <w:p>
            <w:pPr>
              <w:keepNext/>
              <w:spacing w:after="40" w:line="240" w:lineRule="auto"/>
            </w:pPr>
            <w:r>
              <w:rPr>
                <w:rFonts w:ascii="Arial" w:hAnsi="Arial"/>
                <w:color w:val="000000"/>
                <w:sz w:val="18"/>
              </w:rPr>
              <w:t>741.72 / 783.63 s</w:t>
            </w:r>
          </w:p>
        </w:tc>
      </w:tr>
      <w:tr>
        <w:trPr>
          <w:cantSplit/>
        </w:trPr>
        <w:tc>
          <w:tcPr>
            <w:tcW w:type="dxa" w:w="3402"/>
            <w:vAlign w:val="center"/>
          </w:tcPr>
          <w:p>
            <w:pPr>
              <w:keepNext/>
              <w:spacing w:after="40" w:line="240" w:lineRule="auto"/>
            </w:pPr>
            <w:r>
              <w:rPr>
                <w:rFonts w:ascii="Arial" w:hAnsi="Arial"/>
                <w:color w:val="000000"/>
                <w:sz w:val="18"/>
              </w:rPr>
              <w:t>Mean symmetric absolute difference</w:t>
            </w:r>
          </w:p>
        </w:tc>
        <w:tc>
          <w:tcPr>
            <w:tcW w:type="dxa" w:w="6236"/>
            <w:vAlign w:val="center"/>
          </w:tcPr>
          <w:p>
            <w:pPr>
              <w:keepNext/>
              <w:spacing w:after="40" w:line="240" w:lineRule="auto"/>
            </w:pPr>
            <w:r>
              <w:rPr>
                <w:rFonts w:ascii="Arial" w:hAnsi="Arial"/>
                <w:color w:val="000000"/>
                <w:sz w:val="18"/>
              </w:rPr>
              <w:t>57.58%</w:t>
            </w:r>
          </w:p>
        </w:tc>
      </w:tr>
      <w:tr>
        <w:trPr>
          <w:cantSplit/>
        </w:trPr>
        <w:tc>
          <w:tcPr>
            <w:tcW w:type="dxa" w:w="3402"/>
            <w:vAlign w:val="center"/>
          </w:tcPr>
          <w:p>
            <w:pPr>
              <w:keepNext/>
              <w:spacing w:after="40" w:line="240" w:lineRule="auto"/>
            </w:pPr>
            <w:r>
              <w:rPr>
                <w:rFonts w:ascii="Arial" w:hAnsi="Arial"/>
                <w:color w:val="000000"/>
                <w:sz w:val="18"/>
              </w:rPr>
              <w:t>IQR of signed differences</w:t>
            </w:r>
          </w:p>
        </w:tc>
        <w:tc>
          <w:tcPr>
            <w:tcW w:type="dxa" w:w="6236"/>
            <w:vAlign w:val="center"/>
          </w:tcPr>
          <w:p>
            <w:pPr>
              <w:keepNext/>
              <w:spacing w:after="40" w:line="240" w:lineRule="auto"/>
            </w:pPr>
            <w:r>
              <w:rPr>
                <w:rFonts w:ascii="Arial" w:hAnsi="Arial"/>
                <w:color w:val="000000"/>
                <w:sz w:val="18"/>
              </w:rPr>
              <w:t>270.2 s</w:t>
            </w:r>
          </w:p>
        </w:tc>
      </w:tr>
      <w:tr>
        <w:trPr>
          <w:cantSplit/>
        </w:trPr>
        <w:tc>
          <w:tcPr>
            <w:tcW w:type="dxa" w:w="3402"/>
            <w:vAlign w:val="center"/>
          </w:tcPr>
          <w:p>
            <w:pPr>
              <w:keepNext w:val="0"/>
              <w:spacing w:after="40" w:line="240" w:lineRule="auto"/>
            </w:pPr>
            <w:r>
              <w:rPr>
                <w:rFonts w:ascii="Arial" w:hAnsi="Arial"/>
                <w:color w:val="000000"/>
                <w:sz w:val="18"/>
              </w:rPr>
              <w:t>Lengths within 5% of pair mean</w:t>
            </w:r>
          </w:p>
        </w:tc>
        <w:tc>
          <w:tcPr>
            <w:tcW w:type="dxa" w:w="6236"/>
            <w:vAlign w:val="center"/>
          </w:tcPr>
          <w:p>
            <w:pPr>
              <w:keepNext w:val="0"/>
              <w:spacing w:after="40" w:line="240" w:lineRule="auto"/>
            </w:pPr>
            <w:r>
              <w:rPr>
                <w:rFonts w:ascii="Arial" w:hAnsi="Arial"/>
                <w:color w:val="000000"/>
                <w:sz w:val="18"/>
              </w:rPr>
              <w:t>15 pairs (75%); not proof of identical paths</w:t>
            </w:r>
          </w:p>
        </w:tc>
      </w:tr>
    </w:tbl>
    <w:p>
      <w:pPr>
        <w:spacing w:after="20"/>
      </w:pPr>
    </w:p>
    <w:p>
      <w:pPr>
        <w:widowControl/>
      </w:pPr>
      <w:r>
        <w:rPr>
          <w:rFonts w:ascii="Arial" w:hAnsi="Arial"/>
          <w:color w:val="000000"/>
        </w:rPr>
        <w:t xml:space="preserve">Protocol: </w:t>
      </w:r>
      <w:hyperlink r:id="rId25">
        <w:r>
          <w:rPr>
            <w:color w:val="174B76"/>
            <w:sz w:val="18"/>
          </w:rPr>
          <w:t>https://github.com/SuperFlyTK/rmt-a3-travel-time-astana/blob/main/docs/google_control_protocol.json</w:t>
        </w:r>
      </w:hyperlink>
      <w:r>
        <w:rPr>
          <w:rFonts w:ascii="Arial" w:hAnsi="Arial"/>
          <w:color w:val="000000"/>
        </w:rPr>
        <w:br/>
        <w:t xml:space="preserve">Aggregate evidence: </w:t>
      </w:r>
      <w:hyperlink r:id="rId26">
        <w:r>
          <w:rPr>
            <w:color w:val="174B76"/>
            <w:sz w:val="18"/>
          </w:rPr>
          <w:t>https://github.com/SuperFlyTK/rmt-a3-travel-time-astana/blob/main/results/google_control_benchmark.csv</w:t>
        </w:r>
      </w:hyperlink>
    </w:p>
    <w:p>
      <w:pPr>
        <w:keepNext/>
        <w:widowControl/>
      </w:pPr>
      <w:r>
        <w:rPr>
          <w:rFonts w:ascii="Arial" w:hAnsi="Arial"/>
          <w:color w:val="000000"/>
        </w:rPr>
        <w:t>Figure 11 summarizes the separate Google–ORS instrument comparison using aggregate metrics only.</w:t>
      </w:r>
    </w:p>
    <w:p>
      <w:pPr>
        <w:keepNext/>
        <w:jc w:val="center"/>
      </w:pPr>
      <w:r>
        <w:drawing>
          <wp:inline xmlns:a="http://schemas.openxmlformats.org/drawingml/2006/main" xmlns:pic="http://schemas.openxmlformats.org/drawingml/2006/picture">
            <wp:extent cx="5976000" cy="3374949"/>
            <wp:docPr id="11" name="Picture 11" descr="Original aggregate disagreement metrics for one separate exploratory cycle. Google used TRAFFIC_AWARE_OPTIMAL; ORS has no live traffic. These are not accuracy measures or the primary peak-period comparison." title="Figure 11"/>
            <wp:cNvGraphicFramePr>
              <a:graphicFrameLocks noChangeAspect="1"/>
            </wp:cNvGraphicFramePr>
            <a:graphic>
              <a:graphicData uri="http://schemas.openxmlformats.org/drawingml/2006/picture">
                <pic:pic>
                  <pic:nvPicPr>
                    <pic:cNvPr id="0" name="google_control_benchmark.png"/>
                    <pic:cNvPicPr/>
                  </pic:nvPicPr>
                  <pic:blipFill>
                    <a:blip r:embed="rId27"/>
                    <a:stretch>
                      <a:fillRect/>
                    </a:stretch>
                  </pic:blipFill>
                  <pic:spPr>
                    <a:xfrm>
                      <a:off x="0" y="0"/>
                      <a:ext cx="5976000" cy="3374949"/>
                    </a:xfrm>
                    <a:prstGeom prst="rect"/>
                  </pic:spPr>
                </pic:pic>
              </a:graphicData>
            </a:graphic>
          </wp:inline>
        </w:drawing>
      </w:r>
    </w:p>
    <w:p>
      <w:pPr>
        <w:pStyle w:val="Caption"/>
        <w:widowControl/>
      </w:pPr>
      <w:r>
        <w:rPr>
          <w:rFonts w:ascii="Arial" w:hAnsi="Arial"/>
          <w:color w:val="000000"/>
        </w:rPr>
        <w:t>Figure 11. Original aggregate disagreement metrics for one separate exploratory cycle. Google used TRAFFIC_AWARE_OPTIMAL; ORS has no live traffic. These are not accuracy measures or the primary peak-period comparison. Source: results/google_control_benchmark.csv. Team-computed comparative-test results; ORS control: © openrouteservice by HeiGIT | Data from OpenStreetMap.</w:t>
      </w:r>
    </w:p>
    <w:p>
      <w:pPr>
        <w:pStyle w:val="Heading2"/>
      </w:pPr>
      <w:r>
        <w:t>T8 Ethics, privacy and data handling</w:t>
      </w:r>
    </w:p>
    <w:p>
      <w:pPr>
        <w:widowControl/>
      </w:pPr>
      <w:r>
        <w:rPr>
          <w:rFonts w:ascii="Arial" w:hAnsi="Arial"/>
          <w:color w:val="000000"/>
        </w:rPr>
        <w:t>No human participant supplies a personal journey or identity, so participant consent is not applicable to this public-coordinate instrument. API access still has contractual conditions. Technical success was insufficient to authorize a public comparison: TomTom requires written approval for benchmarking, while the applicable 2GIS Kazakhstan demo redistribution terms remain unresolved. ORS results are shared under current CC BY-SA terms with attribution. Secrets remain outside version control. The team retains failed requests and exclusion reasons to make limitations visible, while avoiding account identifiers and credential-bearing URLs in public evidence.</w:t>
      </w:r>
    </w:p>
    <w:p>
      <w:pPr>
        <w:widowControl/>
      </w:pPr>
      <w:r>
        <w:rPr>
          <w:rFonts w:ascii="Arial" w:hAnsi="Arial"/>
          <w:color w:val="000000"/>
        </w:rPr>
        <w:t>Google terms address publication of comparative-test results in section 3.2.4 and separately restrict storage of Maps content in section 3.2.3. The exploratory protocol therefore processes Google values transiently and publishes original aggregate metrics, status records and request methods. Individual Google estimates and geometry are not retained. Those aggregates cannot be recalculated from saved Google responses; repeating the protocol samples new live outputs.</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494"/>
        <w:gridCol w:w="7143"/>
      </w:tblGrid>
      <w:tr>
        <w:trPr>
          <w:tblHeader/>
          <w:cantSplit/>
        </w:trPr>
        <w:tc>
          <w:tcPr>
            <w:tcW w:type="dxa" w:w="2494"/>
            <w:vAlign w:val="center"/>
            <w:shd w:fill="EAEAEA"/>
          </w:tcPr>
          <w:p>
            <w:pPr>
              <w:keepNext/>
              <w:spacing w:after="40" w:line="240" w:lineRule="auto"/>
            </w:pPr>
            <w:r>
              <w:rPr>
                <w:rFonts w:ascii="Arial" w:hAnsi="Arial"/>
                <w:b/>
                <w:color w:val="000000"/>
                <w:sz w:val="18"/>
              </w:rPr>
              <w:t>Item</w:t>
            </w:r>
          </w:p>
        </w:tc>
        <w:tc>
          <w:tcPr>
            <w:tcW w:type="dxa" w:w="7143"/>
            <w:vAlign w:val="center"/>
            <w:shd w:fill="EAEAEA"/>
          </w:tcPr>
          <w:p>
            <w:pPr>
              <w:keepNext/>
              <w:spacing w:after="40" w:line="240" w:lineRule="auto"/>
            </w:pPr>
            <w:r>
              <w:rPr>
                <w:rFonts w:ascii="Arial" w:hAnsi="Arial"/>
                <w:b/>
                <w:color w:val="000000"/>
                <w:sz w:val="18"/>
              </w:rPr>
              <w:t>Entry</w:t>
            </w:r>
          </w:p>
        </w:tc>
      </w:tr>
      <w:tr>
        <w:trPr>
          <w:cantSplit/>
        </w:trPr>
        <w:tc>
          <w:tcPr>
            <w:tcW w:type="dxa" w:w="2494"/>
            <w:vAlign w:val="center"/>
          </w:tcPr>
          <w:p>
            <w:pPr>
              <w:keepNext/>
              <w:spacing w:after="40" w:line="240" w:lineRule="auto"/>
            </w:pPr>
            <w:r>
              <w:rPr>
                <w:rFonts w:ascii="Arial" w:hAnsi="Arial"/>
                <w:color w:val="000000"/>
                <w:sz w:val="18"/>
              </w:rPr>
              <w:t>Consent</w:t>
            </w:r>
          </w:p>
        </w:tc>
        <w:tc>
          <w:tcPr>
            <w:tcW w:type="dxa" w:w="7143"/>
            <w:vAlign w:val="center"/>
          </w:tcPr>
          <w:p>
            <w:pPr>
              <w:keepNext/>
              <w:spacing w:after="40" w:line="240" w:lineRule="auto"/>
            </w:pPr>
            <w:r>
              <w:rPr>
                <w:rFonts w:ascii="Arial" w:hAnsi="Arial"/>
                <w:color w:val="000000"/>
                <w:sz w:val="18"/>
              </w:rPr>
              <w:t>Not applicable: no recruited people or personal journeys</w:t>
            </w:r>
          </w:p>
        </w:tc>
      </w:tr>
      <w:tr>
        <w:trPr>
          <w:cantSplit/>
        </w:trPr>
        <w:tc>
          <w:tcPr>
            <w:tcW w:type="dxa" w:w="2494"/>
            <w:vAlign w:val="center"/>
          </w:tcPr>
          <w:p>
            <w:pPr>
              <w:keepNext/>
              <w:spacing w:after="40" w:line="240" w:lineRule="auto"/>
            </w:pPr>
            <w:r>
              <w:rPr>
                <w:rFonts w:ascii="Arial" w:hAnsi="Arial"/>
                <w:color w:val="000000"/>
                <w:sz w:val="18"/>
              </w:rPr>
              <w:t>Anonymization</w:t>
            </w:r>
          </w:p>
        </w:tc>
        <w:tc>
          <w:tcPr>
            <w:tcW w:type="dxa" w:w="7143"/>
            <w:vAlign w:val="center"/>
          </w:tcPr>
          <w:p>
            <w:pPr>
              <w:keepNext/>
              <w:spacing w:after="40" w:line="240" w:lineRule="auto"/>
            </w:pPr>
            <w:r>
              <w:rPr>
                <w:rFonts w:ascii="Arial" w:hAnsi="Arial"/>
                <w:color w:val="000000"/>
                <w:sz w:val="18"/>
              </w:rPr>
              <w:t>Public route identifiers only; no individual tracks</w:t>
            </w:r>
          </w:p>
        </w:tc>
      </w:tr>
      <w:tr>
        <w:trPr>
          <w:cantSplit/>
        </w:trPr>
        <w:tc>
          <w:tcPr>
            <w:tcW w:type="dxa" w:w="2494"/>
            <w:vAlign w:val="center"/>
          </w:tcPr>
          <w:p>
            <w:pPr>
              <w:keepNext/>
              <w:spacing w:after="40" w:line="240" w:lineRule="auto"/>
            </w:pPr>
            <w:r>
              <w:rPr>
                <w:rFonts w:ascii="Arial" w:hAnsi="Arial"/>
                <w:color w:val="000000"/>
                <w:sz w:val="18"/>
              </w:rPr>
              <w:t>Not collected</w:t>
            </w:r>
          </w:p>
        </w:tc>
        <w:tc>
          <w:tcPr>
            <w:tcW w:type="dxa" w:w="7143"/>
            <w:vAlign w:val="center"/>
          </w:tcPr>
          <w:p>
            <w:pPr>
              <w:keepNext/>
              <w:spacing w:after="40" w:line="240" w:lineRule="auto"/>
            </w:pPr>
            <w:r>
              <w:rPr>
                <w:rFonts w:ascii="Arial" w:hAnsi="Arial"/>
                <w:color w:val="000000"/>
                <w:sz w:val="18"/>
              </w:rPr>
              <w:t>Names of drivers, home addresses, device identifiers or actual travel histories</w:t>
            </w:r>
          </w:p>
        </w:tc>
      </w:tr>
      <w:tr>
        <w:trPr>
          <w:cantSplit/>
        </w:trPr>
        <w:tc>
          <w:tcPr>
            <w:tcW w:type="dxa" w:w="2494"/>
            <w:vAlign w:val="center"/>
          </w:tcPr>
          <w:p>
            <w:pPr>
              <w:keepNext/>
              <w:spacing w:after="40" w:line="240" w:lineRule="auto"/>
            </w:pPr>
            <w:r>
              <w:rPr>
                <w:rFonts w:ascii="Arial" w:hAnsi="Arial"/>
                <w:color w:val="000000"/>
                <w:sz w:val="18"/>
              </w:rPr>
              <w:t>Storage, access and retention</w:t>
            </w:r>
          </w:p>
        </w:tc>
        <w:tc>
          <w:tcPr>
            <w:tcW w:type="dxa" w:w="7143"/>
            <w:vAlign w:val="center"/>
          </w:tcPr>
          <w:p>
            <w:pPr>
              <w:keepNext/>
              <w:spacing w:after="40" w:line="240" w:lineRule="auto"/>
            </w:pPr>
            <w:r>
              <w:rPr>
                <w:rFonts w:ascii="Arial" w:hAnsi="Arial"/>
                <w:color w:val="000000"/>
                <w:sz w:val="18"/>
              </w:rPr>
              <w:t>Private local secrets; public licensed research files and code. Public links must remain available through exam weeks.</w:t>
            </w:r>
          </w:p>
        </w:tc>
      </w:tr>
      <w:tr>
        <w:trPr>
          <w:cantSplit/>
        </w:trPr>
        <w:tc>
          <w:tcPr>
            <w:tcW w:type="dxa" w:w="2494"/>
            <w:vAlign w:val="center"/>
          </w:tcPr>
          <w:p>
            <w:pPr>
              <w:keepNext w:val="0"/>
              <w:spacing w:after="40" w:line="240" w:lineRule="auto"/>
            </w:pPr>
            <w:r>
              <w:rPr>
                <w:rFonts w:ascii="Arial" w:hAnsi="Arial"/>
                <w:color w:val="000000"/>
                <w:sz w:val="18"/>
              </w:rPr>
              <w:t>Accepted risk</w:t>
            </w:r>
          </w:p>
        </w:tc>
        <w:tc>
          <w:tcPr>
            <w:tcW w:type="dxa" w:w="7143"/>
            <w:vAlign w:val="center"/>
          </w:tcPr>
          <w:p>
            <w:pPr>
              <w:keepNext w:val="0"/>
              <w:spacing w:after="40" w:line="240" w:lineRule="auto"/>
            </w:pPr>
            <w:r>
              <w:rPr>
                <w:rFonts w:ascii="Arial" w:hAnsi="Arial"/>
                <w:color w:val="000000"/>
                <w:sz w:val="18"/>
              </w:rPr>
              <w:t>Model estimates may be incomplete or inconsistent; records describe agreement and instrument behavior, not navigation advice</w:t>
            </w:r>
          </w:p>
        </w:tc>
      </w:tr>
    </w:tbl>
    <w:p>
      <w:pPr>
        <w:spacing w:after="20"/>
      </w:pPr>
    </w:p>
    <w:p>
      <w:pPr>
        <w:pStyle w:val="Heading2"/>
      </w:pPr>
      <w:r>
        <w:t>T9 Expected Results</w:t>
      </w:r>
    </w:p>
    <w:p>
      <w:pPr>
        <w:widowControl/>
      </w:pPr>
      <w:r>
        <w:rPr>
          <w:rFonts w:ascii="Arial" w:hAnsi="Arial"/>
          <w:color w:val="000000"/>
        </w:rPr>
        <w:t>The expectation record is fixed before the first research observation. Earlier credential checks established access only and did not supply Astana outcomes. Expectations about provider disagreement remain unchanged when collection becomes restricted. Instrument expectations are separately falsifiable through valid-response counts, latency and route coverage. The six scenarios describe possible outcomes rather than simulated findings. A later amendment must carry its own date and reason; it cannot silently replace the existing thresholds after results become visible. Objectives retain the earlier project sequence, which Assignment 2 did not separately renumber.</w:t>
      </w:r>
    </w:p>
    <w:p>
      <w:pPr>
        <w:widowControl/>
      </w:pPr>
      <w:r>
        <w:rPr>
          <w:rFonts w:ascii="Arial" w:hAnsi="Arial"/>
          <w:color w:val="000000"/>
        </w:rPr>
        <w:t>The table below preserves the original expected-results wording. ER1–ER4 concern the initial TomTom–2GIS design and are not directly tested by Google–ORS control data. ER5–ER8 still describe the recorded ORS instrument. The dated amendment gives a separate descriptive expectation: Peak-window median absolute Google-ORS disagreement will exceed off-peak-window median absolute disagreement. The earlier 1.5 ratio is retained as a prospective descriptive reference, not a revised original ER.</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567"/>
        <w:gridCol w:w="3061"/>
        <w:gridCol w:w="1417"/>
        <w:gridCol w:w="2154"/>
        <w:gridCol w:w="2438"/>
      </w:tblGrid>
      <w:tr>
        <w:trPr>
          <w:tblHeader/>
          <w:cantSplit/>
        </w:trPr>
        <w:tc>
          <w:tcPr>
            <w:tcW w:type="dxa" w:w="567"/>
            <w:vAlign w:val="center"/>
            <w:shd w:fill="EAEAEA"/>
          </w:tcPr>
          <w:p>
            <w:pPr>
              <w:keepNext/>
              <w:spacing w:after="40" w:line="240" w:lineRule="auto"/>
            </w:pPr>
            <w:r>
              <w:rPr>
                <w:rFonts w:ascii="Arial" w:hAnsi="Arial"/>
                <w:b/>
                <w:color w:val="000000"/>
                <w:sz w:val="18"/>
              </w:rPr>
              <w:t>No.</w:t>
            </w:r>
          </w:p>
        </w:tc>
        <w:tc>
          <w:tcPr>
            <w:tcW w:type="dxa" w:w="3061"/>
            <w:vAlign w:val="center"/>
            <w:shd w:fill="EAEAEA"/>
          </w:tcPr>
          <w:p>
            <w:pPr>
              <w:keepNext/>
              <w:spacing w:after="40" w:line="240" w:lineRule="auto"/>
            </w:pPr>
            <w:r>
              <w:rPr>
                <w:rFonts w:ascii="Arial" w:hAnsi="Arial"/>
                <w:b/>
                <w:color w:val="000000"/>
                <w:sz w:val="18"/>
              </w:rPr>
              <w:t>Expected result</w:t>
            </w:r>
          </w:p>
        </w:tc>
        <w:tc>
          <w:tcPr>
            <w:tcW w:type="dxa" w:w="1417"/>
            <w:vAlign w:val="center"/>
            <w:shd w:fill="EAEAEA"/>
          </w:tcPr>
          <w:p>
            <w:pPr>
              <w:keepNext/>
              <w:spacing w:after="40" w:line="240" w:lineRule="auto"/>
            </w:pPr>
            <w:r>
              <w:rPr>
                <w:rFonts w:ascii="Arial" w:hAnsi="Arial"/>
                <w:b/>
                <w:color w:val="000000"/>
                <w:sz w:val="18"/>
              </w:rPr>
              <w:t>Objective</w:t>
            </w:r>
          </w:p>
        </w:tc>
        <w:tc>
          <w:tcPr>
            <w:tcW w:type="dxa" w:w="2154"/>
            <w:vAlign w:val="center"/>
            <w:shd w:fill="EAEAEA"/>
          </w:tcPr>
          <w:p>
            <w:pPr>
              <w:keepNext/>
              <w:spacing w:after="40" w:line="240" w:lineRule="auto"/>
            </w:pPr>
            <w:r>
              <w:rPr>
                <w:rFonts w:ascii="Arial" w:hAnsi="Arial"/>
                <w:b/>
                <w:color w:val="000000"/>
                <w:sz w:val="18"/>
              </w:rPr>
              <w:t>Falsification</w:t>
            </w:r>
          </w:p>
        </w:tc>
        <w:tc>
          <w:tcPr>
            <w:tcW w:type="dxa" w:w="2438"/>
            <w:vAlign w:val="center"/>
            <w:shd w:fill="EAEAEA"/>
          </w:tcPr>
          <w:p>
            <w:pPr>
              <w:keepNext/>
              <w:spacing w:after="40" w:line="240" w:lineRule="auto"/>
            </w:pPr>
            <w:r>
              <w:rPr>
                <w:rFonts w:ascii="Arial" w:hAnsi="Arial"/>
                <w:b/>
                <w:color w:val="000000"/>
                <w:sz w:val="18"/>
              </w:rPr>
              <w:t>Confidence and reason</w:t>
            </w:r>
          </w:p>
        </w:tc>
      </w:tr>
      <w:tr>
        <w:trPr>
          <w:cantSplit/>
        </w:trPr>
        <w:tc>
          <w:tcPr>
            <w:tcW w:type="dxa" w:w="567"/>
            <w:vAlign w:val="center"/>
          </w:tcPr>
          <w:p>
            <w:pPr>
              <w:keepNext/>
              <w:spacing w:after="40" w:line="240" w:lineRule="auto"/>
            </w:pPr>
            <w:r>
              <w:rPr>
                <w:rFonts w:ascii="Arial" w:hAnsi="Arial"/>
                <w:color w:val="000000"/>
                <w:sz w:val="18"/>
              </w:rPr>
              <w:t>ER1</w:t>
            </w:r>
          </w:p>
        </w:tc>
        <w:tc>
          <w:tcPr>
            <w:tcW w:type="dxa" w:w="3061"/>
            <w:vAlign w:val="center"/>
          </w:tcPr>
          <w:p>
            <w:pPr>
              <w:keepNext/>
              <w:spacing w:after="40" w:line="240" w:lineRule="auto"/>
            </w:pPr>
            <w:r>
              <w:rPr>
                <w:rFonts w:ascii="Arial" w:hAnsi="Arial"/>
                <w:color w:val="000000"/>
                <w:sz w:val="18"/>
              </w:rPr>
              <w:t>The peak to off-peak ratio of median absolute TomTom-2GIS difference is at least 1.5.</w:t>
            </w:r>
          </w:p>
        </w:tc>
        <w:tc>
          <w:tcPr>
            <w:tcW w:type="dxa" w:w="1417"/>
            <w:vAlign w:val="center"/>
          </w:tcPr>
          <w:p>
            <w:pPr>
              <w:keepNext/>
              <w:spacing w:after="40" w:line="240" w:lineRule="auto"/>
            </w:pPr>
            <w:r>
              <w:rPr>
                <w:rFonts w:ascii="Arial" w:hAnsi="Arial"/>
                <w:color w:val="000000"/>
                <w:sz w:val="18"/>
              </w:rPr>
              <w:t>O4 Compare periods</w:t>
            </w:r>
          </w:p>
        </w:tc>
        <w:tc>
          <w:tcPr>
            <w:tcW w:type="dxa" w:w="2154"/>
            <w:vAlign w:val="center"/>
          </w:tcPr>
          <w:p>
            <w:pPr>
              <w:keepNext/>
              <w:spacing w:after="40" w:line="240" w:lineRule="auto"/>
            </w:pPr>
            <w:r>
              <w:rPr>
                <w:rFonts w:ascii="Arial" w:hAnsi="Arial"/>
                <w:color w:val="000000"/>
                <w:sz w:val="18"/>
              </w:rPr>
              <w:t>Ratio below 1.5 after both periods exist</w:t>
            </w:r>
          </w:p>
        </w:tc>
        <w:tc>
          <w:tcPr>
            <w:tcW w:type="dxa" w:w="2438"/>
            <w:vAlign w:val="center"/>
          </w:tcPr>
          <w:p>
            <w:pPr>
              <w:keepNext/>
              <w:spacing w:after="40" w:line="240" w:lineRule="auto"/>
            </w:pPr>
            <w:r>
              <w:rPr>
                <w:rFonts w:ascii="Arial" w:hAnsi="Arial"/>
                <w:color w:val="000000"/>
                <w:sz w:val="18"/>
              </w:rPr>
              <w:t>Low; directional H1 has no local pilot evidence</w:t>
            </w:r>
          </w:p>
        </w:tc>
      </w:tr>
      <w:tr>
        <w:trPr>
          <w:cantSplit/>
        </w:trPr>
        <w:tc>
          <w:tcPr>
            <w:tcW w:type="dxa" w:w="567"/>
            <w:vAlign w:val="center"/>
          </w:tcPr>
          <w:p>
            <w:pPr>
              <w:keepNext/>
              <w:spacing w:after="40" w:line="240" w:lineRule="auto"/>
            </w:pPr>
            <w:r>
              <w:rPr>
                <w:rFonts w:ascii="Arial" w:hAnsi="Arial"/>
                <w:color w:val="000000"/>
                <w:sz w:val="18"/>
              </w:rPr>
              <w:t>ER2</w:t>
            </w:r>
          </w:p>
        </w:tc>
        <w:tc>
          <w:tcPr>
            <w:tcW w:type="dxa" w:w="3061"/>
            <w:vAlign w:val="center"/>
          </w:tcPr>
          <w:p>
            <w:pPr>
              <w:keepNext/>
              <w:spacing w:after="40" w:line="240" w:lineRule="auto"/>
            </w:pPr>
            <w:r>
              <w:rPr>
                <w:rFonts w:ascii="Arial" w:hAnsi="Arial"/>
                <w:color w:val="000000"/>
                <w:sz w:val="18"/>
              </w:rPr>
              <w:t>At least 70% of eligible primary pairs have lengths within 5% of their pair mean.</w:t>
            </w:r>
          </w:p>
        </w:tc>
        <w:tc>
          <w:tcPr>
            <w:tcW w:type="dxa" w:w="1417"/>
            <w:vAlign w:val="center"/>
          </w:tcPr>
          <w:p>
            <w:pPr>
              <w:keepNext/>
              <w:spacing w:after="40" w:line="240" w:lineRule="auto"/>
            </w:pPr>
            <w:r>
              <w:rPr>
                <w:rFonts w:ascii="Arial" w:hAnsi="Arial"/>
                <w:color w:val="000000"/>
                <w:sz w:val="18"/>
              </w:rPr>
              <w:t>O3 Quantify disagreement</w:t>
            </w:r>
          </w:p>
        </w:tc>
        <w:tc>
          <w:tcPr>
            <w:tcW w:type="dxa" w:w="2154"/>
            <w:vAlign w:val="center"/>
          </w:tcPr>
          <w:p>
            <w:pPr>
              <w:keepNext/>
              <w:spacing w:after="40" w:line="240" w:lineRule="auto"/>
            </w:pPr>
            <w:r>
              <w:rPr>
                <w:rFonts w:ascii="Arial" w:hAnsi="Arial"/>
                <w:color w:val="000000"/>
                <w:sz w:val="18"/>
              </w:rPr>
              <w:t>Proportion below 70%</w:t>
            </w:r>
          </w:p>
        </w:tc>
        <w:tc>
          <w:tcPr>
            <w:tcW w:type="dxa" w:w="2438"/>
            <w:vAlign w:val="center"/>
          </w:tcPr>
          <w:p>
            <w:pPr>
              <w:keepNext/>
              <w:spacing w:after="40" w:line="240" w:lineRule="auto"/>
            </w:pPr>
            <w:r>
              <w:rPr>
                <w:rFonts w:ascii="Arial" w:hAnsi="Arial"/>
                <w:color w:val="000000"/>
                <w:sz w:val="18"/>
              </w:rPr>
              <w:t>Low; endpoint equality need not produce the same path</w:t>
            </w:r>
          </w:p>
        </w:tc>
      </w:tr>
      <w:tr>
        <w:trPr>
          <w:cantSplit/>
        </w:trPr>
        <w:tc>
          <w:tcPr>
            <w:tcW w:type="dxa" w:w="567"/>
            <w:vAlign w:val="center"/>
          </w:tcPr>
          <w:p>
            <w:pPr>
              <w:keepNext/>
              <w:spacing w:after="40" w:line="240" w:lineRule="auto"/>
            </w:pPr>
            <w:r>
              <w:rPr>
                <w:rFonts w:ascii="Arial" w:hAnsi="Arial"/>
                <w:color w:val="000000"/>
                <w:sz w:val="18"/>
              </w:rPr>
              <w:t>ER3</w:t>
            </w:r>
          </w:p>
        </w:tc>
        <w:tc>
          <w:tcPr>
            <w:tcW w:type="dxa" w:w="3061"/>
            <w:vAlign w:val="center"/>
          </w:tcPr>
          <w:p>
            <w:pPr>
              <w:keepNext/>
              <w:spacing w:after="40" w:line="240" w:lineRule="auto"/>
            </w:pPr>
            <w:r>
              <w:rPr>
                <w:rFonts w:ascii="Arial" w:hAnsi="Arial"/>
                <w:color w:val="000000"/>
                <w:sz w:val="18"/>
              </w:rPr>
              <w:t>Median signed difference TomTom minus 2GIS is positive in the completed sample.</w:t>
            </w:r>
          </w:p>
        </w:tc>
        <w:tc>
          <w:tcPr>
            <w:tcW w:type="dxa" w:w="1417"/>
            <w:vAlign w:val="center"/>
          </w:tcPr>
          <w:p>
            <w:pPr>
              <w:keepNext/>
              <w:spacing w:after="40" w:line="240" w:lineRule="auto"/>
            </w:pPr>
            <w:r>
              <w:rPr>
                <w:rFonts w:ascii="Arial" w:hAnsi="Arial"/>
                <w:color w:val="000000"/>
                <w:sz w:val="18"/>
              </w:rPr>
              <w:t>O3 Quantify disagreement</w:t>
            </w:r>
          </w:p>
        </w:tc>
        <w:tc>
          <w:tcPr>
            <w:tcW w:type="dxa" w:w="2154"/>
            <w:vAlign w:val="center"/>
          </w:tcPr>
          <w:p>
            <w:pPr>
              <w:keepNext/>
              <w:spacing w:after="40" w:line="240" w:lineRule="auto"/>
            </w:pPr>
            <w:r>
              <w:rPr>
                <w:rFonts w:ascii="Arial" w:hAnsi="Arial"/>
                <w:color w:val="000000"/>
                <w:sz w:val="18"/>
              </w:rPr>
              <w:t>Median at most zero</w:t>
            </w:r>
          </w:p>
        </w:tc>
        <w:tc>
          <w:tcPr>
            <w:tcW w:type="dxa" w:w="2438"/>
            <w:vAlign w:val="center"/>
          </w:tcPr>
          <w:p>
            <w:pPr>
              <w:keepNext/>
              <w:spacing w:after="40" w:line="240" w:lineRule="auto"/>
            </w:pPr>
            <w:r>
              <w:rPr>
                <w:rFonts w:ascii="Arial" w:hAnsi="Arial"/>
                <w:color w:val="000000"/>
                <w:sz w:val="18"/>
              </w:rPr>
              <w:t>Low; exploratory directional expectation, not prior fact</w:t>
            </w:r>
          </w:p>
        </w:tc>
      </w:tr>
      <w:tr>
        <w:trPr>
          <w:cantSplit/>
        </w:trPr>
        <w:tc>
          <w:tcPr>
            <w:tcW w:type="dxa" w:w="567"/>
            <w:vAlign w:val="center"/>
          </w:tcPr>
          <w:p>
            <w:pPr>
              <w:keepNext/>
              <w:spacing w:after="40" w:line="240" w:lineRule="auto"/>
            </w:pPr>
            <w:r>
              <w:rPr>
                <w:rFonts w:ascii="Arial" w:hAnsi="Arial"/>
                <w:color w:val="000000"/>
                <w:sz w:val="18"/>
              </w:rPr>
              <w:t>ER4</w:t>
            </w:r>
          </w:p>
        </w:tc>
        <w:tc>
          <w:tcPr>
            <w:tcW w:type="dxa" w:w="3061"/>
            <w:vAlign w:val="center"/>
          </w:tcPr>
          <w:p>
            <w:pPr>
              <w:keepNext/>
              <w:spacing w:after="40" w:line="240" w:lineRule="auto"/>
            </w:pPr>
            <w:r>
              <w:rPr>
                <w:rFonts w:ascii="Arial" w:hAnsi="Arial"/>
                <w:color w:val="000000"/>
                <w:sz w:val="18"/>
              </w:rPr>
              <w:t>The peak IQR of signed differences exceeds the off-peak IQR.</w:t>
            </w:r>
          </w:p>
        </w:tc>
        <w:tc>
          <w:tcPr>
            <w:tcW w:type="dxa" w:w="1417"/>
            <w:vAlign w:val="center"/>
          </w:tcPr>
          <w:p>
            <w:pPr>
              <w:keepNext/>
              <w:spacing w:after="40" w:line="240" w:lineRule="auto"/>
            </w:pPr>
            <w:r>
              <w:rPr>
                <w:rFonts w:ascii="Arial" w:hAnsi="Arial"/>
                <w:color w:val="000000"/>
                <w:sz w:val="18"/>
              </w:rPr>
              <w:t>O5 Describe route and time variation</w:t>
            </w:r>
          </w:p>
        </w:tc>
        <w:tc>
          <w:tcPr>
            <w:tcW w:type="dxa" w:w="2154"/>
            <w:vAlign w:val="center"/>
          </w:tcPr>
          <w:p>
            <w:pPr>
              <w:keepNext/>
              <w:spacing w:after="40" w:line="240" w:lineRule="auto"/>
            </w:pPr>
            <w:r>
              <w:rPr>
                <w:rFonts w:ascii="Arial" w:hAnsi="Arial"/>
                <w:color w:val="000000"/>
                <w:sz w:val="18"/>
              </w:rPr>
              <w:t>Peak IQR at most the off-peak IQR</w:t>
            </w:r>
          </w:p>
        </w:tc>
        <w:tc>
          <w:tcPr>
            <w:tcW w:type="dxa" w:w="2438"/>
            <w:vAlign w:val="center"/>
          </w:tcPr>
          <w:p>
            <w:pPr>
              <w:keepNext/>
              <w:spacing w:after="40" w:line="240" w:lineRule="auto"/>
            </w:pPr>
            <w:r>
              <w:rPr>
                <w:rFonts w:ascii="Arial" w:hAnsi="Arial"/>
                <w:color w:val="000000"/>
                <w:sz w:val="18"/>
              </w:rPr>
              <w:t>Low; hypothesis about variation is unverified</w:t>
            </w:r>
          </w:p>
        </w:tc>
      </w:tr>
      <w:tr>
        <w:trPr>
          <w:cantSplit/>
        </w:trPr>
        <w:tc>
          <w:tcPr>
            <w:tcW w:type="dxa" w:w="567"/>
            <w:vAlign w:val="center"/>
          </w:tcPr>
          <w:p>
            <w:pPr>
              <w:keepNext/>
              <w:spacing w:after="40" w:line="240" w:lineRule="auto"/>
            </w:pPr>
            <w:r>
              <w:rPr>
                <w:rFonts w:ascii="Arial" w:hAnsi="Arial"/>
                <w:color w:val="000000"/>
                <w:sz w:val="18"/>
              </w:rPr>
              <w:t>ER5</w:t>
            </w:r>
          </w:p>
        </w:tc>
        <w:tc>
          <w:tcPr>
            <w:tcW w:type="dxa" w:w="3061"/>
            <w:vAlign w:val="center"/>
          </w:tcPr>
          <w:p>
            <w:pPr>
              <w:keepNext/>
              <w:spacing w:after="40" w:line="240" w:lineRule="auto"/>
            </w:pPr>
            <w:r>
              <w:rPr>
                <w:rFonts w:ascii="Arial" w:hAnsi="Arial"/>
                <w:color w:val="000000"/>
                <w:sz w:val="18"/>
              </w:rPr>
              <w:t>Fewer than 2% of ORS instrument requests fail to return a valid route.</w:t>
            </w:r>
          </w:p>
        </w:tc>
        <w:tc>
          <w:tcPr>
            <w:tcW w:type="dxa" w:w="1417"/>
            <w:vAlign w:val="center"/>
          </w:tcPr>
          <w:p>
            <w:pPr>
              <w:keepNext/>
              <w:spacing w:after="40" w:line="240" w:lineRule="auto"/>
            </w:pPr>
            <w:r>
              <w:rPr>
                <w:rFonts w:ascii="Arial" w:hAnsi="Arial"/>
                <w:color w:val="000000"/>
                <w:sz w:val="18"/>
              </w:rPr>
              <w:t>O2 Collect auditable observations</w:t>
            </w:r>
          </w:p>
        </w:tc>
        <w:tc>
          <w:tcPr>
            <w:tcW w:type="dxa" w:w="2154"/>
            <w:vAlign w:val="center"/>
          </w:tcPr>
          <w:p>
            <w:pPr>
              <w:keepNext/>
              <w:spacing w:after="40" w:line="240" w:lineRule="auto"/>
            </w:pPr>
            <w:r>
              <w:rPr>
                <w:rFonts w:ascii="Arial" w:hAnsi="Arial"/>
                <w:color w:val="000000"/>
                <w:sz w:val="18"/>
              </w:rPr>
              <w:t>Failure proportion at least 2%</w:t>
            </w:r>
          </w:p>
        </w:tc>
        <w:tc>
          <w:tcPr>
            <w:tcW w:type="dxa" w:w="2438"/>
            <w:vAlign w:val="center"/>
          </w:tcPr>
          <w:p>
            <w:pPr>
              <w:keepNext/>
              <w:spacing w:after="40" w:line="240" w:lineRule="auto"/>
            </w:pPr>
            <w:r>
              <w:rPr>
                <w:rFonts w:ascii="Arial" w:hAnsi="Arial"/>
                <w:color w:val="000000"/>
                <w:sz w:val="18"/>
              </w:rPr>
              <w:t>Medium; one previous technical check succeeded</w:t>
            </w:r>
          </w:p>
        </w:tc>
      </w:tr>
      <w:tr>
        <w:trPr>
          <w:cantSplit/>
        </w:trPr>
        <w:tc>
          <w:tcPr>
            <w:tcW w:type="dxa" w:w="567"/>
            <w:vAlign w:val="center"/>
          </w:tcPr>
          <w:p>
            <w:pPr>
              <w:keepNext/>
              <w:spacing w:after="40" w:line="240" w:lineRule="auto"/>
            </w:pPr>
            <w:r>
              <w:rPr>
                <w:rFonts w:ascii="Arial" w:hAnsi="Arial"/>
                <w:color w:val="000000"/>
                <w:sz w:val="18"/>
              </w:rPr>
              <w:t>ER6</w:t>
            </w:r>
          </w:p>
        </w:tc>
        <w:tc>
          <w:tcPr>
            <w:tcW w:type="dxa" w:w="3061"/>
            <w:vAlign w:val="center"/>
          </w:tcPr>
          <w:p>
            <w:pPr>
              <w:keepNext/>
              <w:spacing w:after="40" w:line="240" w:lineRule="auto"/>
            </w:pPr>
            <w:r>
              <w:rPr>
                <w:rFonts w:ascii="Arial" w:hAnsi="Arial"/>
                <w:color w:val="000000"/>
                <w:sz w:val="18"/>
              </w:rPr>
              <w:t>At least 95% of ORS instrument requests finish within 10 seconds.</w:t>
            </w:r>
          </w:p>
        </w:tc>
        <w:tc>
          <w:tcPr>
            <w:tcW w:type="dxa" w:w="1417"/>
            <w:vAlign w:val="center"/>
          </w:tcPr>
          <w:p>
            <w:pPr>
              <w:keepNext/>
              <w:spacing w:after="40" w:line="240" w:lineRule="auto"/>
            </w:pPr>
            <w:r>
              <w:rPr>
                <w:rFonts w:ascii="Arial" w:hAnsi="Arial"/>
                <w:color w:val="000000"/>
                <w:sz w:val="18"/>
              </w:rPr>
              <w:t>O2 Collect auditable observations</w:t>
            </w:r>
          </w:p>
        </w:tc>
        <w:tc>
          <w:tcPr>
            <w:tcW w:type="dxa" w:w="2154"/>
            <w:vAlign w:val="center"/>
          </w:tcPr>
          <w:p>
            <w:pPr>
              <w:keepNext/>
              <w:spacing w:after="40" w:line="240" w:lineRule="auto"/>
            </w:pPr>
            <w:r>
              <w:rPr>
                <w:rFonts w:ascii="Arial" w:hAnsi="Arial"/>
                <w:color w:val="000000"/>
                <w:sz w:val="18"/>
              </w:rPr>
              <w:t>Proportion below 95%</w:t>
            </w:r>
          </w:p>
        </w:tc>
        <w:tc>
          <w:tcPr>
            <w:tcW w:type="dxa" w:w="2438"/>
            <w:vAlign w:val="center"/>
          </w:tcPr>
          <w:p>
            <w:pPr>
              <w:keepNext/>
              <w:spacing w:after="40" w:line="240" w:lineRule="auto"/>
            </w:pPr>
            <w:r>
              <w:rPr>
                <w:rFonts w:ascii="Arial" w:hAnsi="Arial"/>
                <w:color w:val="000000"/>
                <w:sz w:val="18"/>
              </w:rPr>
              <w:t>Medium; network and service delays can defeat it</w:t>
            </w:r>
          </w:p>
        </w:tc>
      </w:tr>
      <w:tr>
        <w:trPr>
          <w:cantSplit/>
        </w:trPr>
        <w:tc>
          <w:tcPr>
            <w:tcW w:type="dxa" w:w="567"/>
            <w:vAlign w:val="center"/>
          </w:tcPr>
          <w:p>
            <w:pPr>
              <w:keepNext/>
              <w:spacing w:after="40" w:line="240" w:lineRule="auto"/>
            </w:pPr>
            <w:r>
              <w:rPr>
                <w:rFonts w:ascii="Arial" w:hAnsi="Arial"/>
                <w:color w:val="000000"/>
                <w:sz w:val="18"/>
              </w:rPr>
              <w:t>ER7</w:t>
            </w:r>
          </w:p>
        </w:tc>
        <w:tc>
          <w:tcPr>
            <w:tcW w:type="dxa" w:w="3061"/>
            <w:vAlign w:val="center"/>
          </w:tcPr>
          <w:p>
            <w:pPr>
              <w:keepNext/>
              <w:spacing w:after="40" w:line="240" w:lineRule="auto"/>
            </w:pPr>
            <w:r>
              <w:rPr>
                <w:rFonts w:ascii="Arial" w:hAnsi="Arial"/>
                <w:color w:val="000000"/>
                <w:sz w:val="18"/>
              </w:rPr>
              <w:t>All 20 routes produce at least one valid ORS result during the three pilot cycles.</w:t>
            </w:r>
          </w:p>
        </w:tc>
        <w:tc>
          <w:tcPr>
            <w:tcW w:type="dxa" w:w="1417"/>
            <w:vAlign w:val="center"/>
          </w:tcPr>
          <w:p>
            <w:pPr>
              <w:keepNext/>
              <w:spacing w:after="40" w:line="240" w:lineRule="auto"/>
            </w:pPr>
            <w:r>
              <w:rPr>
                <w:rFonts w:ascii="Arial" w:hAnsi="Arial"/>
                <w:color w:val="000000"/>
                <w:sz w:val="18"/>
              </w:rPr>
              <w:t>O1 Fix routes and periods</w:t>
            </w:r>
          </w:p>
        </w:tc>
        <w:tc>
          <w:tcPr>
            <w:tcW w:type="dxa" w:w="2154"/>
            <w:vAlign w:val="center"/>
          </w:tcPr>
          <w:p>
            <w:pPr>
              <w:keepNext/>
              <w:spacing w:after="40" w:line="240" w:lineRule="auto"/>
            </w:pPr>
            <w:r>
              <w:rPr>
                <w:rFonts w:ascii="Arial" w:hAnsi="Arial"/>
                <w:color w:val="000000"/>
                <w:sz w:val="18"/>
              </w:rPr>
              <w:t>Fewer than 20 routes have any valid pilot observation</w:t>
            </w:r>
          </w:p>
        </w:tc>
        <w:tc>
          <w:tcPr>
            <w:tcW w:type="dxa" w:w="2438"/>
            <w:vAlign w:val="center"/>
          </w:tcPr>
          <w:p>
            <w:pPr>
              <w:keepNext/>
              <w:spacing w:after="40" w:line="240" w:lineRule="auto"/>
            </w:pPr>
            <w:r>
              <w:rPr>
                <w:rFonts w:ascii="Arial" w:hAnsi="Arial"/>
                <w:color w:val="000000"/>
                <w:sz w:val="18"/>
              </w:rPr>
              <w:t>Medium; public road endpoints still require routing verification</w:t>
            </w:r>
          </w:p>
        </w:tc>
      </w:tr>
      <w:tr>
        <w:trPr>
          <w:cantSplit/>
        </w:trPr>
        <w:tc>
          <w:tcPr>
            <w:tcW w:type="dxa" w:w="567"/>
            <w:vAlign w:val="center"/>
          </w:tcPr>
          <w:p>
            <w:pPr>
              <w:keepNext w:val="0"/>
              <w:spacing w:after="40" w:line="240" w:lineRule="auto"/>
            </w:pPr>
            <w:r>
              <w:rPr>
                <w:rFonts w:ascii="Arial" w:hAnsi="Arial"/>
                <w:color w:val="000000"/>
                <w:sz w:val="18"/>
              </w:rPr>
              <w:t>ER8</w:t>
            </w:r>
          </w:p>
        </w:tc>
        <w:tc>
          <w:tcPr>
            <w:tcW w:type="dxa" w:w="3061"/>
            <w:vAlign w:val="center"/>
          </w:tcPr>
          <w:p>
            <w:pPr>
              <w:keepNext w:val="0"/>
              <w:spacing w:after="40" w:line="240" w:lineRule="auto"/>
            </w:pPr>
            <w:r>
              <w:rPr>
                <w:rFonts w:ascii="Arial" w:hAnsi="Arial"/>
                <w:color w:val="000000"/>
                <w:sz w:val="18"/>
              </w:rPr>
              <w:t>At least 90% of the 768 nominal ORS scheduled requests are recorded in the 48-hour window.</w:t>
            </w:r>
          </w:p>
        </w:tc>
        <w:tc>
          <w:tcPr>
            <w:tcW w:type="dxa" w:w="1417"/>
            <w:vAlign w:val="center"/>
          </w:tcPr>
          <w:p>
            <w:pPr>
              <w:keepNext w:val="0"/>
              <w:spacing w:after="40" w:line="240" w:lineRule="auto"/>
            </w:pPr>
            <w:r>
              <w:rPr>
                <w:rFonts w:ascii="Arial" w:hAnsi="Arial"/>
                <w:color w:val="000000"/>
                <w:sz w:val="18"/>
              </w:rPr>
              <w:t>O2 Collect auditable observations</w:t>
            </w:r>
          </w:p>
        </w:tc>
        <w:tc>
          <w:tcPr>
            <w:tcW w:type="dxa" w:w="2154"/>
            <w:vAlign w:val="center"/>
          </w:tcPr>
          <w:p>
            <w:pPr>
              <w:keepNext w:val="0"/>
              <w:spacing w:after="40" w:line="240" w:lineRule="auto"/>
            </w:pPr>
            <w:r>
              <w:rPr>
                <w:rFonts w:ascii="Arial" w:hAnsi="Arial"/>
                <w:color w:val="000000"/>
                <w:sz w:val="18"/>
              </w:rPr>
              <w:t>Fewer than 692 attempts after the window ends</w:t>
            </w:r>
          </w:p>
        </w:tc>
        <w:tc>
          <w:tcPr>
            <w:tcW w:type="dxa" w:w="2438"/>
            <w:vAlign w:val="center"/>
          </w:tcPr>
          <w:p>
            <w:pPr>
              <w:keepNext w:val="0"/>
              <w:spacing w:after="40" w:line="240" w:lineRule="auto"/>
            </w:pPr>
            <w:r>
              <w:rPr>
                <w:rFonts w:ascii="Arial" w:hAnsi="Arial"/>
                <w:color w:val="000000"/>
                <w:sz w:val="18"/>
              </w:rPr>
              <w:t>Medium; Actions scheduling may delay or skip runs</w:t>
            </w:r>
          </w:p>
        </w:tc>
      </w:tr>
    </w:tbl>
    <w:p>
      <w:pPr>
        <w:spacing w:after="20"/>
      </w:pP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417"/>
        <w:gridCol w:w="8220"/>
      </w:tblGrid>
      <w:tr>
        <w:trPr>
          <w:tblHeader/>
          <w:cantSplit/>
        </w:trPr>
        <w:tc>
          <w:tcPr>
            <w:tcW w:type="dxa" w:w="1417"/>
            <w:vAlign w:val="center"/>
            <w:shd w:fill="EAEAEA"/>
          </w:tcPr>
          <w:p>
            <w:pPr>
              <w:keepNext/>
              <w:spacing w:after="40" w:line="240" w:lineRule="auto"/>
            </w:pPr>
            <w:r>
              <w:rPr>
                <w:rFonts w:ascii="Arial" w:hAnsi="Arial"/>
                <w:b/>
                <w:color w:val="000000"/>
                <w:sz w:val="18"/>
              </w:rPr>
              <w:t>Outcome</w:t>
            </w:r>
          </w:p>
        </w:tc>
        <w:tc>
          <w:tcPr>
            <w:tcW w:type="dxa" w:w="8220"/>
            <w:vAlign w:val="center"/>
            <w:shd w:fill="EAEAEA"/>
          </w:tcPr>
          <w:p>
            <w:pPr>
              <w:keepNext/>
              <w:spacing w:after="40" w:line="240" w:lineRule="auto"/>
            </w:pPr>
            <w:r>
              <w:rPr>
                <w:rFonts w:ascii="Arial" w:hAnsi="Arial"/>
                <w:b/>
                <w:color w:val="000000"/>
                <w:sz w:val="18"/>
              </w:rPr>
              <w:t>Possible scenario</w:t>
            </w:r>
          </w:p>
        </w:tc>
      </w:tr>
      <w:tr>
        <w:trPr>
          <w:cantSplit/>
        </w:trPr>
        <w:tc>
          <w:tcPr>
            <w:tcW w:type="dxa" w:w="1417"/>
            <w:vAlign w:val="center"/>
          </w:tcPr>
          <w:p>
            <w:pPr>
              <w:keepNext/>
              <w:spacing w:after="40" w:line="240" w:lineRule="auto"/>
            </w:pPr>
            <w:r>
              <w:rPr>
                <w:rFonts w:ascii="Arial" w:hAnsi="Arial"/>
                <w:color w:val="000000"/>
                <w:sz w:val="18"/>
              </w:rPr>
              <w:t>bad</w:t>
            </w:r>
          </w:p>
        </w:tc>
        <w:tc>
          <w:tcPr>
            <w:tcW w:type="dxa" w:w="8220"/>
            <w:vAlign w:val="center"/>
          </w:tcPr>
          <w:p>
            <w:pPr>
              <w:keepNext/>
              <w:spacing w:after="40" w:line="240" w:lineRule="auto"/>
            </w:pPr>
            <w:r>
              <w:rPr>
                <w:rFonts w:ascii="Arial" w:hAnsi="Arial"/>
                <w:color w:val="000000"/>
                <w:sz w:val="18"/>
              </w:rPr>
              <w:t>Traffic-provider permissions remain unavailable; only control-instrument evidence exists and H1 cannot be tested.</w:t>
            </w:r>
          </w:p>
        </w:tc>
      </w:tr>
      <w:tr>
        <w:trPr>
          <w:cantSplit/>
        </w:trPr>
        <w:tc>
          <w:tcPr>
            <w:tcW w:type="dxa" w:w="1417"/>
            <w:vAlign w:val="center"/>
          </w:tcPr>
          <w:p>
            <w:pPr>
              <w:keepNext/>
              <w:spacing w:after="40" w:line="240" w:lineRule="auto"/>
            </w:pPr>
            <w:r>
              <w:rPr>
                <w:rFonts w:ascii="Arial" w:hAnsi="Arial"/>
                <w:color w:val="000000"/>
                <w:sz w:val="18"/>
              </w:rPr>
              <w:t>bad</w:t>
            </w:r>
          </w:p>
        </w:tc>
        <w:tc>
          <w:tcPr>
            <w:tcW w:type="dxa" w:w="8220"/>
            <w:vAlign w:val="center"/>
          </w:tcPr>
          <w:p>
            <w:pPr>
              <w:keepNext/>
              <w:spacing w:after="40" w:line="240" w:lineRule="auto"/>
            </w:pPr>
            <w:r>
              <w:rPr>
                <w:rFonts w:ascii="Arial" w:hAnsi="Arial"/>
                <w:color w:val="000000"/>
                <w:sz w:val="18"/>
              </w:rPr>
              <w:t>At least 2% of ORS requests fail or fewer than 20 routes work; revise the instrument in a dated amendment.</w:t>
            </w:r>
          </w:p>
        </w:tc>
      </w:tr>
      <w:tr>
        <w:trPr>
          <w:cantSplit/>
        </w:trPr>
        <w:tc>
          <w:tcPr>
            <w:tcW w:type="dxa" w:w="1417"/>
            <w:vAlign w:val="center"/>
          </w:tcPr>
          <w:p>
            <w:pPr>
              <w:keepNext/>
              <w:spacing w:after="40" w:line="240" w:lineRule="auto"/>
            </w:pPr>
            <w:r>
              <w:rPr>
                <w:rFonts w:ascii="Arial" w:hAnsi="Arial"/>
                <w:color w:val="000000"/>
                <w:sz w:val="18"/>
              </w:rPr>
              <w:t>medium</w:t>
            </w:r>
          </w:p>
        </w:tc>
        <w:tc>
          <w:tcPr>
            <w:tcW w:type="dxa" w:w="8220"/>
            <w:vAlign w:val="center"/>
          </w:tcPr>
          <w:p>
            <w:pPr>
              <w:keepNext/>
              <w:spacing w:after="40" w:line="240" w:lineRule="auto"/>
            </w:pPr>
            <w:r>
              <w:rPr>
                <w:rFonts w:ascii="Arial" w:hAnsi="Arial"/>
                <w:color w:val="000000"/>
                <w:sz w:val="18"/>
              </w:rPr>
              <w:t>All routes work but fewer than 90% of scheduled attempts are recorded; retain actual times and describe incomplete coverage.</w:t>
            </w:r>
          </w:p>
        </w:tc>
      </w:tr>
      <w:tr>
        <w:trPr>
          <w:cantSplit/>
        </w:trPr>
        <w:tc>
          <w:tcPr>
            <w:tcW w:type="dxa" w:w="1417"/>
            <w:vAlign w:val="center"/>
          </w:tcPr>
          <w:p>
            <w:pPr>
              <w:keepNext/>
              <w:spacing w:after="40" w:line="240" w:lineRule="auto"/>
            </w:pPr>
            <w:r>
              <w:rPr>
                <w:rFonts w:ascii="Arial" w:hAnsi="Arial"/>
                <w:color w:val="000000"/>
                <w:sz w:val="18"/>
              </w:rPr>
              <w:t>medium</w:t>
            </w:r>
          </w:p>
        </w:tc>
        <w:tc>
          <w:tcPr>
            <w:tcW w:type="dxa" w:w="8220"/>
            <w:vAlign w:val="center"/>
          </w:tcPr>
          <w:p>
            <w:pPr>
              <w:keepNext/>
              <w:spacing w:after="40" w:line="240" w:lineRule="auto"/>
            </w:pPr>
            <w:r>
              <w:rPr>
                <w:rFonts w:ascii="Arial" w:hAnsi="Arial"/>
                <w:color w:val="000000"/>
                <w:sz w:val="18"/>
              </w:rPr>
              <w:t>Primary collection later becomes permitted but period contrast is below 1.5; report evidence against ER1 without editing it.</w:t>
            </w:r>
          </w:p>
        </w:tc>
      </w:tr>
      <w:tr>
        <w:trPr>
          <w:cantSplit/>
        </w:trPr>
        <w:tc>
          <w:tcPr>
            <w:tcW w:type="dxa" w:w="1417"/>
            <w:vAlign w:val="center"/>
          </w:tcPr>
          <w:p>
            <w:pPr>
              <w:keepNext/>
              <w:spacing w:after="40" w:line="240" w:lineRule="auto"/>
            </w:pPr>
            <w:r>
              <w:rPr>
                <w:rFonts w:ascii="Arial" w:hAnsi="Arial"/>
                <w:color w:val="000000"/>
                <w:sz w:val="18"/>
              </w:rPr>
              <w:t>good</w:t>
            </w:r>
          </w:p>
        </w:tc>
        <w:tc>
          <w:tcPr>
            <w:tcW w:type="dxa" w:w="8220"/>
            <w:vAlign w:val="center"/>
          </w:tcPr>
          <w:p>
            <w:pPr>
              <w:keepNext/>
              <w:spacing w:after="40" w:line="240" w:lineRule="auto"/>
            </w:pPr>
            <w:r>
              <w:rPr>
                <w:rFonts w:ascii="Arial" w:hAnsi="Arial"/>
                <w:color w:val="000000"/>
                <w:sz w:val="18"/>
              </w:rPr>
              <w:t>The ORS pilot covers all routes and fewer than 2% of requests fail; the data pipeline is ready for a permitted primary comparison.</w:t>
            </w:r>
          </w:p>
        </w:tc>
      </w:tr>
      <w:tr>
        <w:trPr>
          <w:cantSplit/>
        </w:trPr>
        <w:tc>
          <w:tcPr>
            <w:tcW w:type="dxa" w:w="1417"/>
            <w:vAlign w:val="center"/>
          </w:tcPr>
          <w:p>
            <w:pPr>
              <w:keepNext w:val="0"/>
              <w:spacing w:after="40" w:line="240" w:lineRule="auto"/>
            </w:pPr>
            <w:r>
              <w:rPr>
                <w:rFonts w:ascii="Arial" w:hAnsi="Arial"/>
                <w:color w:val="000000"/>
                <w:sz w:val="18"/>
              </w:rPr>
              <w:t>good</w:t>
            </w:r>
          </w:p>
        </w:tc>
        <w:tc>
          <w:tcPr>
            <w:tcW w:type="dxa" w:w="8220"/>
            <w:vAlign w:val="center"/>
          </w:tcPr>
          <w:p>
            <w:pPr>
              <w:keepNext w:val="0"/>
              <w:spacing w:after="40" w:line="240" w:lineRule="auto"/>
            </w:pPr>
            <w:r>
              <w:rPr>
                <w:rFonts w:ascii="Arial" w:hAnsi="Arial"/>
                <w:color w:val="000000"/>
                <w:sz w:val="18"/>
              </w:rPr>
              <w:t>A later permitted primary sample spans both periods and reaches the ER1 threshold with interpretable route-aware uncertainty.</w:t>
            </w:r>
          </w:p>
        </w:tc>
      </w:tr>
    </w:tbl>
    <w:p>
      <w:pPr>
        <w:spacing w:after="20"/>
      </w:pPr>
    </w:p>
    <w:p>
      <w:pPr>
        <w:widowControl/>
      </w:pPr>
      <w:r>
        <w:rPr>
          <w:rFonts w:ascii="Arial" w:hAnsi="Arial"/>
          <w:color w:val="000000"/>
        </w:rPr>
        <w:t>Fixed date: 24.10.2026. Timestamp: 2026-10-24T02:32:16.123968+00:00. Expected-results file SHA-256: e1a7ad664d3f3a6caa524098fc4073812d29de0a88239a87f4e10181fec27d1a. Preregistration commit: b4614355903efdc800f870d2678d2416e0490f81.</w:t>
      </w:r>
    </w:p>
    <w:p>
      <w:pPr>
        <w:pStyle w:val="Heading2"/>
      </w:pPr>
      <w:r>
        <w:t>T10 State your method-related expectations</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438"/>
        <w:gridCol w:w="7200"/>
      </w:tblGrid>
      <w:tr>
        <w:trPr>
          <w:tblHeader/>
          <w:cantSplit/>
        </w:trPr>
        <w:tc>
          <w:tcPr>
            <w:tcW w:type="dxa" w:w="2438"/>
            <w:vAlign w:val="center"/>
            <w:shd w:fill="EAEAEA"/>
          </w:tcPr>
          <w:p>
            <w:pPr>
              <w:keepNext/>
              <w:spacing w:after="40" w:line="240" w:lineRule="auto"/>
            </w:pPr>
            <w:r>
              <w:rPr>
                <w:rFonts w:ascii="Arial" w:hAnsi="Arial"/>
                <w:b/>
                <w:color w:val="000000"/>
                <w:sz w:val="18"/>
              </w:rPr>
              <w:t>Method</w:t>
            </w:r>
          </w:p>
        </w:tc>
        <w:tc>
          <w:tcPr>
            <w:tcW w:type="dxa" w:w="7200"/>
            <w:vAlign w:val="center"/>
            <w:shd w:fill="EAEAEA"/>
          </w:tcPr>
          <w:p>
            <w:pPr>
              <w:keepNext/>
              <w:spacing w:after="40" w:line="240" w:lineRule="auto"/>
            </w:pPr>
            <w:r>
              <w:rPr>
                <w:rFonts w:ascii="Arial" w:hAnsi="Arial"/>
                <w:b/>
                <w:color w:val="000000"/>
                <w:sz w:val="18"/>
              </w:rPr>
              <w:t>Declaration before analysis</w:t>
            </w:r>
          </w:p>
        </w:tc>
      </w:tr>
      <w:tr>
        <w:trPr>
          <w:cantSplit/>
        </w:trPr>
        <w:tc>
          <w:tcPr>
            <w:tcW w:type="dxa" w:w="2438"/>
            <w:vAlign w:val="center"/>
          </w:tcPr>
          <w:p>
            <w:pPr>
              <w:keepNext w:val="0"/>
              <w:spacing w:after="40" w:line="240" w:lineRule="auto"/>
            </w:pPr>
            <w:r>
              <w:rPr>
                <w:rFonts w:ascii="Arial" w:hAnsi="Arial"/>
                <w:color w:val="000000"/>
                <w:sz w:val="18"/>
              </w:rPr>
              <w:t>Data analytics / secondary data</w:t>
            </w:r>
          </w:p>
        </w:tc>
        <w:tc>
          <w:tcPr>
            <w:tcW w:type="dxa" w:w="7200"/>
            <w:vAlign w:val="center"/>
          </w:tcPr>
          <w:p>
            <w:pPr>
              <w:keepNext w:val="0"/>
              <w:spacing w:after="40" w:line="240" w:lineRule="auto"/>
            </w:pPr>
            <w:r>
              <w:rPr>
                <w:rFonts w:ascii="Arial" w:hAnsi="Arial"/>
                <w:color w:val="000000"/>
                <w:sz w:val="18"/>
              </w:rPr>
              <w:t>Current descriptive expectation: larger per-window median absolute Google–ORS disagreement during peak; the initial 1.5 ratio is a prospective reference, not a rewritten ER. No route/day significance test is supported by aggregate-only Google retention. Instrument expectations: &lt;2% invalid routes, ≥95% requests within 10 s, all 20 pilot routes represented. Missing optional baselines, failed responses, duplicates and implausible implied speeds are recorded. API agreement cannot establish actual travel-time accuracy.</w:t>
            </w:r>
          </w:p>
        </w:tc>
      </w:tr>
    </w:tbl>
    <w:p>
      <w:pPr>
        <w:spacing w:after="20"/>
      </w:pPr>
    </w:p>
    <w:p>
      <w:pPr>
        <w:pStyle w:val="Heading1"/>
      </w:pPr>
      <w:r>
        <w:t>Segment 2. Data Collection Instrument</w:t>
      </w:r>
    </w:p>
    <w:p>
      <w:pPr>
        <w:pStyle w:val="Heading2"/>
      </w:pPr>
      <w:r>
        <w:t>T1 Provenance information</w:t>
      </w:r>
    </w:p>
    <w:p>
      <w:pPr>
        <w:widowControl/>
      </w:pPr>
      <w:r>
        <w:rPr>
          <w:rFonts w:ascii="Arial" w:hAnsi="Arial"/>
          <w:color w:val="000000"/>
        </w:rPr>
        <w:t>The design adapts repeated route and time sampling from Elnaggar et al. (2025) and fixed OD comparison from Fu et al. (2023). It does not reproduce their cities, datasets or validation claims. Hodson (2022) motivates giving each difference measure a defined role. The collector is self-developed because synchronized requests, explicit failures, route identifiers and permission controls must share one audit trail. Its command-line interface writes CSV and licensed response files; it has no participant frontend or personal-data database. Confidence comes from recorded pilot outputs and deterministic validation, not from calling the software a methodology.</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191"/>
        <w:gridCol w:w="1984"/>
        <w:gridCol w:w="1191"/>
        <w:gridCol w:w="2438"/>
        <w:gridCol w:w="2835"/>
      </w:tblGrid>
      <w:tr>
        <w:trPr>
          <w:tblHeader/>
          <w:cantSplit/>
        </w:trPr>
        <w:tc>
          <w:tcPr>
            <w:tcW w:type="dxa" w:w="1191"/>
            <w:vAlign w:val="center"/>
            <w:shd w:fill="EAEAEA"/>
          </w:tcPr>
          <w:p>
            <w:pPr>
              <w:keepNext/>
              <w:spacing w:after="40" w:line="240" w:lineRule="auto"/>
            </w:pPr>
            <w:r>
              <w:rPr>
                <w:rFonts w:ascii="Arial" w:hAnsi="Arial"/>
                <w:b/>
                <w:color w:val="000000"/>
                <w:sz w:val="18"/>
              </w:rPr>
              <w:t>Element</w:t>
            </w:r>
          </w:p>
        </w:tc>
        <w:tc>
          <w:tcPr>
            <w:tcW w:type="dxa" w:w="1984"/>
            <w:vAlign w:val="center"/>
            <w:shd w:fill="EAEAEA"/>
          </w:tcPr>
          <w:p>
            <w:pPr>
              <w:keepNext/>
              <w:spacing w:after="40" w:line="240" w:lineRule="auto"/>
            </w:pPr>
            <w:r>
              <w:rPr>
                <w:rFonts w:ascii="Arial" w:hAnsi="Arial"/>
                <w:b/>
                <w:color w:val="000000"/>
                <w:sz w:val="18"/>
              </w:rPr>
              <w:t>Source</w:t>
            </w:r>
          </w:p>
        </w:tc>
        <w:tc>
          <w:tcPr>
            <w:tcW w:type="dxa" w:w="1191"/>
            <w:vAlign w:val="center"/>
            <w:shd w:fill="EAEAEA"/>
          </w:tcPr>
          <w:p>
            <w:pPr>
              <w:keepNext/>
              <w:spacing w:after="40" w:line="240" w:lineRule="auto"/>
            </w:pPr>
            <w:r>
              <w:rPr>
                <w:rFonts w:ascii="Arial" w:hAnsi="Arial"/>
                <w:b/>
                <w:color w:val="000000"/>
                <w:sz w:val="18"/>
              </w:rPr>
              <w:t>Status</w:t>
            </w:r>
          </w:p>
        </w:tc>
        <w:tc>
          <w:tcPr>
            <w:tcW w:type="dxa" w:w="2438"/>
            <w:vAlign w:val="center"/>
            <w:shd w:fill="EAEAEA"/>
          </w:tcPr>
          <w:p>
            <w:pPr>
              <w:keepNext/>
              <w:spacing w:after="40" w:line="240" w:lineRule="auto"/>
            </w:pPr>
            <w:r>
              <w:rPr>
                <w:rFonts w:ascii="Arial" w:hAnsi="Arial"/>
                <w:b/>
                <w:color w:val="000000"/>
                <w:sz w:val="18"/>
              </w:rPr>
              <w:t>Taken</w:t>
            </w:r>
          </w:p>
        </w:tc>
        <w:tc>
          <w:tcPr>
            <w:tcW w:type="dxa" w:w="2835"/>
            <w:vAlign w:val="center"/>
            <w:shd w:fill="EAEAEA"/>
          </w:tcPr>
          <w:p>
            <w:pPr>
              <w:keepNext/>
              <w:spacing w:after="40" w:line="240" w:lineRule="auto"/>
            </w:pPr>
            <w:r>
              <w:rPr>
                <w:rFonts w:ascii="Arial" w:hAnsi="Arial"/>
                <w:b/>
                <w:color w:val="000000"/>
                <w:sz w:val="18"/>
              </w:rPr>
              <w:t>Changed or justified</w:t>
            </w:r>
          </w:p>
        </w:tc>
      </w:tr>
      <w:tr>
        <w:trPr>
          <w:cantSplit/>
        </w:trPr>
        <w:tc>
          <w:tcPr>
            <w:tcW w:type="dxa" w:w="1191"/>
            <w:vAlign w:val="center"/>
          </w:tcPr>
          <w:p>
            <w:pPr>
              <w:keepNext/>
              <w:spacing w:after="40" w:line="240" w:lineRule="auto"/>
            </w:pPr>
            <w:r>
              <w:rPr>
                <w:rFonts w:ascii="Arial" w:hAnsi="Arial"/>
                <w:color w:val="000000"/>
                <w:sz w:val="18"/>
              </w:rPr>
              <w:t>Overall design</w:t>
            </w:r>
          </w:p>
        </w:tc>
        <w:tc>
          <w:tcPr>
            <w:tcW w:type="dxa" w:w="1984"/>
            <w:vAlign w:val="center"/>
          </w:tcPr>
          <w:p>
            <w:pPr>
              <w:keepNext/>
              <w:spacing w:after="40" w:line="240" w:lineRule="auto"/>
            </w:pPr>
            <w:r>
              <w:rPr>
                <w:rFonts w:ascii="Arial" w:hAnsi="Arial"/>
                <w:color w:val="000000"/>
                <w:sz w:val="18"/>
              </w:rPr>
              <w:t>Elnaggar et al. (2025); Fu et al. (2023)</w:t>
            </w:r>
          </w:p>
        </w:tc>
        <w:tc>
          <w:tcPr>
            <w:tcW w:type="dxa" w:w="1191"/>
            <w:vAlign w:val="center"/>
          </w:tcPr>
          <w:p>
            <w:pPr>
              <w:keepNext/>
              <w:spacing w:after="40" w:line="240" w:lineRule="auto"/>
            </w:pPr>
            <w:r>
              <w:rPr>
                <w:rFonts w:ascii="Arial" w:hAnsi="Arial"/>
                <w:color w:val="000000"/>
                <w:sz w:val="18"/>
              </w:rPr>
              <w:t>Adapted</w:t>
            </w:r>
          </w:p>
        </w:tc>
        <w:tc>
          <w:tcPr>
            <w:tcW w:type="dxa" w:w="2438"/>
            <w:vAlign w:val="center"/>
          </w:tcPr>
          <w:p>
            <w:pPr>
              <w:keepNext/>
              <w:spacing w:after="40" w:line="240" w:lineRule="auto"/>
            </w:pPr>
            <w:r>
              <w:rPr>
                <w:rFonts w:ascii="Arial" w:hAnsi="Arial"/>
                <w:color w:val="000000"/>
                <w:sz w:val="18"/>
              </w:rPr>
              <w:t>Repeated route/time observations; common OD comparisons</w:t>
            </w:r>
          </w:p>
        </w:tc>
        <w:tc>
          <w:tcPr>
            <w:tcW w:type="dxa" w:w="2835"/>
            <w:vAlign w:val="center"/>
          </w:tcPr>
          <w:p>
            <w:pPr>
              <w:keepNext/>
              <w:spacing w:after="40" w:line="240" w:lineRule="auto"/>
            </w:pPr>
            <w:r>
              <w:rPr>
                <w:rFonts w:ascii="Arial" w:hAnsi="Arial"/>
                <w:color w:val="000000"/>
                <w:sz w:val="18"/>
              </w:rPr>
              <w:t>Astana cases; explicit disagreement target; ORS-only pilot</w:t>
            </w:r>
          </w:p>
        </w:tc>
      </w:tr>
      <w:tr>
        <w:trPr>
          <w:cantSplit/>
        </w:trPr>
        <w:tc>
          <w:tcPr>
            <w:tcW w:type="dxa" w:w="1191"/>
            <w:vAlign w:val="center"/>
          </w:tcPr>
          <w:p>
            <w:pPr>
              <w:keepNext/>
              <w:spacing w:after="40" w:line="240" w:lineRule="auto"/>
            </w:pPr>
            <w:r>
              <w:rPr>
                <w:rFonts w:ascii="Arial" w:hAnsi="Arial"/>
                <w:color w:val="000000"/>
                <w:sz w:val="18"/>
              </w:rPr>
              <w:t>Sampling</w:t>
            </w:r>
          </w:p>
        </w:tc>
        <w:tc>
          <w:tcPr>
            <w:tcW w:type="dxa" w:w="1984"/>
            <w:vAlign w:val="center"/>
          </w:tcPr>
          <w:p>
            <w:pPr>
              <w:keepNext/>
              <w:spacing w:after="40" w:line="240" w:lineRule="auto"/>
            </w:pPr>
            <w:r>
              <w:rPr>
                <w:rFonts w:ascii="Arial" w:hAnsi="Arial"/>
                <w:color w:val="000000"/>
                <w:sz w:val="18"/>
              </w:rPr>
              <w:t>Elnaggar et al. (2025)</w:t>
            </w:r>
          </w:p>
        </w:tc>
        <w:tc>
          <w:tcPr>
            <w:tcW w:type="dxa" w:w="1191"/>
            <w:vAlign w:val="center"/>
          </w:tcPr>
          <w:p>
            <w:pPr>
              <w:keepNext/>
              <w:spacing w:after="40" w:line="240" w:lineRule="auto"/>
            </w:pPr>
            <w:r>
              <w:rPr>
                <w:rFonts w:ascii="Arial" w:hAnsi="Arial"/>
                <w:color w:val="000000"/>
                <w:sz w:val="18"/>
              </w:rPr>
              <w:t>Adapted</w:t>
            </w:r>
          </w:p>
        </w:tc>
        <w:tc>
          <w:tcPr>
            <w:tcW w:type="dxa" w:w="2438"/>
            <w:vAlign w:val="center"/>
          </w:tcPr>
          <w:p>
            <w:pPr>
              <w:keepNext/>
              <w:spacing w:after="40" w:line="240" w:lineRule="auto"/>
            </w:pPr>
            <w:r>
              <w:rPr>
                <w:rFonts w:ascii="Arial" w:hAnsi="Arial"/>
                <w:color w:val="000000"/>
                <w:sz w:val="18"/>
              </w:rPr>
              <w:t>Defined urban corridors and departure periods</w:t>
            </w:r>
          </w:p>
        </w:tc>
        <w:tc>
          <w:tcPr>
            <w:tcW w:type="dxa" w:w="2835"/>
            <w:vAlign w:val="center"/>
          </w:tcPr>
          <w:p>
            <w:pPr>
              <w:keepNext/>
              <w:spacing w:after="40" w:line="240" w:lineRule="auto"/>
            </w:pPr>
            <w:r>
              <w:rPr>
                <w:rFonts w:ascii="Arial" w:hAnsi="Arial"/>
                <w:color w:val="000000"/>
                <w:sz w:val="18"/>
              </w:rPr>
              <w:t>Public endpoints; rotating bounded schedule</w:t>
            </w:r>
          </w:p>
        </w:tc>
      </w:tr>
      <w:tr>
        <w:trPr>
          <w:cantSplit/>
        </w:trPr>
        <w:tc>
          <w:tcPr>
            <w:tcW w:type="dxa" w:w="1191"/>
            <w:vAlign w:val="center"/>
          </w:tcPr>
          <w:p>
            <w:pPr>
              <w:keepNext/>
              <w:spacing w:after="40" w:line="240" w:lineRule="auto"/>
            </w:pPr>
            <w:r>
              <w:rPr>
                <w:rFonts w:ascii="Arial" w:hAnsi="Arial"/>
                <w:color w:val="000000"/>
                <w:sz w:val="18"/>
              </w:rPr>
              <w:t>Instrument</w:t>
            </w:r>
          </w:p>
        </w:tc>
        <w:tc>
          <w:tcPr>
            <w:tcW w:type="dxa" w:w="1984"/>
            <w:vAlign w:val="center"/>
          </w:tcPr>
          <w:p>
            <w:pPr>
              <w:keepNext/>
              <w:spacing w:after="40" w:line="240" w:lineRule="auto"/>
            </w:pPr>
            <w:r>
              <w:rPr>
                <w:rFonts w:ascii="Arial" w:hAnsi="Arial"/>
                <w:color w:val="000000"/>
                <w:sz w:val="18"/>
              </w:rPr>
              <w:t>Team; informed by Fu et al. (2023)</w:t>
            </w:r>
          </w:p>
        </w:tc>
        <w:tc>
          <w:tcPr>
            <w:tcW w:type="dxa" w:w="1191"/>
            <w:vAlign w:val="center"/>
          </w:tcPr>
          <w:p>
            <w:pPr>
              <w:keepNext/>
              <w:spacing w:after="40" w:line="240" w:lineRule="auto"/>
            </w:pPr>
            <w:r>
              <w:rPr>
                <w:rFonts w:ascii="Arial" w:hAnsi="Arial"/>
                <w:color w:val="000000"/>
                <w:sz w:val="18"/>
              </w:rPr>
              <w:t>Self-developed</w:t>
            </w:r>
          </w:p>
        </w:tc>
        <w:tc>
          <w:tcPr>
            <w:tcW w:type="dxa" w:w="2438"/>
            <w:vAlign w:val="center"/>
          </w:tcPr>
          <w:p>
            <w:pPr>
              <w:keepNext/>
              <w:spacing w:after="40" w:line="240" w:lineRule="auto"/>
            </w:pPr>
            <w:r>
              <w:rPr>
                <w:rFonts w:ascii="Arial" w:hAnsi="Arial"/>
                <w:color w:val="000000"/>
                <w:sz w:val="18"/>
              </w:rPr>
              <w:t>Programmatic route estimates</w:t>
            </w:r>
          </w:p>
        </w:tc>
        <w:tc>
          <w:tcPr>
            <w:tcW w:type="dxa" w:w="2835"/>
            <w:vAlign w:val="center"/>
          </w:tcPr>
          <w:p>
            <w:pPr>
              <w:keepNext/>
              <w:spacing w:after="40" w:line="240" w:lineRule="auto"/>
            </w:pPr>
            <w:r>
              <w:rPr>
                <w:rFonts w:ascii="Arial" w:hAnsi="Arial"/>
                <w:color w:val="000000"/>
                <w:sz w:val="18"/>
              </w:rPr>
              <w:t>Schema audit, failures, quotas and publication gate</w:t>
            </w:r>
          </w:p>
        </w:tc>
      </w:tr>
      <w:tr>
        <w:trPr>
          <w:cantSplit/>
        </w:trPr>
        <w:tc>
          <w:tcPr>
            <w:tcW w:type="dxa" w:w="1191"/>
            <w:vAlign w:val="center"/>
          </w:tcPr>
          <w:p>
            <w:pPr>
              <w:keepNext/>
              <w:spacing w:after="40" w:line="240" w:lineRule="auto"/>
            </w:pPr>
            <w:r>
              <w:rPr>
                <w:rFonts w:ascii="Arial" w:hAnsi="Arial"/>
                <w:color w:val="000000"/>
                <w:sz w:val="18"/>
              </w:rPr>
              <w:t>Scales or items</w:t>
            </w:r>
          </w:p>
        </w:tc>
        <w:tc>
          <w:tcPr>
            <w:tcW w:type="dxa" w:w="1984"/>
            <w:vAlign w:val="center"/>
          </w:tcPr>
          <w:p>
            <w:pPr>
              <w:keepNext/>
              <w:spacing w:after="40" w:line="240" w:lineRule="auto"/>
            </w:pPr>
            <w:r>
              <w:rPr>
                <w:rFonts w:ascii="Arial" w:hAnsi="Arial"/>
                <w:color w:val="000000"/>
                <w:sz w:val="18"/>
              </w:rPr>
              <w:t>Not applicable</w:t>
            </w:r>
          </w:p>
        </w:tc>
        <w:tc>
          <w:tcPr>
            <w:tcW w:type="dxa" w:w="1191"/>
            <w:vAlign w:val="center"/>
          </w:tcPr>
          <w:p>
            <w:pPr>
              <w:keepNext/>
              <w:spacing w:after="40" w:line="240" w:lineRule="auto"/>
            </w:pPr>
            <w:r>
              <w:rPr>
                <w:rFonts w:ascii="Arial" w:hAnsi="Arial"/>
                <w:color w:val="000000"/>
                <w:sz w:val="18"/>
              </w:rPr>
              <w:t>Not applicable</w:t>
            </w:r>
          </w:p>
        </w:tc>
        <w:tc>
          <w:tcPr>
            <w:tcW w:type="dxa" w:w="2438"/>
            <w:vAlign w:val="center"/>
          </w:tcPr>
          <w:p>
            <w:pPr>
              <w:keepNext/>
              <w:spacing w:after="40" w:line="240" w:lineRule="auto"/>
            </w:pPr>
            <w:r>
              <w:rPr>
                <w:rFonts w:ascii="Arial" w:hAnsi="Arial"/>
                <w:color w:val="000000"/>
                <w:sz w:val="18"/>
              </w:rPr>
              <w:t>No questionnaire or psychometric scale</w:t>
            </w:r>
          </w:p>
        </w:tc>
        <w:tc>
          <w:tcPr>
            <w:tcW w:type="dxa" w:w="2835"/>
            <w:vAlign w:val="center"/>
          </w:tcPr>
          <w:p>
            <w:pPr>
              <w:keepNext/>
              <w:spacing w:after="40" w:line="240" w:lineRule="auto"/>
            </w:pPr>
            <w:r>
              <w:rPr>
                <w:rFonts w:ascii="Arial" w:hAnsi="Arial"/>
                <w:color w:val="000000"/>
                <w:sz w:val="18"/>
              </w:rPr>
              <w:t>Numerical measures operationalized in Segment 1</w:t>
            </w:r>
          </w:p>
        </w:tc>
      </w:tr>
      <w:tr>
        <w:trPr>
          <w:cantSplit/>
        </w:trPr>
        <w:tc>
          <w:tcPr>
            <w:tcW w:type="dxa" w:w="1191"/>
            <w:vAlign w:val="center"/>
          </w:tcPr>
          <w:p>
            <w:pPr>
              <w:keepNext/>
              <w:spacing w:after="40" w:line="240" w:lineRule="auto"/>
            </w:pPr>
            <w:r>
              <w:rPr>
                <w:rFonts w:ascii="Arial" w:hAnsi="Arial"/>
                <w:color w:val="000000"/>
                <w:sz w:val="18"/>
              </w:rPr>
              <w:t>Metrics</w:t>
            </w:r>
          </w:p>
        </w:tc>
        <w:tc>
          <w:tcPr>
            <w:tcW w:type="dxa" w:w="1984"/>
            <w:vAlign w:val="center"/>
          </w:tcPr>
          <w:p>
            <w:pPr>
              <w:keepNext/>
              <w:spacing w:after="40" w:line="240" w:lineRule="auto"/>
            </w:pPr>
            <w:r>
              <w:rPr>
                <w:rFonts w:ascii="Arial" w:hAnsi="Arial"/>
                <w:color w:val="000000"/>
                <w:sz w:val="18"/>
              </w:rPr>
              <w:t>Hodson (2022)</w:t>
            </w:r>
          </w:p>
        </w:tc>
        <w:tc>
          <w:tcPr>
            <w:tcW w:type="dxa" w:w="1191"/>
            <w:vAlign w:val="center"/>
          </w:tcPr>
          <w:p>
            <w:pPr>
              <w:keepNext/>
              <w:spacing w:after="40" w:line="240" w:lineRule="auto"/>
            </w:pPr>
            <w:r>
              <w:rPr>
                <w:rFonts w:ascii="Arial" w:hAnsi="Arial"/>
                <w:color w:val="000000"/>
                <w:sz w:val="18"/>
              </w:rPr>
              <w:t>Adapted</w:t>
            </w:r>
          </w:p>
        </w:tc>
        <w:tc>
          <w:tcPr>
            <w:tcW w:type="dxa" w:w="2438"/>
            <w:vAlign w:val="center"/>
          </w:tcPr>
          <w:p>
            <w:pPr>
              <w:keepNext/>
              <w:spacing w:after="40" w:line="240" w:lineRule="auto"/>
            </w:pPr>
            <w:r>
              <w:rPr>
                <w:rFonts w:ascii="Arial" w:hAnsi="Arial"/>
                <w:color w:val="000000"/>
                <w:sz w:val="18"/>
              </w:rPr>
              <w:t>Absolute and squared difference summaries</w:t>
            </w:r>
          </w:p>
        </w:tc>
        <w:tc>
          <w:tcPr>
            <w:tcW w:type="dxa" w:w="2835"/>
            <w:vAlign w:val="center"/>
          </w:tcPr>
          <w:p>
            <w:pPr>
              <w:keepNext/>
              <w:spacing w:after="40" w:line="240" w:lineRule="auto"/>
            </w:pPr>
            <w:r>
              <w:rPr>
                <w:rFonts w:ascii="Arial" w:hAnsi="Arial"/>
                <w:color w:val="000000"/>
                <w:sz w:val="18"/>
              </w:rPr>
              <w:t>Agreement interpretation; neither provider is truth</w:t>
            </w:r>
          </w:p>
        </w:tc>
      </w:tr>
      <w:tr>
        <w:trPr>
          <w:cantSplit/>
        </w:trPr>
        <w:tc>
          <w:tcPr>
            <w:tcW w:type="dxa" w:w="1191"/>
            <w:vAlign w:val="center"/>
          </w:tcPr>
          <w:p>
            <w:pPr>
              <w:keepNext w:val="0"/>
              <w:spacing w:after="40" w:line="240" w:lineRule="auto"/>
            </w:pPr>
            <w:r>
              <w:rPr>
                <w:rFonts w:ascii="Arial" w:hAnsi="Arial"/>
                <w:color w:val="000000"/>
                <w:sz w:val="18"/>
              </w:rPr>
              <w:t>Dataset</w:t>
            </w:r>
          </w:p>
        </w:tc>
        <w:tc>
          <w:tcPr>
            <w:tcW w:type="dxa" w:w="1984"/>
            <w:vAlign w:val="center"/>
          </w:tcPr>
          <w:p>
            <w:pPr>
              <w:keepNext w:val="0"/>
              <w:spacing w:after="40" w:line="240" w:lineRule="auto"/>
            </w:pPr>
            <w:r>
              <w:rPr>
                <w:rFonts w:ascii="Arial" w:hAnsi="Arial"/>
                <w:color w:val="000000"/>
                <w:sz w:val="18"/>
              </w:rPr>
              <w:t>Team collection</w:t>
            </w:r>
          </w:p>
        </w:tc>
        <w:tc>
          <w:tcPr>
            <w:tcW w:type="dxa" w:w="1191"/>
            <w:vAlign w:val="center"/>
          </w:tcPr>
          <w:p>
            <w:pPr>
              <w:keepNext w:val="0"/>
              <w:spacing w:after="40" w:line="240" w:lineRule="auto"/>
            </w:pPr>
            <w:r>
              <w:rPr>
                <w:rFonts w:ascii="Arial" w:hAnsi="Arial"/>
                <w:color w:val="000000"/>
                <w:sz w:val="18"/>
              </w:rPr>
              <w:t>Self-developed</w:t>
            </w:r>
          </w:p>
        </w:tc>
        <w:tc>
          <w:tcPr>
            <w:tcW w:type="dxa" w:w="2438"/>
            <w:vAlign w:val="center"/>
          </w:tcPr>
          <w:p>
            <w:pPr>
              <w:keepNext w:val="0"/>
              <w:spacing w:after="40" w:line="240" w:lineRule="auto"/>
            </w:pPr>
            <w:r>
              <w:rPr>
                <w:rFonts w:ascii="Arial" w:hAnsi="Arial"/>
                <w:color w:val="000000"/>
                <w:sz w:val="18"/>
              </w:rPr>
              <w:t>No published dataset copied</w:t>
            </w:r>
          </w:p>
        </w:tc>
        <w:tc>
          <w:tcPr>
            <w:tcW w:type="dxa" w:w="2835"/>
            <w:vAlign w:val="center"/>
          </w:tcPr>
          <w:p>
            <w:pPr>
              <w:keepNext w:val="0"/>
              <w:spacing w:after="40" w:line="240" w:lineRule="auto"/>
            </w:pPr>
            <w:r>
              <w:rPr>
                <w:rFonts w:ascii="Arial" w:hAnsi="Arial"/>
                <w:color w:val="000000"/>
                <w:sz w:val="18"/>
              </w:rPr>
              <w:t>Public-coordinate ORS estimates with recorded provenance</w:t>
            </w:r>
          </w:p>
        </w:tc>
      </w:tr>
    </w:tbl>
    <w:p>
      <w:pPr>
        <w:spacing w:after="20"/>
      </w:pPr>
    </w:p>
    <w:p>
      <w:pPr>
        <w:pStyle w:val="Heading2"/>
      </w:pPr>
      <w:r>
        <w:t>T2 Replication status</w:t>
      </w:r>
    </w:p>
    <w:p>
      <w:pPr>
        <w:widowControl/>
      </w:pPr>
      <w:r>
        <w:rPr>
          <w:rFonts w:ascii="Arial" w:hAnsi="Arial"/>
          <w:color w:val="000000"/>
        </w:rPr>
        <w:t>This is an original study informed by earlier methods, rather than a full or partial replication of one published protocol. The team combines its question, route set, collection controls and evidence pipeline. No paper supplies an exact template whose result is being reproduced. Derrow-Pinion et al. (2021) and Soon et al. (2023) provide forecasting context, not evidence that the reviewed providers deploy identical algorithms. The ten-paper Assignment 2 corpus is retained so that design provenance remains traceable without claiming implementation details that those sources do not establish.</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928"/>
        <w:gridCol w:w="7710"/>
      </w:tblGrid>
      <w:tr>
        <w:trPr>
          <w:tblHeader/>
          <w:cantSplit/>
        </w:trPr>
        <w:tc>
          <w:tcPr>
            <w:tcW w:type="dxa" w:w="1928"/>
            <w:vAlign w:val="center"/>
            <w:shd w:fill="EAEAEA"/>
          </w:tcPr>
          <w:p>
            <w:pPr>
              <w:keepNext/>
              <w:spacing w:after="40" w:line="240" w:lineRule="auto"/>
            </w:pPr>
            <w:r>
              <w:rPr>
                <w:rFonts w:ascii="Arial" w:hAnsi="Arial"/>
                <w:b/>
                <w:color w:val="000000"/>
                <w:sz w:val="18"/>
              </w:rPr>
              <w:t>Declaration</w:t>
            </w:r>
          </w:p>
        </w:tc>
        <w:tc>
          <w:tcPr>
            <w:tcW w:type="dxa" w:w="7710"/>
            <w:vAlign w:val="center"/>
            <w:shd w:fill="EAEAEA"/>
          </w:tcPr>
          <w:p>
            <w:pPr>
              <w:keepNext/>
              <w:spacing w:after="40" w:line="240" w:lineRule="auto"/>
            </w:pPr>
            <w:r>
              <w:rPr>
                <w:rFonts w:ascii="Arial" w:hAnsi="Arial"/>
                <w:b/>
                <w:color w:val="000000"/>
                <w:sz w:val="18"/>
              </w:rPr>
              <w:t>What was developed</w:t>
            </w:r>
          </w:p>
        </w:tc>
      </w:tr>
      <w:tr>
        <w:trPr>
          <w:cantSplit/>
        </w:trPr>
        <w:tc>
          <w:tcPr>
            <w:tcW w:type="dxa" w:w="1928"/>
            <w:vAlign w:val="center"/>
          </w:tcPr>
          <w:p>
            <w:pPr>
              <w:keepNext w:val="0"/>
              <w:spacing w:after="40" w:line="240" w:lineRule="auto"/>
            </w:pPr>
            <w:r>
              <w:rPr>
                <w:rFonts w:ascii="Arial" w:hAnsi="Arial"/>
                <w:color w:val="000000"/>
                <w:sz w:val="18"/>
              </w:rPr>
              <w:t>Original study</w:t>
            </w:r>
          </w:p>
        </w:tc>
        <w:tc>
          <w:tcPr>
            <w:tcW w:type="dxa" w:w="7710"/>
            <w:vAlign w:val="center"/>
          </w:tcPr>
          <w:p>
            <w:pPr>
              <w:keepNext w:val="0"/>
              <w:spacing w:after="40" w:line="240" w:lineRule="auto"/>
            </w:pPr>
            <w:r>
              <w:rPr>
                <w:rFonts w:ascii="Arial" w:hAnsi="Arial"/>
                <w:color w:val="000000"/>
                <w:sz w:val="18"/>
              </w:rPr>
              <w:t>Astana question, purposive sample, auditable collection instrument and descriptive analysis. No single published study was used as the replication template.</w:t>
            </w:r>
          </w:p>
        </w:tc>
      </w:tr>
    </w:tbl>
    <w:p>
      <w:pPr>
        <w:spacing w:after="20"/>
      </w:pPr>
    </w:p>
    <w:p>
      <w:pPr>
        <w:pStyle w:val="Heading2"/>
      </w:pPr>
      <w:r>
        <w:t>T3 Your research is original study</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438"/>
        <w:gridCol w:w="7200"/>
      </w:tblGrid>
      <w:tr>
        <w:trPr>
          <w:tblHeader/>
          <w:cantSplit/>
        </w:trPr>
        <w:tc>
          <w:tcPr>
            <w:tcW w:type="dxa" w:w="2438"/>
            <w:vAlign w:val="center"/>
            <w:shd w:fill="EAEAEA"/>
          </w:tcPr>
          <w:p>
            <w:pPr>
              <w:keepNext/>
              <w:spacing w:after="40" w:line="240" w:lineRule="auto"/>
            </w:pPr>
            <w:r>
              <w:rPr>
                <w:rFonts w:ascii="Arial" w:hAnsi="Arial"/>
                <w:b/>
                <w:color w:val="000000"/>
                <w:sz w:val="18"/>
              </w:rPr>
              <w:t>Element</w:t>
            </w:r>
          </w:p>
        </w:tc>
        <w:tc>
          <w:tcPr>
            <w:tcW w:type="dxa" w:w="7200"/>
            <w:vAlign w:val="center"/>
            <w:shd w:fill="EAEAEA"/>
          </w:tcPr>
          <w:p>
            <w:pPr>
              <w:keepNext/>
              <w:spacing w:after="40" w:line="240" w:lineRule="auto"/>
            </w:pPr>
            <w:r>
              <w:rPr>
                <w:rFonts w:ascii="Arial" w:hAnsi="Arial"/>
                <w:b/>
                <w:color w:val="000000"/>
                <w:sz w:val="18"/>
              </w:rPr>
              <w:t>Entry</w:t>
            </w:r>
          </w:p>
        </w:tc>
      </w:tr>
      <w:tr>
        <w:trPr>
          <w:cantSplit/>
        </w:trPr>
        <w:tc>
          <w:tcPr>
            <w:tcW w:type="dxa" w:w="2438"/>
            <w:vAlign w:val="center"/>
          </w:tcPr>
          <w:p>
            <w:pPr>
              <w:keepNext/>
              <w:spacing w:after="40" w:line="240" w:lineRule="auto"/>
            </w:pPr>
            <w:r>
              <w:rPr>
                <w:rFonts w:ascii="Arial" w:hAnsi="Arial"/>
                <w:color w:val="000000"/>
                <w:sz w:val="18"/>
              </w:rPr>
              <w:t>Question or hypothesis</w:t>
            </w:r>
          </w:p>
        </w:tc>
        <w:tc>
          <w:tcPr>
            <w:tcW w:type="dxa" w:w="7200"/>
            <w:vAlign w:val="center"/>
          </w:tcPr>
          <w:p>
            <w:pPr>
              <w:keepNext/>
              <w:spacing w:after="40" w:line="240" w:lineRule="auto"/>
            </w:pPr>
            <w:r>
              <w:rPr>
                <w:rFonts w:ascii="Arial" w:hAnsi="Arial"/>
                <w:color w:val="000000"/>
                <w:sz w:val="18"/>
              </w:rPr>
              <w:t>How do Google traffic-aware travel-time estimates differ from ORS control estimates on fixed Astana routes during peak and off-peak periods?</w:t>
              <w:br/>
              <w:t>Descriptive expectation: Peak-window median absolute Google-ORS disagreement will exceed off-peak-window median absolute disagreement. The earlier 1.5 ratio is retained as a prospective descriptive reference, not a revised original ER.</w:t>
            </w:r>
          </w:p>
        </w:tc>
      </w:tr>
      <w:tr>
        <w:trPr>
          <w:cantSplit/>
        </w:trPr>
        <w:tc>
          <w:tcPr>
            <w:tcW w:type="dxa" w:w="2438"/>
            <w:vAlign w:val="center"/>
          </w:tcPr>
          <w:p>
            <w:pPr>
              <w:keepNext/>
              <w:spacing w:after="40" w:line="240" w:lineRule="auto"/>
            </w:pPr>
            <w:r>
              <w:rPr>
                <w:rFonts w:ascii="Arial" w:hAnsi="Arial"/>
                <w:color w:val="000000"/>
                <w:sz w:val="18"/>
              </w:rPr>
              <w:t>Methodology and design</w:t>
            </w:r>
          </w:p>
        </w:tc>
        <w:tc>
          <w:tcPr>
            <w:tcW w:type="dxa" w:w="7200"/>
            <w:vAlign w:val="center"/>
          </w:tcPr>
          <w:p>
            <w:pPr>
              <w:keepNext/>
              <w:spacing w:after="40" w:line="240" w:lineRule="auto"/>
            </w:pPr>
            <w:r>
              <w:rPr>
                <w:rFonts w:ascii="Arial" w:hAnsi="Arial"/>
                <w:color w:val="000000"/>
                <w:sz w:val="18"/>
              </w:rPr>
              <w:t>Observational repeated secondary-data comparison; ORS instrument pilot executed; separate bounded Google–ORS exploratory test</w:t>
            </w:r>
          </w:p>
        </w:tc>
      </w:tr>
      <w:tr>
        <w:trPr>
          <w:cantSplit/>
        </w:trPr>
        <w:tc>
          <w:tcPr>
            <w:tcW w:type="dxa" w:w="2438"/>
            <w:vAlign w:val="center"/>
          </w:tcPr>
          <w:p>
            <w:pPr>
              <w:keepNext/>
              <w:spacing w:after="40" w:line="240" w:lineRule="auto"/>
            </w:pPr>
            <w:r>
              <w:rPr>
                <w:rFonts w:ascii="Arial" w:hAnsi="Arial"/>
                <w:color w:val="000000"/>
                <w:sz w:val="18"/>
              </w:rPr>
              <w:t>Population, sample and size</w:t>
            </w:r>
          </w:p>
        </w:tc>
        <w:tc>
          <w:tcPr>
            <w:tcW w:type="dxa" w:w="7200"/>
            <w:vAlign w:val="center"/>
          </w:tcPr>
          <w:p>
            <w:pPr>
              <w:keepNext/>
              <w:spacing w:after="40" w:line="240" w:lineRule="auto"/>
            </w:pPr>
            <w:r>
              <w:rPr>
                <w:rFonts w:ascii="Arial" w:hAnsi="Arial"/>
                <w:color w:val="000000"/>
                <w:sz w:val="18"/>
              </w:rPr>
              <w:t>20 fixed Astana OD routes; 68 unique ORS requests at snapshot; 20 separate exploratory pairs</w:t>
            </w:r>
          </w:p>
        </w:tc>
      </w:tr>
      <w:tr>
        <w:trPr>
          <w:cantSplit/>
        </w:trPr>
        <w:tc>
          <w:tcPr>
            <w:tcW w:type="dxa" w:w="2438"/>
            <w:vAlign w:val="center"/>
          </w:tcPr>
          <w:p>
            <w:pPr>
              <w:keepNext/>
              <w:spacing w:after="40" w:line="240" w:lineRule="auto"/>
            </w:pPr>
            <w:r>
              <w:rPr>
                <w:rFonts w:ascii="Arial" w:hAnsi="Arial"/>
                <w:color w:val="000000"/>
                <w:sz w:val="18"/>
              </w:rPr>
              <w:t>Instrument</w:t>
            </w:r>
          </w:p>
        </w:tc>
        <w:tc>
          <w:tcPr>
            <w:tcW w:type="dxa" w:w="7200"/>
            <w:vAlign w:val="center"/>
          </w:tcPr>
          <w:p>
            <w:pPr>
              <w:keepNext/>
              <w:spacing w:after="40" w:line="240" w:lineRule="auto"/>
            </w:pPr>
            <w:r>
              <w:rPr>
                <w:rFonts w:ascii="Arial" w:hAnsi="Arial"/>
                <w:color w:val="000000"/>
                <w:sz w:val="18"/>
              </w:rPr>
              <w:t>Versioned collector, route CSV, configuration and raw request records</w:t>
            </w:r>
          </w:p>
        </w:tc>
      </w:tr>
      <w:tr>
        <w:trPr>
          <w:cantSplit/>
        </w:trPr>
        <w:tc>
          <w:tcPr>
            <w:tcW w:type="dxa" w:w="2438"/>
            <w:vAlign w:val="center"/>
          </w:tcPr>
          <w:p>
            <w:pPr>
              <w:keepNext/>
              <w:spacing w:after="40" w:line="240" w:lineRule="auto"/>
            </w:pPr>
            <w:r>
              <w:rPr>
                <w:rFonts w:ascii="Arial" w:hAnsi="Arial"/>
                <w:color w:val="000000"/>
                <w:sz w:val="18"/>
              </w:rPr>
              <w:t>Technical procedure</w:t>
            </w:r>
          </w:p>
        </w:tc>
        <w:tc>
          <w:tcPr>
            <w:tcW w:type="dxa" w:w="7200"/>
            <w:vAlign w:val="center"/>
          </w:tcPr>
          <w:p>
            <w:pPr>
              <w:keepNext/>
              <w:spacing w:after="40" w:line="240" w:lineRule="auto"/>
            </w:pPr>
            <w:r>
              <w:rPr>
                <w:rFonts w:ascii="Arial" w:hAnsi="Arial"/>
                <w:color w:val="000000"/>
                <w:sz w:val="18"/>
              </w:rPr>
              <w:t>HTTP requests with timeout and no redirects; recorded errors; immutable licensed raw inputs</w:t>
            </w:r>
          </w:p>
        </w:tc>
      </w:tr>
      <w:tr>
        <w:trPr>
          <w:cantSplit/>
        </w:trPr>
        <w:tc>
          <w:tcPr>
            <w:tcW w:type="dxa" w:w="2438"/>
            <w:vAlign w:val="center"/>
          </w:tcPr>
          <w:p>
            <w:pPr>
              <w:keepNext/>
              <w:spacing w:after="40" w:line="240" w:lineRule="auto"/>
            </w:pPr>
            <w:r>
              <w:rPr>
                <w:rFonts w:ascii="Arial" w:hAnsi="Arial"/>
                <w:color w:val="000000"/>
                <w:sz w:val="18"/>
              </w:rPr>
              <w:t>Analysis</w:t>
            </w:r>
          </w:p>
        </w:tc>
        <w:tc>
          <w:tcPr>
            <w:tcW w:type="dxa" w:w="7200"/>
            <w:vAlign w:val="center"/>
          </w:tcPr>
          <w:p>
            <w:pPr>
              <w:keepNext/>
              <w:spacing w:after="40" w:line="240" w:lineRule="auto"/>
            </w:pPr>
            <w:r>
              <w:rPr>
                <w:rFonts w:ascii="Arial" w:hAnsi="Arial"/>
                <w:color w:val="000000"/>
                <w:sz w:val="18"/>
              </w:rPr>
              <w:t>ORS validation and missingness; descriptive per-window Google–ORS aggregate comparisons; no route/day inference from aggregate-only results</w:t>
            </w:r>
          </w:p>
        </w:tc>
      </w:tr>
      <w:tr>
        <w:trPr>
          <w:cantSplit/>
        </w:trPr>
        <w:tc>
          <w:tcPr>
            <w:tcW w:type="dxa" w:w="2438"/>
            <w:vAlign w:val="center"/>
          </w:tcPr>
          <w:p>
            <w:pPr>
              <w:keepNext w:val="0"/>
              <w:spacing w:after="40" w:line="240" w:lineRule="auto"/>
            </w:pPr>
            <w:r>
              <w:rPr>
                <w:rFonts w:ascii="Arial" w:hAnsi="Arial"/>
                <w:color w:val="000000"/>
                <w:sz w:val="18"/>
              </w:rPr>
              <w:t>Main reported result</w:t>
            </w:r>
          </w:p>
        </w:tc>
        <w:tc>
          <w:tcPr>
            <w:tcW w:type="dxa" w:w="7200"/>
            <w:vAlign w:val="center"/>
          </w:tcPr>
          <w:p>
            <w:pPr>
              <w:keepNext w:val="0"/>
              <w:spacing w:after="40" w:line="240" w:lineRule="auto"/>
            </w:pPr>
            <w:r>
              <w:rPr>
                <w:rFonts w:ascii="Arial" w:hAnsi="Arial"/>
                <w:color w:val="000000"/>
                <w:sz w:val="18"/>
              </w:rPr>
              <w:t>68 usable ORS observations; initial TomTom–2GIS comparison not performed; separate exploratory aggregate disagreement reported in Segment 1 T7</w:t>
            </w:r>
          </w:p>
        </w:tc>
      </w:tr>
    </w:tbl>
    <w:p>
      <w:pPr>
        <w:spacing w:after="20"/>
      </w:pPr>
    </w:p>
    <w:p>
      <w:pPr>
        <w:pStyle w:val="Heading2"/>
      </w:pPr>
      <w:r>
        <w:t>T4 Your research is partial replication</w:t>
      </w:r>
    </w:p>
    <w:p>
      <w:pPr>
        <w:widowControl/>
      </w:pPr>
      <w:r>
        <w:rPr>
          <w:rFonts w:ascii="Arial" w:hAnsi="Arial"/>
          <w:color w:val="000000"/>
        </w:rPr>
        <w:t>Not applicable. No partial-replication claim is made; adaptations are declared in the provenance table.</w:t>
      </w:r>
    </w:p>
    <w:p>
      <w:pPr>
        <w:pStyle w:val="Heading1"/>
      </w:pPr>
      <w:r>
        <w:t>Segment 3. Research Evidence</w:t>
      </w:r>
    </w:p>
    <w:p>
      <w:pPr>
        <w:pStyle w:val="Heading2"/>
      </w:pPr>
      <w:r>
        <w:t>T1 Instrument register</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304"/>
        <w:gridCol w:w="1304"/>
        <w:gridCol w:w="2324"/>
        <w:gridCol w:w="4706"/>
      </w:tblGrid>
      <w:tr>
        <w:trPr>
          <w:tblHeader/>
          <w:cantSplit/>
        </w:trPr>
        <w:tc>
          <w:tcPr>
            <w:tcW w:type="dxa" w:w="1304"/>
            <w:vAlign w:val="center"/>
            <w:shd w:fill="EAEAEA"/>
          </w:tcPr>
          <w:p>
            <w:pPr>
              <w:keepNext/>
              <w:spacing w:after="40" w:line="240" w:lineRule="auto"/>
            </w:pPr>
            <w:r>
              <w:rPr>
                <w:rFonts w:ascii="Arial" w:hAnsi="Arial"/>
                <w:b/>
                <w:color w:val="000000"/>
                <w:sz w:val="18"/>
              </w:rPr>
              <w:t>Instrument</w:t>
            </w:r>
          </w:p>
        </w:tc>
        <w:tc>
          <w:tcPr>
            <w:tcW w:type="dxa" w:w="1304"/>
            <w:vAlign w:val="center"/>
            <w:shd w:fill="EAEAEA"/>
          </w:tcPr>
          <w:p>
            <w:pPr>
              <w:keepNext/>
              <w:spacing w:after="40" w:line="240" w:lineRule="auto"/>
            </w:pPr>
            <w:r>
              <w:rPr>
                <w:rFonts w:ascii="Arial" w:hAnsi="Arial"/>
                <w:b/>
                <w:color w:val="000000"/>
                <w:sz w:val="18"/>
              </w:rPr>
              <w:t>Platform</w:t>
            </w:r>
          </w:p>
        </w:tc>
        <w:tc>
          <w:tcPr>
            <w:tcW w:type="dxa" w:w="2324"/>
            <w:vAlign w:val="center"/>
            <w:shd w:fill="EAEAEA"/>
          </w:tcPr>
          <w:p>
            <w:pPr>
              <w:keepNext/>
              <w:spacing w:after="40" w:line="240" w:lineRule="auto"/>
            </w:pPr>
            <w:r>
              <w:rPr>
                <w:rFonts w:ascii="Arial" w:hAnsi="Arial"/>
                <w:b/>
                <w:color w:val="000000"/>
                <w:sz w:val="18"/>
              </w:rPr>
              <w:t>Collects or defines</w:t>
            </w:r>
          </w:p>
        </w:tc>
        <w:tc>
          <w:tcPr>
            <w:tcW w:type="dxa" w:w="4706"/>
            <w:vAlign w:val="center"/>
            <w:shd w:fill="EAEAEA"/>
          </w:tcPr>
          <w:p>
            <w:pPr>
              <w:keepNext/>
              <w:spacing w:after="40" w:line="240" w:lineRule="auto"/>
            </w:pPr>
            <w:r>
              <w:rPr>
                <w:rFonts w:ascii="Arial" w:hAnsi="Arial"/>
                <w:b/>
                <w:color w:val="000000"/>
                <w:sz w:val="18"/>
              </w:rPr>
              <w:t>Public link</w:t>
            </w:r>
          </w:p>
        </w:tc>
      </w:tr>
      <w:tr>
        <w:trPr>
          <w:cantSplit/>
        </w:trPr>
        <w:tc>
          <w:tcPr>
            <w:tcW w:type="dxa" w:w="1304"/>
            <w:vAlign w:val="center"/>
          </w:tcPr>
          <w:p>
            <w:pPr>
              <w:keepNext/>
              <w:spacing w:after="40" w:line="240" w:lineRule="auto"/>
            </w:pPr>
            <w:r>
              <w:rPr>
                <w:rFonts w:ascii="Arial" w:hAnsi="Arial"/>
                <w:color w:val="000000"/>
                <w:sz w:val="18"/>
              </w:rPr>
              <w:t>ORS collector</w:t>
            </w:r>
          </w:p>
        </w:tc>
        <w:tc>
          <w:tcPr>
            <w:tcW w:type="dxa" w:w="1304"/>
            <w:vAlign w:val="center"/>
          </w:tcPr>
          <w:p>
            <w:pPr>
              <w:keepNext/>
              <w:spacing w:after="40" w:line="240" w:lineRule="auto"/>
            </w:pPr>
            <w:r>
              <w:rPr>
                <w:rFonts w:ascii="Arial" w:hAnsi="Arial"/>
                <w:color w:val="000000"/>
                <w:sz w:val="18"/>
              </w:rPr>
              <w:t>Python CLI</w:t>
            </w:r>
          </w:p>
        </w:tc>
        <w:tc>
          <w:tcPr>
            <w:tcW w:type="dxa" w:w="2324"/>
            <w:vAlign w:val="center"/>
          </w:tcPr>
          <w:p>
            <w:pPr>
              <w:keepNext/>
              <w:spacing w:after="40" w:line="240" w:lineRule="auto"/>
            </w:pPr>
            <w:r>
              <w:rPr>
                <w:rFonts w:ascii="Arial" w:hAnsi="Arial"/>
                <w:color w:val="000000"/>
                <w:sz w:val="18"/>
              </w:rPr>
              <w:t>Licensed estimates, geometry, status and timing</w:t>
            </w:r>
          </w:p>
        </w:tc>
        <w:tc>
          <w:tcPr>
            <w:tcW w:type="dxa" w:w="4706"/>
            <w:vAlign w:val="center"/>
          </w:tcPr>
          <w:p>
            <w:pPr>
              <w:keepNext/>
              <w:spacing w:after="40" w:line="240" w:lineRule="auto"/>
            </w:pPr>
            <w:hyperlink r:id="rId28">
              <w:r>
                <w:rPr>
                  <w:color w:val="174B76"/>
                  <w:sz w:val="18"/>
                </w:rPr>
                <w:t>https://github.com/SuperFlyTK/rmt-a3-travel-time-astana/blob/main/collector/collect.py</w:t>
              </w:r>
            </w:hyperlink>
          </w:p>
        </w:tc>
      </w:tr>
      <w:tr>
        <w:trPr>
          <w:cantSplit/>
        </w:trPr>
        <w:tc>
          <w:tcPr>
            <w:tcW w:type="dxa" w:w="1304"/>
            <w:vAlign w:val="center"/>
          </w:tcPr>
          <w:p>
            <w:pPr>
              <w:keepNext/>
              <w:spacing w:after="40" w:line="240" w:lineRule="auto"/>
            </w:pPr>
            <w:r>
              <w:rPr>
                <w:rFonts w:ascii="Arial" w:hAnsi="Arial"/>
                <w:color w:val="000000"/>
                <w:sz w:val="18"/>
              </w:rPr>
              <w:t>Route register</w:t>
            </w:r>
          </w:p>
        </w:tc>
        <w:tc>
          <w:tcPr>
            <w:tcW w:type="dxa" w:w="1304"/>
            <w:vAlign w:val="center"/>
          </w:tcPr>
          <w:p>
            <w:pPr>
              <w:keepNext/>
              <w:spacing w:after="40" w:line="240" w:lineRule="auto"/>
            </w:pPr>
            <w:r>
              <w:rPr>
                <w:rFonts w:ascii="Arial" w:hAnsi="Arial"/>
                <w:color w:val="000000"/>
                <w:sz w:val="18"/>
              </w:rPr>
              <w:t>CSV</w:t>
            </w:r>
          </w:p>
        </w:tc>
        <w:tc>
          <w:tcPr>
            <w:tcW w:type="dxa" w:w="2324"/>
            <w:vAlign w:val="center"/>
          </w:tcPr>
          <w:p>
            <w:pPr>
              <w:keepNext/>
              <w:spacing w:after="40" w:line="240" w:lineRule="auto"/>
            </w:pPr>
            <w:r>
              <w:rPr>
                <w:rFonts w:ascii="Arial" w:hAnsi="Arial"/>
                <w:color w:val="000000"/>
                <w:sz w:val="18"/>
              </w:rPr>
              <w:t>Fixed OD coordinates and source links</w:t>
            </w:r>
          </w:p>
        </w:tc>
        <w:tc>
          <w:tcPr>
            <w:tcW w:type="dxa" w:w="4706"/>
            <w:vAlign w:val="center"/>
          </w:tcPr>
          <w:p>
            <w:pPr>
              <w:keepNext/>
              <w:spacing w:after="40" w:line="240" w:lineRule="auto"/>
            </w:pPr>
            <w:hyperlink r:id="rId12">
              <w:r>
                <w:rPr>
                  <w:color w:val="174B76"/>
                  <w:sz w:val="18"/>
                </w:rPr>
                <w:t>https://github.com/SuperFlyTK/rmt-a3-travel-time-astana/blob/main/data/routes.csv</w:t>
              </w:r>
            </w:hyperlink>
          </w:p>
        </w:tc>
      </w:tr>
      <w:tr>
        <w:trPr>
          <w:cantSplit/>
        </w:trPr>
        <w:tc>
          <w:tcPr>
            <w:tcW w:type="dxa" w:w="1304"/>
            <w:vAlign w:val="center"/>
          </w:tcPr>
          <w:p>
            <w:pPr>
              <w:keepNext/>
              <w:spacing w:after="40" w:line="240" w:lineRule="auto"/>
            </w:pPr>
            <w:r>
              <w:rPr>
                <w:rFonts w:ascii="Arial" w:hAnsi="Arial"/>
                <w:color w:val="000000"/>
                <w:sz w:val="18"/>
              </w:rPr>
              <w:t>Scheduled workflow</w:t>
            </w:r>
          </w:p>
        </w:tc>
        <w:tc>
          <w:tcPr>
            <w:tcW w:type="dxa" w:w="1304"/>
            <w:vAlign w:val="center"/>
          </w:tcPr>
          <w:p>
            <w:pPr>
              <w:keepNext/>
              <w:spacing w:after="40" w:line="240" w:lineRule="auto"/>
            </w:pPr>
            <w:r>
              <w:rPr>
                <w:rFonts w:ascii="Arial" w:hAnsi="Arial"/>
                <w:color w:val="000000"/>
                <w:sz w:val="18"/>
              </w:rPr>
              <w:t>GitHub Actions</w:t>
            </w:r>
          </w:p>
        </w:tc>
        <w:tc>
          <w:tcPr>
            <w:tcW w:type="dxa" w:w="2324"/>
            <w:vAlign w:val="center"/>
          </w:tcPr>
          <w:p>
            <w:pPr>
              <w:keepNext/>
              <w:spacing w:after="40" w:line="240" w:lineRule="auto"/>
            </w:pPr>
            <w:r>
              <w:rPr>
                <w:rFonts w:ascii="Arial" w:hAnsi="Arial"/>
                <w:color w:val="000000"/>
                <w:sz w:val="18"/>
              </w:rPr>
              <w:t>Bounded recurring collection and logs</w:t>
            </w:r>
          </w:p>
        </w:tc>
        <w:tc>
          <w:tcPr>
            <w:tcW w:type="dxa" w:w="4706"/>
            <w:vAlign w:val="center"/>
          </w:tcPr>
          <w:p>
            <w:pPr>
              <w:keepNext/>
              <w:spacing w:after="40" w:line="240" w:lineRule="auto"/>
            </w:pPr>
            <w:hyperlink r:id="rId29">
              <w:r>
                <w:rPr>
                  <w:color w:val="174B76"/>
                  <w:sz w:val="18"/>
                </w:rPr>
                <w:t>https://github.com/SuperFlyTK/rmt-a3-travel-time-astana/tree/main/.github/workflows</w:t>
              </w:r>
            </w:hyperlink>
          </w:p>
        </w:tc>
      </w:tr>
      <w:tr>
        <w:trPr>
          <w:cantSplit/>
        </w:trPr>
        <w:tc>
          <w:tcPr>
            <w:tcW w:type="dxa" w:w="1304"/>
            <w:vAlign w:val="center"/>
          </w:tcPr>
          <w:p>
            <w:pPr>
              <w:keepNext/>
              <w:spacing w:after="40" w:line="240" w:lineRule="auto"/>
            </w:pPr>
            <w:r>
              <w:rPr>
                <w:rFonts w:ascii="Arial" w:hAnsi="Arial"/>
                <w:color w:val="000000"/>
                <w:sz w:val="18"/>
              </w:rPr>
              <w:t>Processing</w:t>
            </w:r>
          </w:p>
        </w:tc>
        <w:tc>
          <w:tcPr>
            <w:tcW w:type="dxa" w:w="1304"/>
            <w:vAlign w:val="center"/>
          </w:tcPr>
          <w:p>
            <w:pPr>
              <w:keepNext/>
              <w:spacing w:after="40" w:line="240" w:lineRule="auto"/>
            </w:pPr>
            <w:r>
              <w:rPr>
                <w:rFonts w:ascii="Arial" w:hAnsi="Arial"/>
                <w:color w:val="000000"/>
                <w:sz w:val="18"/>
              </w:rPr>
              <w:t>Python</w:t>
            </w:r>
          </w:p>
        </w:tc>
        <w:tc>
          <w:tcPr>
            <w:tcW w:type="dxa" w:w="2324"/>
            <w:vAlign w:val="center"/>
          </w:tcPr>
          <w:p>
            <w:pPr>
              <w:keepNext/>
              <w:spacing w:after="40" w:line="240" w:lineRule="auto"/>
            </w:pPr>
            <w:r>
              <w:rPr>
                <w:rFonts w:ascii="Arial" w:hAnsi="Arial"/>
                <w:color w:val="000000"/>
                <w:sz w:val="18"/>
              </w:rPr>
              <w:t>Audited ORS observations and descriptive summaries</w:t>
            </w:r>
          </w:p>
        </w:tc>
        <w:tc>
          <w:tcPr>
            <w:tcW w:type="dxa" w:w="4706"/>
            <w:vAlign w:val="center"/>
          </w:tcPr>
          <w:p>
            <w:pPr>
              <w:keepNext/>
              <w:spacing w:after="40" w:line="240" w:lineRule="auto"/>
            </w:pPr>
            <w:hyperlink r:id="rId30">
              <w:r>
                <w:rPr>
                  <w:color w:val="174B76"/>
                  <w:sz w:val="18"/>
                </w:rPr>
                <w:t>https://github.com/SuperFlyTK/rmt-a3-travel-time-astana/blob/main/analysis/process.py</w:t>
              </w:r>
            </w:hyperlink>
          </w:p>
        </w:tc>
      </w:tr>
      <w:tr>
        <w:trPr>
          <w:cantSplit/>
        </w:trPr>
        <w:tc>
          <w:tcPr>
            <w:tcW w:type="dxa" w:w="1304"/>
            <w:vAlign w:val="center"/>
          </w:tcPr>
          <w:p>
            <w:pPr>
              <w:keepNext w:val="0"/>
              <w:spacing w:after="40" w:line="240" w:lineRule="auto"/>
            </w:pPr>
            <w:r>
              <w:rPr>
                <w:rFonts w:ascii="Arial" w:hAnsi="Arial"/>
                <w:color w:val="000000"/>
                <w:sz w:val="18"/>
              </w:rPr>
              <w:t>Google–ORS follow-up</w:t>
            </w:r>
          </w:p>
        </w:tc>
        <w:tc>
          <w:tcPr>
            <w:tcW w:type="dxa" w:w="1304"/>
            <w:vAlign w:val="center"/>
          </w:tcPr>
          <w:p>
            <w:pPr>
              <w:keepNext w:val="0"/>
              <w:spacing w:after="40" w:line="240" w:lineRule="auto"/>
            </w:pPr>
            <w:r>
              <w:rPr>
                <w:rFonts w:ascii="Arial" w:hAnsi="Arial"/>
                <w:color w:val="000000"/>
                <w:sz w:val="18"/>
              </w:rPr>
              <w:t>Python / Actions</w:t>
            </w:r>
          </w:p>
        </w:tc>
        <w:tc>
          <w:tcPr>
            <w:tcW w:type="dxa" w:w="2324"/>
            <w:vAlign w:val="center"/>
          </w:tcPr>
          <w:p>
            <w:pPr>
              <w:keepNext w:val="0"/>
              <w:spacing w:after="40" w:line="240" w:lineRule="auto"/>
            </w:pPr>
            <w:r>
              <w:rPr>
                <w:rFonts w:ascii="Arial" w:hAnsi="Arial"/>
                <w:color w:val="000000"/>
                <w:sz w:val="18"/>
              </w:rPr>
              <w:t>One bounded batch per window; aggregate metrics and request status</w:t>
            </w:r>
          </w:p>
        </w:tc>
        <w:tc>
          <w:tcPr>
            <w:tcW w:type="dxa" w:w="4706"/>
            <w:vAlign w:val="center"/>
          </w:tcPr>
          <w:p>
            <w:pPr>
              <w:keepNext w:val="0"/>
              <w:spacing w:after="40" w:line="240" w:lineRule="auto"/>
            </w:pPr>
            <w:hyperlink r:id="rId31">
              <w:r>
                <w:rPr>
                  <w:color w:val="174B76"/>
                  <w:sz w:val="18"/>
                </w:rPr>
                <w:t>https://github.com/SuperFlyTK/rmt-a3-travel-time-astana/blob/main/collector/google_followup.py</w:t>
              </w:r>
            </w:hyperlink>
          </w:p>
        </w:tc>
      </w:tr>
    </w:tbl>
    <w:p>
      <w:pPr>
        <w:spacing w:after="20"/>
      </w:pPr>
    </w:p>
    <w:p>
      <w:pPr>
        <w:pStyle w:val="Heading2"/>
      </w:pPr>
      <w:r>
        <w:t>T2 Log journal and data storage</w:t>
      </w:r>
    </w:p>
    <w:p>
      <w:pPr>
        <w:widowControl/>
      </w:pPr>
      <w:r>
        <w:rPr>
          <w:rFonts w:ascii="Arial" w:hAnsi="Arial"/>
          <w:color w:val="000000"/>
        </w:rPr>
        <w:t>The storage layout separates original records from the working copy used for interpretation. Raw CSV rows retain source files and request identifiers; processing adds validation decisions instead of overwriting observations. A version manifest records input hashes and software versions. This makes a later report reproducible even when new scheduled records arrive. The research journal records what was done, by whom, what failed and what changed. The current report is a dated snapshot, while the processed observations and documented procedures form the evidence base for Assignment 4.</w:t>
      </w:r>
    </w:p>
    <w:p>
      <w:pPr>
        <w:widowControl/>
      </w:pPr>
      <w:r>
        <w:rPr>
          <w:rFonts w:ascii="Arial" w:hAnsi="Arial"/>
          <w:color w:val="000000"/>
        </w:rPr>
        <w:t xml:space="preserve">Exact snapshot reproduction uses frozen inputs rather than later arriving raw files. Follow the saved instructions and input hashes at </w:t>
      </w:r>
      <w:hyperlink r:id="rId32">
        <w:r>
          <w:rPr>
            <w:color w:val="174B76"/>
            <w:sz w:val="18"/>
          </w:rPr>
          <w:t>https://github.com/SuperFlyTK/rmt-a3-travel-time-astana/blob/main/docs/reproduce_report.md</w:t>
        </w:r>
      </w:hyperlink>
    </w:p>
    <w:p>
      <w:pPr>
        <w:widowControl/>
      </w:pPr>
      <w:r>
        <w:rPr>
          <w:rFonts w:ascii="Arial" w:hAnsi="Arial"/>
          <w:color w:val="000000"/>
        </w:rPr>
        <w:t>The frozen ORS analysis remains independently recalculable. The separate exploratory archive contains Google request status and timestamps, ORS responses and original aggregate metrics. Its Google numerical inputs are intentionally absent, so its aggregate recalculation has a different reproducibility limit.</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871"/>
        <w:gridCol w:w="7767"/>
      </w:tblGrid>
      <w:tr>
        <w:trPr>
          <w:tblHeader/>
          <w:cantSplit/>
        </w:trPr>
        <w:tc>
          <w:tcPr>
            <w:tcW w:type="dxa" w:w="1871"/>
            <w:vAlign w:val="center"/>
            <w:shd w:fill="EAEAEA"/>
          </w:tcPr>
          <w:p>
            <w:pPr>
              <w:keepNext/>
              <w:spacing w:after="40" w:line="240" w:lineRule="auto"/>
            </w:pPr>
            <w:r>
              <w:rPr>
                <w:rFonts w:ascii="Arial" w:hAnsi="Arial"/>
                <w:b/>
                <w:color w:val="000000"/>
                <w:sz w:val="18"/>
              </w:rPr>
              <w:t>Item</w:t>
            </w:r>
          </w:p>
        </w:tc>
        <w:tc>
          <w:tcPr>
            <w:tcW w:type="dxa" w:w="7767"/>
            <w:vAlign w:val="center"/>
            <w:shd w:fill="EAEAEA"/>
          </w:tcPr>
          <w:p>
            <w:pPr>
              <w:keepNext/>
              <w:spacing w:after="40" w:line="240" w:lineRule="auto"/>
            </w:pPr>
            <w:r>
              <w:rPr>
                <w:rFonts w:ascii="Arial" w:hAnsi="Arial"/>
                <w:b/>
                <w:color w:val="000000"/>
                <w:sz w:val="18"/>
              </w:rPr>
              <w:t>Location and purpose</w:t>
            </w:r>
          </w:p>
        </w:tc>
      </w:tr>
      <w:tr>
        <w:trPr>
          <w:cantSplit/>
        </w:trPr>
        <w:tc>
          <w:tcPr>
            <w:tcW w:type="dxa" w:w="1871"/>
            <w:vAlign w:val="center"/>
          </w:tcPr>
          <w:p>
            <w:pPr>
              <w:keepNext/>
              <w:spacing w:after="40" w:line="240" w:lineRule="auto"/>
            </w:pPr>
            <w:r>
              <w:rPr>
                <w:rFonts w:ascii="Arial" w:hAnsi="Arial"/>
                <w:color w:val="000000"/>
                <w:sz w:val="18"/>
              </w:rPr>
              <w:t>Research journal</w:t>
            </w:r>
          </w:p>
        </w:tc>
        <w:tc>
          <w:tcPr>
            <w:tcW w:type="dxa" w:w="7767"/>
            <w:vAlign w:val="center"/>
          </w:tcPr>
          <w:p>
            <w:pPr>
              <w:keepNext/>
              <w:spacing w:after="40" w:line="240" w:lineRule="auto"/>
            </w:pPr>
            <w:hyperlink r:id="rId33">
              <w:r>
                <w:rPr>
                  <w:color w:val="174B76"/>
                  <w:sz w:val="18"/>
                </w:rPr>
                <w:t>https://github.com/SuperFlyTK/rmt-a3-travel-time-astana/blob/main/docs/research_log.md</w:t>
              </w:r>
            </w:hyperlink>
          </w:p>
        </w:tc>
      </w:tr>
      <w:tr>
        <w:trPr>
          <w:cantSplit/>
        </w:trPr>
        <w:tc>
          <w:tcPr>
            <w:tcW w:type="dxa" w:w="1871"/>
            <w:vAlign w:val="center"/>
          </w:tcPr>
          <w:p>
            <w:pPr>
              <w:keepNext/>
              <w:spacing w:after="40" w:line="240" w:lineRule="auto"/>
            </w:pPr>
            <w:r>
              <w:rPr>
                <w:rFonts w:ascii="Arial" w:hAnsi="Arial"/>
                <w:color w:val="000000"/>
                <w:sz w:val="18"/>
              </w:rPr>
              <w:t>Raw data</w:t>
            </w:r>
          </w:p>
        </w:tc>
        <w:tc>
          <w:tcPr>
            <w:tcW w:type="dxa" w:w="7767"/>
            <w:vAlign w:val="center"/>
          </w:tcPr>
          <w:p>
            <w:pPr>
              <w:keepNext/>
              <w:spacing w:after="40" w:line="240" w:lineRule="auto"/>
            </w:pPr>
            <w:hyperlink r:id="rId34">
              <w:r>
                <w:rPr>
                  <w:color w:val="174B76"/>
                  <w:sz w:val="18"/>
                </w:rPr>
                <w:t>https://github.com/SuperFlyTK/rmt-a3-travel-time-astana/tree/main/data/raw</w:t>
              </w:r>
            </w:hyperlink>
            <w:r>
              <w:rPr>
                <w:rFonts w:ascii="Arial" w:hAnsi="Arial"/>
                <w:color w:val="000000"/>
                <w:sz w:val="18"/>
              </w:rPr>
              <w:br/>
              <w:t>Original CSV plus licensed ORS response and geometry files</w:t>
            </w:r>
          </w:p>
        </w:tc>
      </w:tr>
      <w:tr>
        <w:trPr>
          <w:cantSplit/>
        </w:trPr>
        <w:tc>
          <w:tcPr>
            <w:tcW w:type="dxa" w:w="1871"/>
            <w:vAlign w:val="center"/>
          </w:tcPr>
          <w:p>
            <w:pPr>
              <w:keepNext/>
              <w:spacing w:after="40" w:line="240" w:lineRule="auto"/>
            </w:pPr>
            <w:r>
              <w:rPr>
                <w:rFonts w:ascii="Arial" w:hAnsi="Arial"/>
                <w:color w:val="000000"/>
                <w:sz w:val="18"/>
              </w:rPr>
              <w:t>Working copy</w:t>
            </w:r>
          </w:p>
        </w:tc>
        <w:tc>
          <w:tcPr>
            <w:tcW w:type="dxa" w:w="7767"/>
            <w:vAlign w:val="center"/>
          </w:tcPr>
          <w:p>
            <w:pPr>
              <w:keepNext/>
              <w:spacing w:after="40" w:line="240" w:lineRule="auto"/>
            </w:pPr>
            <w:hyperlink r:id="rId35">
              <w:r>
                <w:rPr>
                  <w:color w:val="174B76"/>
                  <w:sz w:val="18"/>
                </w:rPr>
                <w:t>https://github.com/SuperFlyTK/rmt-a3-travel-time-astana/blob/main/results/observations.csv</w:t>
              </w:r>
            </w:hyperlink>
            <w:r>
              <w:rPr>
                <w:rFonts w:ascii="Arial" w:hAnsi="Arial"/>
                <w:color w:val="000000"/>
                <w:sz w:val="18"/>
              </w:rPr>
              <w:br/>
              <w:t>Audited observations; raw values retained</w:t>
            </w:r>
          </w:p>
        </w:tc>
      </w:tr>
      <w:tr>
        <w:trPr>
          <w:cantSplit/>
        </w:trPr>
        <w:tc>
          <w:tcPr>
            <w:tcW w:type="dxa" w:w="1871"/>
            <w:vAlign w:val="center"/>
          </w:tcPr>
          <w:p>
            <w:pPr>
              <w:keepNext/>
              <w:spacing w:after="40" w:line="240" w:lineRule="auto"/>
            </w:pPr>
            <w:r>
              <w:rPr>
                <w:rFonts w:ascii="Arial" w:hAnsi="Arial"/>
                <w:color w:val="000000"/>
                <w:sz w:val="18"/>
              </w:rPr>
              <w:t>Version record</w:t>
            </w:r>
          </w:p>
        </w:tc>
        <w:tc>
          <w:tcPr>
            <w:tcW w:type="dxa" w:w="7767"/>
            <w:vAlign w:val="center"/>
          </w:tcPr>
          <w:p>
            <w:pPr>
              <w:keepNext/>
              <w:spacing w:after="40" w:line="240" w:lineRule="auto"/>
            </w:pPr>
            <w:hyperlink r:id="rId36">
              <w:r>
                <w:rPr>
                  <w:color w:val="174B76"/>
                  <w:sz w:val="18"/>
                </w:rPr>
                <w:t>https://github.com/SuperFlyTK/rmt-a3-travel-time-astana/blob/main/results/version_manifest.json</w:t>
              </w:r>
            </w:hyperlink>
          </w:p>
        </w:tc>
      </w:tr>
      <w:tr>
        <w:trPr>
          <w:cantSplit/>
        </w:trPr>
        <w:tc>
          <w:tcPr>
            <w:tcW w:type="dxa" w:w="1871"/>
            <w:vAlign w:val="center"/>
          </w:tcPr>
          <w:p>
            <w:pPr>
              <w:keepNext/>
              <w:spacing w:after="40" w:line="240" w:lineRule="auto"/>
            </w:pPr>
            <w:r>
              <w:rPr>
                <w:rFonts w:ascii="Arial" w:hAnsi="Arial"/>
                <w:color w:val="000000"/>
                <w:sz w:val="18"/>
              </w:rPr>
              <w:t>Public repository</w:t>
            </w:r>
          </w:p>
        </w:tc>
        <w:tc>
          <w:tcPr>
            <w:tcW w:type="dxa" w:w="7767"/>
            <w:vAlign w:val="center"/>
          </w:tcPr>
          <w:p>
            <w:pPr>
              <w:keepNext/>
              <w:spacing w:after="40" w:line="240" w:lineRule="auto"/>
            </w:pPr>
            <w:hyperlink r:id="rId10">
              <w:r>
                <w:rPr>
                  <w:color w:val="174B76"/>
                  <w:sz w:val="18"/>
                </w:rPr>
                <w:t>https://github.com/SuperFlyTK/rmt-a3-travel-time-astana</w:t>
              </w:r>
            </w:hyperlink>
          </w:p>
        </w:tc>
      </w:tr>
      <w:tr>
        <w:trPr>
          <w:cantSplit/>
        </w:trPr>
        <w:tc>
          <w:tcPr>
            <w:tcW w:type="dxa" w:w="1871"/>
            <w:vAlign w:val="center"/>
          </w:tcPr>
          <w:p>
            <w:pPr>
              <w:keepNext w:val="0"/>
              <w:spacing w:after="40" w:line="240" w:lineRule="auto"/>
            </w:pPr>
            <w:r>
              <w:rPr>
                <w:rFonts w:ascii="Arial" w:hAnsi="Arial"/>
                <w:color w:val="000000"/>
                <w:sz w:val="18"/>
              </w:rPr>
              <w:t>Cloud folder</w:t>
            </w:r>
          </w:p>
        </w:tc>
        <w:tc>
          <w:tcPr>
            <w:tcW w:type="dxa" w:w="7767"/>
            <w:vAlign w:val="center"/>
          </w:tcPr>
          <w:p>
            <w:pPr>
              <w:keepNext w:val="0"/>
              <w:spacing w:after="40" w:line="240" w:lineRule="auto"/>
            </w:pPr>
            <w:hyperlink r:id="rId11">
              <w:r>
                <w:rPr>
                  <w:color w:val="174B76"/>
                  <w:sz w:val="18"/>
                </w:rPr>
                <w:t>https://drive.google.com/drive/folders/1hEVyoDFR0XzRWSv3yIm2EGExC427-yE6</w:t>
              </w:r>
            </w:hyperlink>
            <w:r>
              <w:rPr>
                <w:rFonts w:ascii="Arial" w:hAnsi="Arial"/>
                <w:color w:val="000000"/>
                <w:sz w:val="18"/>
              </w:rPr>
              <w:br/>
              <w:t>Archive available; anyone with the link can read it</w:t>
            </w:r>
          </w:p>
        </w:tc>
      </w:tr>
    </w:tbl>
    <w:p>
      <w:pPr>
        <w:spacing w:after="20"/>
      </w:pPr>
    </w:p>
    <w:p>
      <w:pPr>
        <w:pStyle w:val="Heading2"/>
      </w:pPr>
      <w:r>
        <w:t>T3 Artefacts you developed</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531"/>
        <w:gridCol w:w="2438"/>
        <w:gridCol w:w="3685"/>
        <w:gridCol w:w="1984"/>
      </w:tblGrid>
      <w:tr>
        <w:trPr>
          <w:tblHeader/>
          <w:cantSplit/>
        </w:trPr>
        <w:tc>
          <w:tcPr>
            <w:tcW w:type="dxa" w:w="1531"/>
            <w:vAlign w:val="center"/>
            <w:shd w:fill="EAEAEA"/>
          </w:tcPr>
          <w:p>
            <w:pPr>
              <w:keepNext/>
              <w:spacing w:after="40" w:line="240" w:lineRule="auto"/>
            </w:pPr>
            <w:r>
              <w:rPr>
                <w:rFonts w:ascii="Arial" w:hAnsi="Arial"/>
                <w:b/>
                <w:color w:val="000000"/>
                <w:sz w:val="18"/>
              </w:rPr>
              <w:t>Artefact</w:t>
            </w:r>
          </w:p>
        </w:tc>
        <w:tc>
          <w:tcPr>
            <w:tcW w:type="dxa" w:w="2438"/>
            <w:vAlign w:val="center"/>
            <w:shd w:fill="EAEAEA"/>
          </w:tcPr>
          <w:p>
            <w:pPr>
              <w:keepNext/>
              <w:spacing w:after="40" w:line="240" w:lineRule="auto"/>
            </w:pPr>
            <w:r>
              <w:rPr>
                <w:rFonts w:ascii="Arial" w:hAnsi="Arial"/>
                <w:b/>
                <w:color w:val="000000"/>
                <w:sz w:val="18"/>
              </w:rPr>
              <w:t>Study role</w:t>
            </w:r>
          </w:p>
        </w:tc>
        <w:tc>
          <w:tcPr>
            <w:tcW w:type="dxa" w:w="3685"/>
            <w:vAlign w:val="center"/>
            <w:shd w:fill="EAEAEA"/>
          </w:tcPr>
          <w:p>
            <w:pPr>
              <w:keepNext/>
              <w:spacing w:after="40" w:line="240" w:lineRule="auto"/>
            </w:pPr>
            <w:r>
              <w:rPr>
                <w:rFonts w:ascii="Arial" w:hAnsi="Arial"/>
                <w:b/>
                <w:color w:val="000000"/>
                <w:sz w:val="18"/>
              </w:rPr>
              <w:t>Public link</w:t>
            </w:r>
          </w:p>
        </w:tc>
        <w:tc>
          <w:tcPr>
            <w:tcW w:type="dxa" w:w="1984"/>
            <w:vAlign w:val="center"/>
            <w:shd w:fill="EAEAEA"/>
          </w:tcPr>
          <w:p>
            <w:pPr>
              <w:keepNext/>
              <w:spacing w:after="40" w:line="240" w:lineRule="auto"/>
            </w:pPr>
            <w:r>
              <w:rPr>
                <w:rFonts w:ascii="Arial" w:hAnsi="Arial"/>
                <w:b/>
                <w:color w:val="000000"/>
                <w:sz w:val="18"/>
              </w:rPr>
              <w:t>Evidence</w:t>
            </w:r>
          </w:p>
        </w:tc>
      </w:tr>
      <w:tr>
        <w:trPr>
          <w:cantSplit/>
        </w:trPr>
        <w:tc>
          <w:tcPr>
            <w:tcW w:type="dxa" w:w="1531"/>
            <w:vAlign w:val="center"/>
          </w:tcPr>
          <w:p>
            <w:pPr>
              <w:keepNext/>
              <w:spacing w:after="40" w:line="240" w:lineRule="auto"/>
            </w:pPr>
            <w:r>
              <w:rPr>
                <w:rFonts w:ascii="Arial" w:hAnsi="Arial"/>
                <w:color w:val="000000"/>
                <w:sz w:val="18"/>
              </w:rPr>
              <w:t>Collector and pilot runner</w:t>
            </w:r>
          </w:p>
        </w:tc>
        <w:tc>
          <w:tcPr>
            <w:tcW w:type="dxa" w:w="2438"/>
            <w:vAlign w:val="center"/>
          </w:tcPr>
          <w:p>
            <w:pPr>
              <w:keepNext/>
              <w:spacing w:after="40" w:line="240" w:lineRule="auto"/>
            </w:pPr>
            <w:r>
              <w:rPr>
                <w:rFonts w:ascii="Arial" w:hAnsi="Arial"/>
                <w:color w:val="000000"/>
                <w:sz w:val="18"/>
              </w:rPr>
              <w:t>Execute fixed requests and preserve failures</w:t>
            </w:r>
          </w:p>
        </w:tc>
        <w:tc>
          <w:tcPr>
            <w:tcW w:type="dxa" w:w="3685"/>
            <w:vAlign w:val="center"/>
          </w:tcPr>
          <w:p>
            <w:pPr>
              <w:keepNext/>
              <w:spacing w:after="40" w:line="240" w:lineRule="auto"/>
            </w:pPr>
            <w:hyperlink r:id="rId37">
              <w:r>
                <w:rPr>
                  <w:color w:val="174B76"/>
                  <w:sz w:val="18"/>
                </w:rPr>
                <w:t>https://github.com/SuperFlyTK/rmt-a3-travel-time-astana/tree/main/collector</w:t>
              </w:r>
            </w:hyperlink>
          </w:p>
        </w:tc>
        <w:tc>
          <w:tcPr>
            <w:tcW w:type="dxa" w:w="1984"/>
            <w:vAlign w:val="center"/>
          </w:tcPr>
          <w:p>
            <w:pPr>
              <w:keepNext/>
              <w:spacing w:after="40" w:line="240" w:lineRule="auto"/>
            </w:pPr>
            <w:r>
              <w:rPr>
                <w:rFonts w:ascii="Arial" w:hAnsi="Arial"/>
                <w:color w:val="000000"/>
                <w:sz w:val="18"/>
              </w:rPr>
              <w:t>Raw files and research journal</w:t>
            </w:r>
          </w:p>
        </w:tc>
      </w:tr>
      <w:tr>
        <w:trPr>
          <w:cantSplit/>
        </w:trPr>
        <w:tc>
          <w:tcPr>
            <w:tcW w:type="dxa" w:w="1531"/>
            <w:vAlign w:val="center"/>
          </w:tcPr>
          <w:p>
            <w:pPr>
              <w:keepNext/>
              <w:spacing w:after="40" w:line="240" w:lineRule="auto"/>
            </w:pPr>
            <w:r>
              <w:rPr>
                <w:rFonts w:ascii="Arial" w:hAnsi="Arial"/>
                <w:color w:val="000000"/>
                <w:sz w:val="18"/>
              </w:rPr>
              <w:t>Analysis and figures</w:t>
            </w:r>
          </w:p>
        </w:tc>
        <w:tc>
          <w:tcPr>
            <w:tcW w:type="dxa" w:w="2438"/>
            <w:vAlign w:val="center"/>
          </w:tcPr>
          <w:p>
            <w:pPr>
              <w:keepNext/>
              <w:spacing w:after="40" w:line="240" w:lineRule="auto"/>
            </w:pPr>
            <w:r>
              <w:rPr>
                <w:rFonts w:ascii="Arial" w:hAnsi="Arial"/>
                <w:color w:val="000000"/>
                <w:sz w:val="18"/>
              </w:rPr>
              <w:t>Audit data and generate original evidence</w:t>
            </w:r>
          </w:p>
        </w:tc>
        <w:tc>
          <w:tcPr>
            <w:tcW w:type="dxa" w:w="3685"/>
            <w:vAlign w:val="center"/>
          </w:tcPr>
          <w:p>
            <w:pPr>
              <w:keepNext/>
              <w:spacing w:after="40" w:line="240" w:lineRule="auto"/>
            </w:pPr>
            <w:hyperlink r:id="rId38">
              <w:r>
                <w:rPr>
                  <w:color w:val="174B76"/>
                  <w:sz w:val="18"/>
                </w:rPr>
                <w:t>https://github.com/SuperFlyTK/rmt-a3-travel-time-astana/tree/main/analysis</w:t>
              </w:r>
            </w:hyperlink>
          </w:p>
        </w:tc>
        <w:tc>
          <w:tcPr>
            <w:tcW w:type="dxa" w:w="1984"/>
            <w:vAlign w:val="center"/>
          </w:tcPr>
          <w:p>
            <w:pPr>
              <w:keepNext/>
              <w:spacing w:after="40" w:line="240" w:lineRule="auto"/>
            </w:pPr>
            <w:r>
              <w:rPr>
                <w:rFonts w:ascii="Arial" w:hAnsi="Arial"/>
                <w:color w:val="000000"/>
                <w:sz w:val="18"/>
              </w:rPr>
              <w:t>Results CSV and numbered figures</w:t>
            </w:r>
          </w:p>
        </w:tc>
      </w:tr>
      <w:tr>
        <w:trPr>
          <w:cantSplit/>
        </w:trPr>
        <w:tc>
          <w:tcPr>
            <w:tcW w:type="dxa" w:w="1531"/>
            <w:vAlign w:val="center"/>
          </w:tcPr>
          <w:p>
            <w:pPr>
              <w:keepNext/>
              <w:spacing w:after="40" w:line="240" w:lineRule="auto"/>
            </w:pPr>
            <w:r>
              <w:rPr>
                <w:rFonts w:ascii="Arial" w:hAnsi="Arial"/>
                <w:color w:val="000000"/>
                <w:sz w:val="18"/>
              </w:rPr>
              <w:t>Report builder</w:t>
            </w:r>
          </w:p>
        </w:tc>
        <w:tc>
          <w:tcPr>
            <w:tcW w:type="dxa" w:w="2438"/>
            <w:vAlign w:val="center"/>
          </w:tcPr>
          <w:p>
            <w:pPr>
              <w:keepNext/>
              <w:spacing w:after="40" w:line="240" w:lineRule="auto"/>
            </w:pPr>
            <w:r>
              <w:rPr>
                <w:rFonts w:ascii="Arial" w:hAnsi="Arial"/>
                <w:color w:val="000000"/>
                <w:sz w:val="18"/>
              </w:rPr>
              <w:t>Bind narrative to a reproducible snapshot</w:t>
            </w:r>
          </w:p>
        </w:tc>
        <w:tc>
          <w:tcPr>
            <w:tcW w:type="dxa" w:w="3685"/>
            <w:vAlign w:val="center"/>
          </w:tcPr>
          <w:p>
            <w:pPr>
              <w:keepNext/>
              <w:spacing w:after="40" w:line="240" w:lineRule="auto"/>
            </w:pPr>
            <w:hyperlink r:id="rId39">
              <w:r>
                <w:rPr>
                  <w:color w:val="174B76"/>
                  <w:sz w:val="18"/>
                </w:rPr>
                <w:t>https://github.com/SuperFlyTK/rmt-a3-travel-time-astana/blob/main/report/build_report.py</w:t>
              </w:r>
            </w:hyperlink>
          </w:p>
        </w:tc>
        <w:tc>
          <w:tcPr>
            <w:tcW w:type="dxa" w:w="1984"/>
            <w:vAlign w:val="center"/>
          </w:tcPr>
          <w:p>
            <w:pPr>
              <w:keepNext/>
              <w:spacing w:after="40" w:line="240" w:lineRule="auto"/>
            </w:pPr>
            <w:r>
              <w:rPr>
                <w:rFonts w:ascii="Arial" w:hAnsi="Arial"/>
                <w:color w:val="000000"/>
                <w:sz w:val="18"/>
              </w:rPr>
              <w:t>Report snapshot and word count</w:t>
            </w:r>
          </w:p>
        </w:tc>
      </w:tr>
      <w:tr>
        <w:trPr>
          <w:cantSplit/>
        </w:trPr>
        <w:tc>
          <w:tcPr>
            <w:tcW w:type="dxa" w:w="1531"/>
            <w:vAlign w:val="center"/>
          </w:tcPr>
          <w:p>
            <w:pPr>
              <w:keepNext w:val="0"/>
              <w:spacing w:after="40" w:line="240" w:lineRule="auto"/>
            </w:pPr>
            <w:r>
              <w:rPr>
                <w:rFonts w:ascii="Arial" w:hAnsi="Arial"/>
                <w:color w:val="000000"/>
                <w:sz w:val="18"/>
              </w:rPr>
              <w:t>Protocol and expectations</w:t>
            </w:r>
          </w:p>
        </w:tc>
        <w:tc>
          <w:tcPr>
            <w:tcW w:type="dxa" w:w="2438"/>
            <w:vAlign w:val="center"/>
          </w:tcPr>
          <w:p>
            <w:pPr>
              <w:keepNext w:val="0"/>
              <w:spacing w:after="40" w:line="240" w:lineRule="auto"/>
            </w:pPr>
            <w:r>
              <w:rPr>
                <w:rFonts w:ascii="Arial" w:hAnsi="Arial"/>
                <w:color w:val="000000"/>
                <w:sz w:val="18"/>
              </w:rPr>
              <w:t>Record rules fixed before research collection</w:t>
            </w:r>
          </w:p>
        </w:tc>
        <w:tc>
          <w:tcPr>
            <w:tcW w:type="dxa" w:w="3685"/>
            <w:vAlign w:val="center"/>
          </w:tcPr>
          <w:p>
            <w:pPr>
              <w:keepNext w:val="0"/>
              <w:spacing w:after="40" w:line="240" w:lineRule="auto"/>
            </w:pPr>
            <w:hyperlink r:id="rId40">
              <w:r>
                <w:rPr>
                  <w:color w:val="174B76"/>
                  <w:sz w:val="18"/>
                </w:rPr>
                <w:t>https://github.com/SuperFlyTK/rmt-a3-travel-time-astana/tree/main/docs</w:t>
              </w:r>
            </w:hyperlink>
          </w:p>
        </w:tc>
        <w:tc>
          <w:tcPr>
            <w:tcW w:type="dxa" w:w="1984"/>
            <w:vAlign w:val="center"/>
          </w:tcPr>
          <w:p>
            <w:pPr>
              <w:keepNext w:val="0"/>
              <w:spacing w:after="40" w:line="240" w:lineRule="auto"/>
            </w:pPr>
            <w:r>
              <w:rPr>
                <w:rFonts w:ascii="Arial" w:hAnsi="Arial"/>
                <w:color w:val="000000"/>
                <w:sz w:val="18"/>
              </w:rPr>
              <w:t>Timestamp, file hash and preregistration commit</w:t>
            </w:r>
          </w:p>
        </w:tc>
      </w:tr>
    </w:tbl>
    <w:p>
      <w:pPr>
        <w:spacing w:after="20"/>
      </w:pPr>
    </w:p>
    <w:p>
      <w:pPr>
        <w:pStyle w:val="Heading2"/>
      </w:pPr>
      <w:r>
        <w:t>T4 Find your block and complete</w:t>
      </w:r>
    </w:p>
    <w:p>
      <w:pPr>
        <w:widowControl/>
      </w:pPr>
      <w:r>
        <w:rPr>
          <w:rFonts w:ascii="Arial" w:hAnsi="Arial"/>
          <w:color w:val="000000"/>
        </w:rPr>
        <w:t>The selected method is Data analytics / secondary data, so Block E applies. Technical execution supports extraction; it does not turn this study into model training or an experimental treatment comparison.</w:t>
      </w:r>
    </w:p>
    <w:p>
      <w:pPr>
        <w:pStyle w:val="Heading3"/>
      </w:pPr>
      <w:r>
        <w:t>E.0 Requirements</w:t>
      </w:r>
    </w:p>
    <w:p>
      <w:pPr>
        <w:widowControl/>
      </w:pPr>
      <w:r>
        <w:rPr>
          <w:rFonts w:ascii="Arial" w:hAnsi="Arial"/>
          <w:color w:val="000000"/>
        </w:rPr>
        <w:t>For a conceptual road graph G=(V,E) at a fixed traffic snapshot, path cost is T(P,t)=Σ w_e(t), summed over edges e in P; each weight is in seconds. Route selection seeks a permitted low-cost path. This abstraction explains why endpoints alone do not determine an estimate: road access, path choice and time weights may differ. It does not identify TomTom or 2GIS source code. ORS documentation describes a speed model based on mapped road properties; its public service does not supply live traffic. The study evaluates returned quantities without reverse-engineering a proprietary solver.</w:t>
      </w:r>
    </w:p>
    <w:p>
      <w:pPr>
        <w:widowControl/>
      </w:pPr>
      <w:r>
        <w:rPr>
          <w:rFonts w:ascii="Arial" w:hAnsi="Arial"/>
          <w:color w:val="000000"/>
        </w:rPr>
        <w:t>For an eligible pair, signed difference is A minus B and absolute difference removes its direction. MAE averages absolute differences, whereas RMSE gives larger differences greater influence. Relative difference uses the pair mean as denominator, avoiding a claim that either provider is the reference truth. Quartiles describe spread. The initial design specified route-cluster uncertainty procedures. The amended design retains only Google aggregates and therefore compares dated window summaries descriptively; it cannot reproduce the original route-by-day Wilcoxon analysis. A hundred planned requests do not become a hundred independent cases. The current other-period pilot supplies no peak-versus-off-peak contrast.</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381"/>
        <w:gridCol w:w="3458"/>
        <w:gridCol w:w="3798"/>
      </w:tblGrid>
      <w:tr>
        <w:trPr>
          <w:tblHeader/>
          <w:cantSplit/>
        </w:trPr>
        <w:tc>
          <w:tcPr>
            <w:tcW w:type="dxa" w:w="2381"/>
            <w:vAlign w:val="center"/>
            <w:shd w:fill="EAEAEA"/>
          </w:tcPr>
          <w:p>
            <w:pPr>
              <w:keepNext/>
              <w:spacing w:after="40" w:line="240" w:lineRule="auto"/>
            </w:pPr>
            <w:r>
              <w:rPr>
                <w:rFonts w:ascii="Arial" w:hAnsi="Arial"/>
                <w:b/>
                <w:color w:val="000000"/>
                <w:sz w:val="18"/>
              </w:rPr>
              <w:t>Quantity</w:t>
            </w:r>
          </w:p>
        </w:tc>
        <w:tc>
          <w:tcPr>
            <w:tcW w:type="dxa" w:w="3458"/>
            <w:vAlign w:val="center"/>
            <w:shd w:fill="EAEAEA"/>
          </w:tcPr>
          <w:p>
            <w:pPr>
              <w:keepNext/>
              <w:spacing w:after="40" w:line="240" w:lineRule="auto"/>
            </w:pPr>
            <w:r>
              <w:rPr>
                <w:rFonts w:ascii="Arial" w:hAnsi="Arial"/>
                <w:b/>
                <w:color w:val="000000"/>
                <w:sz w:val="18"/>
              </w:rPr>
              <w:t>Definition</w:t>
            </w:r>
          </w:p>
        </w:tc>
        <w:tc>
          <w:tcPr>
            <w:tcW w:type="dxa" w:w="3798"/>
            <w:vAlign w:val="center"/>
            <w:shd w:fill="EAEAEA"/>
          </w:tcPr>
          <w:p>
            <w:pPr>
              <w:keepNext/>
              <w:spacing w:after="40" w:line="240" w:lineRule="auto"/>
            </w:pPr>
            <w:r>
              <w:rPr>
                <w:rFonts w:ascii="Arial" w:hAnsi="Arial"/>
                <w:b/>
                <w:color w:val="000000"/>
                <w:sz w:val="18"/>
              </w:rPr>
              <w:t>Interpretation</w:t>
            </w:r>
          </w:p>
        </w:tc>
      </w:tr>
      <w:tr>
        <w:trPr>
          <w:cantSplit/>
        </w:trPr>
        <w:tc>
          <w:tcPr>
            <w:tcW w:type="dxa" w:w="2381"/>
            <w:vAlign w:val="center"/>
          </w:tcPr>
          <w:p>
            <w:pPr>
              <w:keepNext/>
              <w:spacing w:after="40" w:line="240" w:lineRule="auto"/>
            </w:pPr>
            <w:r>
              <w:rPr>
                <w:rFonts w:ascii="Arial" w:hAnsi="Arial"/>
                <w:color w:val="000000"/>
                <w:sz w:val="18"/>
              </w:rPr>
              <w:t>Signed difference</w:t>
            </w:r>
          </w:p>
        </w:tc>
        <w:tc>
          <w:tcPr>
            <w:tcW w:type="dxa" w:w="3458"/>
            <w:vAlign w:val="center"/>
          </w:tcPr>
          <w:p>
            <w:pPr>
              <w:keepNext/>
              <w:spacing w:after="40" w:line="240" w:lineRule="auto"/>
            </w:pPr>
            <w:r>
              <w:rPr>
                <w:rFonts w:ascii="Arial" w:hAnsi="Arial"/>
                <w:color w:val="000000"/>
                <w:sz w:val="18"/>
              </w:rPr>
              <w:t>d=A−B; seconds</w:t>
            </w:r>
          </w:p>
        </w:tc>
        <w:tc>
          <w:tcPr>
            <w:tcW w:type="dxa" w:w="3798"/>
            <w:vAlign w:val="center"/>
          </w:tcPr>
          <w:p>
            <w:pPr>
              <w:keepNext/>
              <w:spacing w:after="40" w:line="240" w:lineRule="auto"/>
            </w:pPr>
            <w:r>
              <w:rPr>
                <w:rFonts w:ascii="Arial" w:hAnsi="Arial"/>
                <w:color w:val="000000"/>
                <w:sz w:val="18"/>
              </w:rPr>
              <w:t>Positive means A gives the longer estimate</w:t>
            </w:r>
          </w:p>
        </w:tc>
      </w:tr>
      <w:tr>
        <w:trPr>
          <w:cantSplit/>
        </w:trPr>
        <w:tc>
          <w:tcPr>
            <w:tcW w:type="dxa" w:w="2381"/>
            <w:vAlign w:val="center"/>
          </w:tcPr>
          <w:p>
            <w:pPr>
              <w:keepNext/>
              <w:spacing w:after="40" w:line="240" w:lineRule="auto"/>
            </w:pPr>
            <w:r>
              <w:rPr>
                <w:rFonts w:ascii="Arial" w:hAnsi="Arial"/>
                <w:color w:val="000000"/>
                <w:sz w:val="18"/>
              </w:rPr>
              <w:t>Absolute difference and MAE</w:t>
            </w:r>
          </w:p>
        </w:tc>
        <w:tc>
          <w:tcPr>
            <w:tcW w:type="dxa" w:w="3458"/>
            <w:vAlign w:val="center"/>
          </w:tcPr>
          <w:p>
            <w:pPr>
              <w:keepNext/>
              <w:spacing w:after="40" w:line="240" w:lineRule="auto"/>
            </w:pPr>
            <w:r>
              <w:rPr>
                <w:rFonts w:ascii="Arial" w:hAnsi="Arial"/>
                <w:color w:val="000000"/>
                <w:sz w:val="18"/>
              </w:rPr>
              <w:t>|d|; MAE=Σ|d|/n</w:t>
            </w:r>
          </w:p>
        </w:tc>
        <w:tc>
          <w:tcPr>
            <w:tcW w:type="dxa" w:w="3798"/>
            <w:vAlign w:val="center"/>
          </w:tcPr>
          <w:p>
            <w:pPr>
              <w:keepNext/>
              <w:spacing w:after="40" w:line="240" w:lineRule="auto"/>
            </w:pPr>
            <w:r>
              <w:rPr>
                <w:rFonts w:ascii="Arial" w:hAnsi="Arial"/>
                <w:color w:val="000000"/>
                <w:sz w:val="18"/>
              </w:rPr>
              <w:t>Magnitude and average magnitude of disagreement</w:t>
            </w:r>
          </w:p>
        </w:tc>
      </w:tr>
      <w:tr>
        <w:trPr>
          <w:cantSplit/>
        </w:trPr>
        <w:tc>
          <w:tcPr>
            <w:tcW w:type="dxa" w:w="2381"/>
            <w:vAlign w:val="center"/>
          </w:tcPr>
          <w:p>
            <w:pPr>
              <w:keepNext/>
              <w:spacing w:after="40" w:line="240" w:lineRule="auto"/>
            </w:pPr>
            <w:r>
              <w:rPr>
                <w:rFonts w:ascii="Arial" w:hAnsi="Arial"/>
                <w:color w:val="000000"/>
                <w:sz w:val="18"/>
              </w:rPr>
              <w:t>RMSE</w:t>
            </w:r>
          </w:p>
        </w:tc>
        <w:tc>
          <w:tcPr>
            <w:tcW w:type="dxa" w:w="3458"/>
            <w:vAlign w:val="center"/>
          </w:tcPr>
          <w:p>
            <w:pPr>
              <w:keepNext/>
              <w:spacing w:after="40" w:line="240" w:lineRule="auto"/>
            </w:pPr>
            <w:r>
              <w:rPr>
                <w:rFonts w:ascii="Arial" w:hAnsi="Arial"/>
                <w:color w:val="000000"/>
                <w:sz w:val="18"/>
              </w:rPr>
              <w:t>sqrt(Σd²/n); seconds</w:t>
            </w:r>
          </w:p>
        </w:tc>
        <w:tc>
          <w:tcPr>
            <w:tcW w:type="dxa" w:w="3798"/>
            <w:vAlign w:val="center"/>
          </w:tcPr>
          <w:p>
            <w:pPr>
              <w:keepNext/>
              <w:spacing w:after="40" w:line="240" w:lineRule="auto"/>
            </w:pPr>
            <w:r>
              <w:rPr>
                <w:rFonts w:ascii="Arial" w:hAnsi="Arial"/>
                <w:color w:val="000000"/>
                <w:sz w:val="18"/>
              </w:rPr>
              <w:t>Quadratic summary sensitive to large differences</w:t>
            </w:r>
          </w:p>
        </w:tc>
      </w:tr>
      <w:tr>
        <w:trPr>
          <w:cantSplit/>
        </w:trPr>
        <w:tc>
          <w:tcPr>
            <w:tcW w:type="dxa" w:w="2381"/>
            <w:vAlign w:val="center"/>
          </w:tcPr>
          <w:p>
            <w:pPr>
              <w:keepNext/>
              <w:spacing w:after="40" w:line="240" w:lineRule="auto"/>
            </w:pPr>
            <w:r>
              <w:rPr>
                <w:rFonts w:ascii="Arial" w:hAnsi="Arial"/>
                <w:color w:val="000000"/>
                <w:sz w:val="18"/>
              </w:rPr>
              <w:t>Relative difference / sMAPE</w:t>
            </w:r>
          </w:p>
        </w:tc>
        <w:tc>
          <w:tcPr>
            <w:tcW w:type="dxa" w:w="3458"/>
            <w:vAlign w:val="center"/>
          </w:tcPr>
          <w:p>
            <w:pPr>
              <w:keepNext/>
              <w:spacing w:after="40" w:line="240" w:lineRule="auto"/>
            </w:pPr>
            <w:r>
              <w:rPr>
                <w:rFonts w:ascii="Arial" w:hAnsi="Arial"/>
                <w:color w:val="000000"/>
                <w:sz w:val="18"/>
              </w:rPr>
              <w:t>100d/m; 100|d|/m; m=(A+B)/2</w:t>
            </w:r>
          </w:p>
        </w:tc>
        <w:tc>
          <w:tcPr>
            <w:tcW w:type="dxa" w:w="3798"/>
            <w:vAlign w:val="center"/>
          </w:tcPr>
          <w:p>
            <w:pPr>
              <w:keepNext/>
              <w:spacing w:after="40" w:line="240" w:lineRule="auto"/>
            </w:pPr>
            <w:r>
              <w:rPr>
                <w:rFonts w:ascii="Arial" w:hAnsi="Arial"/>
                <w:color w:val="000000"/>
                <w:sz w:val="18"/>
              </w:rPr>
              <w:t>Symmetric percentage disagreement</w:t>
            </w:r>
          </w:p>
        </w:tc>
      </w:tr>
      <w:tr>
        <w:trPr>
          <w:cantSplit/>
        </w:trPr>
        <w:tc>
          <w:tcPr>
            <w:tcW w:type="dxa" w:w="2381"/>
            <w:vAlign w:val="center"/>
          </w:tcPr>
          <w:p>
            <w:pPr>
              <w:keepNext/>
              <w:spacing w:after="40" w:line="240" w:lineRule="auto"/>
            </w:pPr>
            <w:r>
              <w:rPr>
                <w:rFonts w:ascii="Arial" w:hAnsi="Arial"/>
                <w:color w:val="000000"/>
                <w:sz w:val="18"/>
              </w:rPr>
              <w:t>IQR</w:t>
            </w:r>
          </w:p>
        </w:tc>
        <w:tc>
          <w:tcPr>
            <w:tcW w:type="dxa" w:w="3458"/>
            <w:vAlign w:val="center"/>
          </w:tcPr>
          <w:p>
            <w:pPr>
              <w:keepNext/>
              <w:spacing w:after="40" w:line="240" w:lineRule="auto"/>
            </w:pPr>
            <w:r>
              <w:rPr>
                <w:rFonts w:ascii="Arial" w:hAnsi="Arial"/>
                <w:color w:val="000000"/>
                <w:sz w:val="18"/>
              </w:rPr>
              <w:t>Q3−Q1; linear-interpolated sample quartiles</w:t>
            </w:r>
          </w:p>
        </w:tc>
        <w:tc>
          <w:tcPr>
            <w:tcW w:type="dxa" w:w="3798"/>
            <w:vAlign w:val="center"/>
          </w:tcPr>
          <w:p>
            <w:pPr>
              <w:keepNext/>
              <w:spacing w:after="40" w:line="240" w:lineRule="auto"/>
            </w:pPr>
            <w:r>
              <w:rPr>
                <w:rFonts w:ascii="Arial" w:hAnsi="Arial"/>
                <w:color w:val="000000"/>
                <w:sz w:val="18"/>
              </w:rPr>
              <w:t>Spread of the stated distribution</w:t>
            </w:r>
          </w:p>
        </w:tc>
      </w:tr>
      <w:tr>
        <w:trPr>
          <w:cantSplit/>
        </w:trPr>
        <w:tc>
          <w:tcPr>
            <w:tcW w:type="dxa" w:w="2381"/>
            <w:vAlign w:val="center"/>
          </w:tcPr>
          <w:p>
            <w:pPr>
              <w:keepNext w:val="0"/>
              <w:spacing w:after="40" w:line="240" w:lineRule="auto"/>
            </w:pPr>
            <w:r>
              <w:rPr>
                <w:rFonts w:ascii="Arial" w:hAnsi="Arial"/>
                <w:color w:val="000000"/>
                <w:sz w:val="18"/>
              </w:rPr>
              <w:t>Length comparison</w:t>
            </w:r>
          </w:p>
        </w:tc>
        <w:tc>
          <w:tcPr>
            <w:tcW w:type="dxa" w:w="3458"/>
            <w:vAlign w:val="center"/>
          </w:tcPr>
          <w:p>
            <w:pPr>
              <w:keepNext w:val="0"/>
              <w:spacing w:after="40" w:line="240" w:lineRule="auto"/>
            </w:pPr>
            <w:r>
              <w:rPr>
                <w:rFonts w:ascii="Arial" w:hAnsi="Arial"/>
                <w:color w:val="000000"/>
                <w:sz w:val="18"/>
              </w:rPr>
              <w:t>100|LA−LB|/((LA+LB)/2)</w:t>
            </w:r>
          </w:p>
        </w:tc>
        <w:tc>
          <w:tcPr>
            <w:tcW w:type="dxa" w:w="3798"/>
            <w:vAlign w:val="center"/>
          </w:tcPr>
          <w:p>
            <w:pPr>
              <w:keepNext w:val="0"/>
              <w:spacing w:after="40" w:line="240" w:lineRule="auto"/>
            </w:pPr>
            <w:r>
              <w:rPr>
                <w:rFonts w:ascii="Arial" w:hAnsi="Arial"/>
                <w:color w:val="000000"/>
                <w:sz w:val="18"/>
              </w:rPr>
              <w:t>≤5% length agreement is not geometric identity</w:t>
            </w:r>
          </w:p>
        </w:tc>
      </w:tr>
    </w:tbl>
    <w:p>
      <w:pPr>
        <w:spacing w:after="20"/>
      </w:pPr>
    </w:p>
    <w:p>
      <w:pPr>
        <w:widowControl/>
      </w:pPr>
      <w:r>
        <w:rPr>
          <w:rFonts w:ascii="Arial" w:hAnsi="Arial"/>
          <w:color w:val="000000"/>
        </w:rPr>
        <w:t xml:space="preserve">Extraction excerpt from the saved collector; the complete request construction and error handling are at </w:t>
      </w:r>
      <w:hyperlink r:id="rId28">
        <w:r>
          <w:rPr>
            <w:color w:val="174B76"/>
            <w:sz w:val="18"/>
          </w:rPr>
          <w:t>https://github.com/SuperFlyTK/rmt-a3-travel-time-astana/blob/main/collector/collect.py</w:t>
        </w:r>
      </w:hyperlink>
    </w:p>
    <w:p>
      <w:pPr>
        <w:spacing w:after="160"/>
      </w:pPr>
      <w:r>
        <w:rPr>
          <w:rFonts w:ascii="Consolas" w:hAnsi="Consolas"/>
          <w:sz w:val="18"/>
        </w:rPr>
        <w:t xml:space="preserve">    if provider=='ors':</w:t>
        <w:br/>
        <w:t xml:space="preserve">        first=data['features'][0]</w:t>
        <w:br/>
        <w:t xml:space="preserve">        s=first['properties']['summary']</w:t>
        <w:br/>
        <w:t xml:space="preserve">        return s['duration'],'',s['distance'],first['geometry']</w:t>
      </w:r>
    </w:p>
    <w:p>
      <w:pPr>
        <w:pStyle w:val="Heading3"/>
      </w:pPr>
      <w:r>
        <w:t>E.1 Source register</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134"/>
        <w:gridCol w:w="1134"/>
        <w:gridCol w:w="1020"/>
        <w:gridCol w:w="1701"/>
        <w:gridCol w:w="2268"/>
        <w:gridCol w:w="2381"/>
      </w:tblGrid>
      <w:tr>
        <w:trPr>
          <w:tblHeader/>
          <w:cantSplit/>
        </w:trPr>
        <w:tc>
          <w:tcPr>
            <w:tcW w:type="dxa" w:w="1134"/>
            <w:vAlign w:val="center"/>
            <w:shd w:fill="EAEAEA"/>
          </w:tcPr>
          <w:p>
            <w:pPr>
              <w:keepNext/>
              <w:spacing w:after="40" w:line="240" w:lineRule="auto"/>
            </w:pPr>
            <w:r>
              <w:rPr>
                <w:rFonts w:ascii="Arial" w:hAnsi="Arial"/>
                <w:b/>
                <w:color w:val="000000"/>
                <w:sz w:val="18"/>
              </w:rPr>
              <w:t>Source</w:t>
            </w:r>
          </w:p>
        </w:tc>
        <w:tc>
          <w:tcPr>
            <w:tcW w:type="dxa" w:w="1134"/>
            <w:vAlign w:val="center"/>
            <w:shd w:fill="EAEAEA"/>
          </w:tcPr>
          <w:p>
            <w:pPr>
              <w:keepNext/>
              <w:spacing w:after="40" w:line="240" w:lineRule="auto"/>
            </w:pPr>
            <w:r>
              <w:rPr>
                <w:rFonts w:ascii="Arial" w:hAnsi="Arial"/>
                <w:b/>
                <w:color w:val="000000"/>
                <w:sz w:val="18"/>
              </w:rPr>
              <w:t>Owner</w:t>
            </w:r>
          </w:p>
        </w:tc>
        <w:tc>
          <w:tcPr>
            <w:tcW w:type="dxa" w:w="1020"/>
            <w:vAlign w:val="center"/>
            <w:shd w:fill="EAEAEA"/>
          </w:tcPr>
          <w:p>
            <w:pPr>
              <w:keepNext/>
              <w:spacing w:after="40" w:line="240" w:lineRule="auto"/>
            </w:pPr>
            <w:r>
              <w:rPr>
                <w:rFonts w:ascii="Arial" w:hAnsi="Arial"/>
                <w:b/>
                <w:color w:val="000000"/>
                <w:sz w:val="18"/>
              </w:rPr>
              <w:t>Access date</w:t>
            </w:r>
          </w:p>
        </w:tc>
        <w:tc>
          <w:tcPr>
            <w:tcW w:type="dxa" w:w="1701"/>
            <w:vAlign w:val="center"/>
            <w:shd w:fill="EAEAEA"/>
          </w:tcPr>
          <w:p>
            <w:pPr>
              <w:keepNext/>
              <w:spacing w:after="40" w:line="240" w:lineRule="auto"/>
            </w:pPr>
            <w:r>
              <w:rPr>
                <w:rFonts w:ascii="Arial" w:hAnsi="Arial"/>
                <w:b/>
                <w:color w:val="000000"/>
                <w:sz w:val="18"/>
              </w:rPr>
              <w:t>Version</w:t>
            </w:r>
          </w:p>
        </w:tc>
        <w:tc>
          <w:tcPr>
            <w:tcW w:type="dxa" w:w="2268"/>
            <w:vAlign w:val="center"/>
            <w:shd w:fill="EAEAEA"/>
          </w:tcPr>
          <w:p>
            <w:pPr>
              <w:keepNext/>
              <w:spacing w:after="40" w:line="240" w:lineRule="auto"/>
            </w:pPr>
            <w:r>
              <w:rPr>
                <w:rFonts w:ascii="Arial" w:hAnsi="Arial"/>
                <w:b/>
                <w:color w:val="000000"/>
                <w:sz w:val="18"/>
              </w:rPr>
              <w:t>Licence / scope</w:t>
            </w:r>
          </w:p>
        </w:tc>
        <w:tc>
          <w:tcPr>
            <w:tcW w:type="dxa" w:w="2381"/>
            <w:vAlign w:val="center"/>
            <w:shd w:fill="EAEAEA"/>
          </w:tcPr>
          <w:p>
            <w:pPr>
              <w:keepNext/>
              <w:spacing w:after="40" w:line="240" w:lineRule="auto"/>
            </w:pPr>
            <w:r>
              <w:rPr>
                <w:rFonts w:ascii="Arial" w:hAnsi="Arial"/>
                <w:b/>
                <w:color w:val="000000"/>
                <w:sz w:val="18"/>
              </w:rPr>
              <w:t>Full URL</w:t>
            </w:r>
          </w:p>
        </w:tc>
      </w:tr>
      <w:tr>
        <w:trPr>
          <w:cantSplit/>
        </w:trPr>
        <w:tc>
          <w:tcPr>
            <w:tcW w:type="dxa" w:w="1134"/>
            <w:vAlign w:val="center"/>
          </w:tcPr>
          <w:p>
            <w:pPr>
              <w:keepNext/>
              <w:spacing w:after="40" w:line="240" w:lineRule="auto"/>
            </w:pPr>
            <w:r>
              <w:rPr>
                <w:rFonts w:ascii="Arial" w:hAnsi="Arial"/>
                <w:color w:val="000000"/>
                <w:sz w:val="18"/>
              </w:rPr>
              <w:t>ORS results</w:t>
            </w:r>
          </w:p>
        </w:tc>
        <w:tc>
          <w:tcPr>
            <w:tcW w:type="dxa" w:w="1134"/>
            <w:vAlign w:val="center"/>
          </w:tcPr>
          <w:p>
            <w:pPr>
              <w:keepNext/>
              <w:spacing w:after="40" w:line="240" w:lineRule="auto"/>
            </w:pPr>
            <w:r>
              <w:rPr>
                <w:rFonts w:ascii="Arial" w:hAnsi="Arial"/>
                <w:color w:val="000000"/>
                <w:sz w:val="18"/>
              </w:rPr>
              <w:t>HeiGIT</w:t>
            </w:r>
          </w:p>
        </w:tc>
        <w:tc>
          <w:tcPr>
            <w:tcW w:type="dxa" w:w="1020"/>
            <w:vAlign w:val="center"/>
          </w:tcPr>
          <w:p>
            <w:pPr>
              <w:keepNext/>
              <w:spacing w:after="40" w:line="240" w:lineRule="auto"/>
            </w:pPr>
            <w:r>
              <w:rPr>
                <w:rFonts w:ascii="Arial" w:hAnsi="Arial"/>
                <w:color w:val="000000"/>
                <w:sz w:val="18"/>
              </w:rPr>
              <w:t>24 October 2026</w:t>
            </w:r>
          </w:p>
        </w:tc>
        <w:tc>
          <w:tcPr>
            <w:tcW w:type="dxa" w:w="1701"/>
            <w:vAlign w:val="center"/>
          </w:tcPr>
          <w:p>
            <w:pPr>
              <w:keepNext/>
              <w:spacing w:after="40" w:line="240" w:lineRule="auto"/>
            </w:pPr>
            <w:r>
              <w:rPr>
                <w:rFonts w:ascii="Arial" w:hAnsi="Arial"/>
                <w:color w:val="000000"/>
                <w:sz w:val="18"/>
              </w:rPr>
              <w:t>Directions v2; build metadata in saved response</w:t>
            </w:r>
          </w:p>
        </w:tc>
        <w:tc>
          <w:tcPr>
            <w:tcW w:type="dxa" w:w="2268"/>
            <w:vAlign w:val="center"/>
          </w:tcPr>
          <w:p>
            <w:pPr>
              <w:keepNext/>
              <w:spacing w:after="40" w:line="240" w:lineRule="auto"/>
            </w:pPr>
            <w:r>
              <w:rPr>
                <w:rFonts w:ascii="Arial" w:hAnsi="Arial"/>
                <w:color w:val="000000"/>
                <w:sz w:val="18"/>
              </w:rPr>
              <w:t>CC BY-SA 4.0; attribution; active instrument</w:t>
            </w:r>
          </w:p>
        </w:tc>
        <w:tc>
          <w:tcPr>
            <w:tcW w:type="dxa" w:w="2381"/>
            <w:vAlign w:val="center"/>
          </w:tcPr>
          <w:p>
            <w:pPr>
              <w:keepNext/>
              <w:spacing w:after="40" w:line="240" w:lineRule="auto"/>
            </w:pPr>
            <w:hyperlink r:id="rId41">
              <w:r>
                <w:rPr>
                  <w:color w:val="174B76"/>
                  <w:sz w:val="18"/>
                </w:rPr>
                <w:t>https://account.heigit.org/info/tos</w:t>
              </w:r>
            </w:hyperlink>
          </w:p>
        </w:tc>
      </w:tr>
      <w:tr>
        <w:trPr>
          <w:cantSplit/>
        </w:trPr>
        <w:tc>
          <w:tcPr>
            <w:tcW w:type="dxa" w:w="1134"/>
            <w:vAlign w:val="center"/>
          </w:tcPr>
          <w:p>
            <w:pPr>
              <w:keepNext/>
              <w:spacing w:after="40" w:line="240" w:lineRule="auto"/>
            </w:pPr>
            <w:r>
              <w:rPr>
                <w:rFonts w:ascii="Arial" w:hAnsi="Arial"/>
                <w:color w:val="000000"/>
                <w:sz w:val="18"/>
              </w:rPr>
              <w:t>Endpoint facts</w:t>
            </w:r>
          </w:p>
        </w:tc>
        <w:tc>
          <w:tcPr>
            <w:tcW w:type="dxa" w:w="1134"/>
            <w:vAlign w:val="center"/>
          </w:tcPr>
          <w:p>
            <w:pPr>
              <w:keepNext/>
              <w:spacing w:after="40" w:line="240" w:lineRule="auto"/>
            </w:pPr>
            <w:r>
              <w:rPr>
                <w:rFonts w:ascii="Arial" w:hAnsi="Arial"/>
                <w:color w:val="000000"/>
                <w:sz w:val="18"/>
              </w:rPr>
              <w:t>OpenStreetMap contributors</w:t>
            </w:r>
          </w:p>
        </w:tc>
        <w:tc>
          <w:tcPr>
            <w:tcW w:type="dxa" w:w="1020"/>
            <w:vAlign w:val="center"/>
          </w:tcPr>
          <w:p>
            <w:pPr>
              <w:keepNext/>
              <w:spacing w:after="40" w:line="240" w:lineRule="auto"/>
            </w:pPr>
            <w:r>
              <w:rPr>
                <w:rFonts w:ascii="Arial" w:hAnsi="Arial"/>
                <w:color w:val="000000"/>
                <w:sz w:val="18"/>
              </w:rPr>
              <w:t>24 October 2026</w:t>
            </w:r>
          </w:p>
        </w:tc>
        <w:tc>
          <w:tcPr>
            <w:tcW w:type="dxa" w:w="1701"/>
            <w:vAlign w:val="center"/>
          </w:tcPr>
          <w:p>
            <w:pPr>
              <w:keepNext/>
              <w:spacing w:after="40" w:line="240" w:lineRule="auto"/>
            </w:pPr>
            <w:r>
              <w:rPr>
                <w:rFonts w:ascii="Arial" w:hAnsi="Arial"/>
                <w:color w:val="000000"/>
                <w:sz w:val="18"/>
              </w:rPr>
              <w:t>Saved Overpass extract and manifest</w:t>
            </w:r>
          </w:p>
        </w:tc>
        <w:tc>
          <w:tcPr>
            <w:tcW w:type="dxa" w:w="2268"/>
            <w:vAlign w:val="center"/>
          </w:tcPr>
          <w:p>
            <w:pPr>
              <w:keepNext/>
              <w:spacing w:after="40" w:line="240" w:lineRule="auto"/>
            </w:pPr>
            <w:r>
              <w:rPr>
                <w:rFonts w:ascii="Arial" w:hAnsi="Arial"/>
                <w:color w:val="000000"/>
                <w:sz w:val="18"/>
              </w:rPr>
              <w:t>ODbL; public geographic data</w:t>
            </w:r>
          </w:p>
        </w:tc>
        <w:tc>
          <w:tcPr>
            <w:tcW w:type="dxa" w:w="2381"/>
            <w:vAlign w:val="center"/>
          </w:tcPr>
          <w:p>
            <w:pPr>
              <w:keepNext/>
              <w:spacing w:after="40" w:line="240" w:lineRule="auto"/>
            </w:pPr>
            <w:hyperlink r:id="rId42">
              <w:r>
                <w:rPr>
                  <w:color w:val="174B76"/>
                  <w:sz w:val="18"/>
                </w:rPr>
                <w:t>https://www.openstreetmap.org/copyright</w:t>
              </w:r>
            </w:hyperlink>
          </w:p>
        </w:tc>
      </w:tr>
      <w:tr>
        <w:trPr>
          <w:cantSplit/>
        </w:trPr>
        <w:tc>
          <w:tcPr>
            <w:tcW w:type="dxa" w:w="1134"/>
            <w:vAlign w:val="center"/>
          </w:tcPr>
          <w:p>
            <w:pPr>
              <w:keepNext/>
              <w:spacing w:after="40" w:line="240" w:lineRule="auto"/>
            </w:pPr>
            <w:r>
              <w:rPr>
                <w:rFonts w:ascii="Arial" w:hAnsi="Arial"/>
                <w:color w:val="000000"/>
                <w:sz w:val="18"/>
              </w:rPr>
              <w:t>TomTom docs</w:t>
            </w:r>
          </w:p>
        </w:tc>
        <w:tc>
          <w:tcPr>
            <w:tcW w:type="dxa" w:w="1134"/>
            <w:vAlign w:val="center"/>
          </w:tcPr>
          <w:p>
            <w:pPr>
              <w:keepNext/>
              <w:spacing w:after="40" w:line="240" w:lineRule="auto"/>
            </w:pPr>
            <w:r>
              <w:rPr>
                <w:rFonts w:ascii="Arial" w:hAnsi="Arial"/>
                <w:color w:val="000000"/>
                <w:sz w:val="18"/>
              </w:rPr>
              <w:t>TomTom</w:t>
            </w:r>
          </w:p>
        </w:tc>
        <w:tc>
          <w:tcPr>
            <w:tcW w:type="dxa" w:w="1020"/>
            <w:vAlign w:val="center"/>
          </w:tcPr>
          <w:p>
            <w:pPr>
              <w:keepNext/>
              <w:spacing w:after="40" w:line="240" w:lineRule="auto"/>
            </w:pPr>
            <w:r>
              <w:rPr>
                <w:rFonts w:ascii="Arial" w:hAnsi="Arial"/>
                <w:color w:val="000000"/>
                <w:sz w:val="18"/>
              </w:rPr>
              <w:t>24 October 2026</w:t>
            </w:r>
          </w:p>
        </w:tc>
        <w:tc>
          <w:tcPr>
            <w:tcW w:type="dxa" w:w="1701"/>
            <w:vAlign w:val="center"/>
          </w:tcPr>
          <w:p>
            <w:pPr>
              <w:keepNext/>
              <w:spacing w:after="40" w:line="240" w:lineRule="auto"/>
            </w:pPr>
            <w:r>
              <w:rPr>
                <w:rFonts w:ascii="Arial" w:hAnsi="Arial"/>
                <w:color w:val="000000"/>
                <w:sz w:val="18"/>
              </w:rPr>
              <w:t>Routing v1</w:t>
            </w:r>
          </w:p>
        </w:tc>
        <w:tc>
          <w:tcPr>
            <w:tcW w:type="dxa" w:w="2268"/>
            <w:vAlign w:val="center"/>
          </w:tcPr>
          <w:p>
            <w:pPr>
              <w:keepNext/>
              <w:spacing w:after="40" w:line="240" w:lineRule="auto"/>
            </w:pPr>
            <w:r>
              <w:rPr>
                <w:rFonts w:ascii="Arial" w:hAnsi="Arial"/>
                <w:color w:val="000000"/>
                <w:sz w:val="18"/>
              </w:rPr>
              <w:t>Documentation only; comparison/storage blocked</w:t>
            </w:r>
          </w:p>
        </w:tc>
        <w:tc>
          <w:tcPr>
            <w:tcW w:type="dxa" w:w="2381"/>
            <w:vAlign w:val="center"/>
          </w:tcPr>
          <w:p>
            <w:pPr>
              <w:keepNext/>
              <w:spacing w:after="40" w:line="240" w:lineRule="auto"/>
            </w:pPr>
            <w:hyperlink r:id="rId43">
              <w:r>
                <w:rPr>
                  <w:color w:val="174B76"/>
                  <w:sz w:val="18"/>
                </w:rPr>
                <w:t>https://docs.tomtom.com/legal/terms-and-conditions</w:t>
              </w:r>
            </w:hyperlink>
          </w:p>
        </w:tc>
      </w:tr>
      <w:tr>
        <w:trPr>
          <w:cantSplit/>
        </w:trPr>
        <w:tc>
          <w:tcPr>
            <w:tcW w:type="dxa" w:w="1134"/>
            <w:vAlign w:val="center"/>
          </w:tcPr>
          <w:p>
            <w:pPr>
              <w:keepNext/>
              <w:spacing w:after="40" w:line="240" w:lineRule="auto"/>
            </w:pPr>
            <w:r>
              <w:rPr>
                <w:rFonts w:ascii="Arial" w:hAnsi="Arial"/>
                <w:color w:val="000000"/>
                <w:sz w:val="18"/>
              </w:rPr>
              <w:t>2GIS docs</w:t>
            </w:r>
          </w:p>
        </w:tc>
        <w:tc>
          <w:tcPr>
            <w:tcW w:type="dxa" w:w="1134"/>
            <w:vAlign w:val="center"/>
          </w:tcPr>
          <w:p>
            <w:pPr>
              <w:keepNext/>
              <w:spacing w:after="40" w:line="240" w:lineRule="auto"/>
            </w:pPr>
            <w:r>
              <w:rPr>
                <w:rFonts w:ascii="Arial" w:hAnsi="Arial"/>
                <w:color w:val="000000"/>
                <w:sz w:val="18"/>
              </w:rPr>
              <w:t>2GIS</w:t>
            </w:r>
          </w:p>
        </w:tc>
        <w:tc>
          <w:tcPr>
            <w:tcW w:type="dxa" w:w="1020"/>
            <w:vAlign w:val="center"/>
          </w:tcPr>
          <w:p>
            <w:pPr>
              <w:keepNext/>
              <w:spacing w:after="40" w:line="240" w:lineRule="auto"/>
            </w:pPr>
            <w:r>
              <w:rPr>
                <w:rFonts w:ascii="Arial" w:hAnsi="Arial"/>
                <w:color w:val="000000"/>
                <w:sz w:val="18"/>
              </w:rPr>
              <w:t>24 October 2026</w:t>
            </w:r>
          </w:p>
        </w:tc>
        <w:tc>
          <w:tcPr>
            <w:tcW w:type="dxa" w:w="1701"/>
            <w:vAlign w:val="center"/>
          </w:tcPr>
          <w:p>
            <w:pPr>
              <w:keepNext/>
              <w:spacing w:after="40" w:line="240" w:lineRule="auto"/>
            </w:pPr>
            <w:r>
              <w:rPr>
                <w:rFonts w:ascii="Arial" w:hAnsi="Arial"/>
                <w:color w:val="000000"/>
                <w:sz w:val="18"/>
              </w:rPr>
              <w:t>Routing 7.0.0 global</w:t>
            </w:r>
          </w:p>
        </w:tc>
        <w:tc>
          <w:tcPr>
            <w:tcW w:type="dxa" w:w="2268"/>
            <w:vAlign w:val="center"/>
          </w:tcPr>
          <w:p>
            <w:pPr>
              <w:keepNext/>
              <w:spacing w:after="40" w:line="240" w:lineRule="auto"/>
            </w:pPr>
            <w:r>
              <w:rPr>
                <w:rFonts w:ascii="Arial" w:hAnsi="Arial"/>
                <w:color w:val="000000"/>
                <w:sz w:val="18"/>
              </w:rPr>
              <w:t>Documentation only; applicable demo rights unresolved</w:t>
            </w:r>
          </w:p>
        </w:tc>
        <w:tc>
          <w:tcPr>
            <w:tcW w:type="dxa" w:w="2381"/>
            <w:vAlign w:val="center"/>
          </w:tcPr>
          <w:p>
            <w:pPr>
              <w:keepNext/>
              <w:spacing w:after="40" w:line="240" w:lineRule="auto"/>
            </w:pPr>
            <w:hyperlink r:id="rId44">
              <w:r>
                <w:rPr>
                  <w:color w:val="174B76"/>
                  <w:sz w:val="18"/>
                </w:rPr>
                <w:t>https://docs.2gis.com/en/api/navigation/routing/overview</w:t>
              </w:r>
            </w:hyperlink>
          </w:p>
        </w:tc>
      </w:tr>
      <w:tr>
        <w:trPr>
          <w:cantSplit/>
        </w:trPr>
        <w:tc>
          <w:tcPr>
            <w:tcW w:type="dxa" w:w="1134"/>
            <w:vAlign w:val="center"/>
          </w:tcPr>
          <w:p>
            <w:pPr>
              <w:keepNext/>
              <w:spacing w:after="40" w:line="240" w:lineRule="auto"/>
            </w:pPr>
            <w:r>
              <w:rPr>
                <w:rFonts w:ascii="Arial" w:hAnsi="Arial"/>
                <w:color w:val="000000"/>
                <w:sz w:val="18"/>
              </w:rPr>
              <w:t>Study records</w:t>
            </w:r>
          </w:p>
        </w:tc>
        <w:tc>
          <w:tcPr>
            <w:tcW w:type="dxa" w:w="1134"/>
            <w:vAlign w:val="center"/>
          </w:tcPr>
          <w:p>
            <w:pPr>
              <w:keepNext/>
              <w:spacing w:after="40" w:line="240" w:lineRule="auto"/>
            </w:pPr>
            <w:r>
              <w:rPr>
                <w:rFonts w:ascii="Arial" w:hAnsi="Arial"/>
                <w:color w:val="000000"/>
                <w:sz w:val="18"/>
              </w:rPr>
              <w:t>Project team</w:t>
            </w:r>
          </w:p>
        </w:tc>
        <w:tc>
          <w:tcPr>
            <w:tcW w:type="dxa" w:w="1020"/>
            <w:vAlign w:val="center"/>
          </w:tcPr>
          <w:p>
            <w:pPr>
              <w:keepNext/>
              <w:spacing w:after="40" w:line="240" w:lineRule="auto"/>
            </w:pPr>
            <w:r>
              <w:rPr>
                <w:rFonts w:ascii="Arial" w:hAnsi="Arial"/>
                <w:color w:val="000000"/>
                <w:sz w:val="18"/>
              </w:rPr>
              <w:t>24 October 2026</w:t>
            </w:r>
          </w:p>
        </w:tc>
        <w:tc>
          <w:tcPr>
            <w:tcW w:type="dxa" w:w="1701"/>
            <w:vAlign w:val="center"/>
          </w:tcPr>
          <w:p>
            <w:pPr>
              <w:keepNext/>
              <w:spacing w:after="40" w:line="240" w:lineRule="auto"/>
            </w:pPr>
            <w:r>
              <w:rPr>
                <w:rFonts w:ascii="Arial" w:hAnsi="Arial"/>
                <w:color w:val="000000"/>
                <w:sz w:val="18"/>
              </w:rPr>
              <w:t>2026-10-24T11:13:51.125096+00:00</w:t>
            </w:r>
          </w:p>
        </w:tc>
        <w:tc>
          <w:tcPr>
            <w:tcW w:type="dxa" w:w="2268"/>
            <w:vAlign w:val="center"/>
          </w:tcPr>
          <w:p>
            <w:pPr>
              <w:keepNext/>
              <w:spacing w:after="40" w:line="240" w:lineRule="auto"/>
            </w:pPr>
            <w:r>
              <w:rPr>
                <w:rFonts w:ascii="Arial" w:hAnsi="Arial"/>
                <w:color w:val="000000"/>
                <w:sz w:val="18"/>
              </w:rPr>
              <w:t>Derived ORS outputs retain CC BY-SA attribution</w:t>
            </w:r>
          </w:p>
        </w:tc>
        <w:tc>
          <w:tcPr>
            <w:tcW w:type="dxa" w:w="2381"/>
            <w:vAlign w:val="center"/>
          </w:tcPr>
          <w:p>
            <w:pPr>
              <w:keepNext/>
              <w:spacing w:after="40" w:line="240" w:lineRule="auto"/>
            </w:pPr>
            <w:hyperlink r:id="rId45">
              <w:r>
                <w:rPr>
                  <w:color w:val="174B76"/>
                  <w:sz w:val="18"/>
                </w:rPr>
                <w:t>https://github.com/SuperFlyTK/rmt-a3-travel-time-astana/tree/main/data</w:t>
              </w:r>
            </w:hyperlink>
          </w:p>
        </w:tc>
      </w:tr>
      <w:tr>
        <w:trPr>
          <w:cantSplit/>
        </w:trPr>
        <w:tc>
          <w:tcPr>
            <w:tcW w:type="dxa" w:w="1134"/>
            <w:vAlign w:val="center"/>
          </w:tcPr>
          <w:p>
            <w:pPr>
              <w:keepNext w:val="0"/>
              <w:spacing w:after="40" w:line="240" w:lineRule="auto"/>
            </w:pPr>
            <w:r>
              <w:rPr>
                <w:rFonts w:ascii="Arial" w:hAnsi="Arial"/>
                <w:color w:val="000000"/>
                <w:sz w:val="18"/>
              </w:rPr>
              <w:t>Google test</w:t>
            </w:r>
          </w:p>
        </w:tc>
        <w:tc>
          <w:tcPr>
            <w:tcW w:type="dxa" w:w="1134"/>
            <w:vAlign w:val="center"/>
          </w:tcPr>
          <w:p>
            <w:pPr>
              <w:keepNext w:val="0"/>
              <w:spacing w:after="40" w:line="240" w:lineRule="auto"/>
            </w:pPr>
            <w:r>
              <w:rPr>
                <w:rFonts w:ascii="Arial" w:hAnsi="Arial"/>
                <w:color w:val="000000"/>
                <w:sz w:val="18"/>
              </w:rPr>
              <w:t>Google / project team</w:t>
            </w:r>
          </w:p>
        </w:tc>
        <w:tc>
          <w:tcPr>
            <w:tcW w:type="dxa" w:w="1020"/>
            <w:vAlign w:val="center"/>
          </w:tcPr>
          <w:p>
            <w:pPr>
              <w:keepNext w:val="0"/>
              <w:spacing w:after="40" w:line="240" w:lineRule="auto"/>
            </w:pPr>
            <w:r>
              <w:rPr>
                <w:rFonts w:ascii="Arial" w:hAnsi="Arial"/>
                <w:color w:val="000000"/>
                <w:sz w:val="18"/>
              </w:rPr>
              <w:t>24 October 2026</w:t>
            </w:r>
          </w:p>
        </w:tc>
        <w:tc>
          <w:tcPr>
            <w:tcW w:type="dxa" w:w="1701"/>
            <w:vAlign w:val="center"/>
          </w:tcPr>
          <w:p>
            <w:pPr>
              <w:keepNext w:val="0"/>
              <w:spacing w:after="40" w:line="240" w:lineRule="auto"/>
            </w:pPr>
            <w:r>
              <w:rPr>
                <w:rFonts w:ascii="Arial" w:hAnsi="Arial"/>
                <w:color w:val="000000"/>
                <w:sz w:val="18"/>
              </w:rPr>
              <w:t>Routes v2; Demo key</w:t>
            </w:r>
          </w:p>
        </w:tc>
        <w:tc>
          <w:tcPr>
            <w:tcW w:type="dxa" w:w="2268"/>
            <w:vAlign w:val="center"/>
          </w:tcPr>
          <w:p>
            <w:pPr>
              <w:keepNext w:val="0"/>
              <w:spacing w:after="40" w:line="240" w:lineRule="auto"/>
            </w:pPr>
            <w:r>
              <w:rPr>
                <w:rFonts w:ascii="Arial" w:hAnsi="Arial"/>
                <w:color w:val="000000"/>
                <w:sz w:val="18"/>
              </w:rPr>
              <w:t>Original benchmark aggregates only; no saved Google response values</w:t>
            </w:r>
          </w:p>
        </w:tc>
        <w:tc>
          <w:tcPr>
            <w:tcW w:type="dxa" w:w="2381"/>
            <w:vAlign w:val="center"/>
          </w:tcPr>
          <w:p>
            <w:pPr>
              <w:keepNext w:val="0"/>
              <w:spacing w:after="40" w:line="240" w:lineRule="auto"/>
            </w:pPr>
            <w:hyperlink r:id="rId46">
              <w:r>
                <w:rPr>
                  <w:color w:val="174B76"/>
                  <w:sz w:val="18"/>
                </w:rPr>
                <w:t>https://cloud.google.com/maps-platform/terms</w:t>
              </w:r>
            </w:hyperlink>
          </w:p>
        </w:tc>
      </w:tr>
    </w:tbl>
    <w:p>
      <w:pPr>
        <w:spacing w:after="20"/>
      </w:pPr>
    </w:p>
    <w:p>
      <w:pPr>
        <w:pStyle w:val="Heading3"/>
      </w:pPr>
      <w:r>
        <w:t>E.2 Data dictionary</w:t>
      </w:r>
    </w:p>
    <w:p>
      <w:pPr>
        <w:widowControl/>
      </w:pPr>
      <w:r>
        <w:rPr>
          <w:rFonts w:ascii="Arial" w:hAnsi="Arial"/>
          <w:color w:val="000000"/>
        </w:rPr>
        <w:t>The dictionary distinguishes absent optional fields from missing measurements. An empty no-traffic duration is expected for ORS and is not replaced by a fabricated baseline. Empty error and exclusion fields indicate a successful unflagged record, not poor data quality. Missing counts use each named dataset as their denominator. A paired dataset with no records has no observed missingness percentage. The inventory includes every raw, audited and paired column generated by the processing script.</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494"/>
        <w:gridCol w:w="964"/>
        <w:gridCol w:w="1304"/>
        <w:gridCol w:w="3231"/>
        <w:gridCol w:w="1644"/>
      </w:tblGrid>
      <w:tr>
        <w:trPr>
          <w:tblHeader/>
          <w:cantSplit/>
        </w:trPr>
        <w:tc>
          <w:tcPr>
            <w:tcW w:type="dxa" w:w="2494"/>
            <w:vAlign w:val="center"/>
            <w:shd w:fill="EAEAEA"/>
          </w:tcPr>
          <w:p>
            <w:pPr>
              <w:keepNext/>
              <w:spacing w:after="40" w:line="240" w:lineRule="auto"/>
            </w:pPr>
            <w:r>
              <w:rPr>
                <w:rFonts w:ascii="Arial" w:hAnsi="Arial"/>
                <w:b/>
                <w:color w:val="000000"/>
                <w:sz w:val="18"/>
              </w:rPr>
              <w:t>Dataset / column</w:t>
            </w:r>
          </w:p>
        </w:tc>
        <w:tc>
          <w:tcPr>
            <w:tcW w:type="dxa" w:w="964"/>
            <w:vAlign w:val="center"/>
            <w:shd w:fill="EAEAEA"/>
          </w:tcPr>
          <w:p>
            <w:pPr>
              <w:keepNext/>
              <w:spacing w:after="40" w:line="240" w:lineRule="auto"/>
            </w:pPr>
            <w:r>
              <w:rPr>
                <w:rFonts w:ascii="Arial" w:hAnsi="Arial"/>
                <w:b/>
                <w:color w:val="000000"/>
                <w:sz w:val="18"/>
              </w:rPr>
              <w:t>Type</w:t>
            </w:r>
          </w:p>
        </w:tc>
        <w:tc>
          <w:tcPr>
            <w:tcW w:type="dxa" w:w="1304"/>
            <w:vAlign w:val="center"/>
            <w:shd w:fill="EAEAEA"/>
          </w:tcPr>
          <w:p>
            <w:pPr>
              <w:keepNext/>
              <w:spacing w:after="40" w:line="240" w:lineRule="auto"/>
            </w:pPr>
            <w:r>
              <w:rPr>
                <w:rFonts w:ascii="Arial" w:hAnsi="Arial"/>
                <w:b/>
                <w:color w:val="000000"/>
                <w:sz w:val="18"/>
              </w:rPr>
              <w:t>Unit</w:t>
            </w:r>
          </w:p>
        </w:tc>
        <w:tc>
          <w:tcPr>
            <w:tcW w:type="dxa" w:w="3231"/>
            <w:vAlign w:val="center"/>
            <w:shd w:fill="EAEAEA"/>
          </w:tcPr>
          <w:p>
            <w:pPr>
              <w:keepNext/>
              <w:spacing w:after="40" w:line="240" w:lineRule="auto"/>
            </w:pPr>
            <w:r>
              <w:rPr>
                <w:rFonts w:ascii="Arial" w:hAnsi="Arial"/>
                <w:b/>
                <w:color w:val="000000"/>
                <w:sz w:val="18"/>
              </w:rPr>
              <w:t>Considered values or range</w:t>
            </w:r>
          </w:p>
        </w:tc>
        <w:tc>
          <w:tcPr>
            <w:tcW w:type="dxa" w:w="1644"/>
            <w:vAlign w:val="center"/>
            <w:shd w:fill="EAEAEA"/>
          </w:tcPr>
          <w:p>
            <w:pPr>
              <w:keepNext/>
              <w:spacing w:after="40" w:line="240" w:lineRule="auto"/>
            </w:pPr>
            <w:r>
              <w:rPr>
                <w:rFonts w:ascii="Arial" w:hAnsi="Arial"/>
                <w:b/>
                <w:color w:val="000000"/>
                <w:sz w:val="18"/>
              </w:rPr>
              <w:t>Missing count / %</w:t>
            </w:r>
          </w:p>
        </w:tc>
      </w:tr>
      <w:tr>
        <w:trPr>
          <w:cantSplit/>
        </w:trPr>
        <w:tc>
          <w:tcPr>
            <w:tcW w:type="dxa" w:w="2494"/>
            <w:vAlign w:val="center"/>
          </w:tcPr>
          <w:p>
            <w:pPr>
              <w:keepNext w:val="0"/>
              <w:spacing w:after="40" w:line="240" w:lineRule="auto"/>
            </w:pPr>
            <w:r>
              <w:rPr>
                <w:rFonts w:ascii="Arial" w:hAnsi="Arial"/>
                <w:color w:val="000000"/>
                <w:sz w:val="18"/>
              </w:rPr>
              <w:t>raw</w:t>
              <w:br/>
              <w:t>timestamp_utc</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ISO 8601 UTC</w:t>
            </w:r>
          </w:p>
        </w:tc>
        <w:tc>
          <w:tcPr>
            <w:tcW w:type="dxa" w:w="3231"/>
            <w:vAlign w:val="center"/>
          </w:tcPr>
          <w:p>
            <w:pPr>
              <w:keepNext w:val="0"/>
              <w:spacing w:after="40" w:line="240" w:lineRule="auto"/>
            </w:pPr>
            <w:r>
              <w:rPr>
                <w:rFonts w:ascii="Arial" w:hAnsi="Arial"/>
                <w:color w:val="000000"/>
                <w:sz w:val="18"/>
              </w:rPr>
              <w:t>Timezone-aware request start</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timestamp_astana</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ISO 8601 Asia/Almaty</w:t>
            </w:r>
          </w:p>
        </w:tc>
        <w:tc>
          <w:tcPr>
            <w:tcW w:type="dxa" w:w="3231"/>
            <w:vAlign w:val="center"/>
          </w:tcPr>
          <w:p>
            <w:pPr>
              <w:keepNext w:val="0"/>
              <w:spacing w:after="40" w:line="240" w:lineRule="auto"/>
            </w:pPr>
            <w:r>
              <w:rPr>
                <w:rFonts w:ascii="Arial" w:hAnsi="Arial"/>
                <w:color w:val="000000"/>
                <w:sz w:val="18"/>
              </w:rPr>
              <w:t>Same instant in Astana; UTC+05 for study dates</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cycle_id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One collection cycle</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route_id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Fixed OD route register</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provider</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tomtom | dgis | ors</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duration_s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 finite; estimated travel time</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duration_no_traffic_s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 finite when returned; provider-specific baseline, not interchangeable</w:t>
            </w:r>
          </w:p>
        </w:tc>
        <w:tc>
          <w:tcPr>
            <w:tcW w:type="dxa" w:w="1644"/>
            <w:vAlign w:val="center"/>
          </w:tcPr>
          <w:p>
            <w:pPr>
              <w:keepNext w:val="0"/>
              <w:spacing w:after="40" w:line="240" w:lineRule="auto"/>
            </w:pPr>
            <w:r>
              <w:rPr>
                <w:rFonts w:ascii="Arial" w:hAnsi="Arial"/>
                <w:color w:val="000000"/>
                <w:sz w:val="18"/>
              </w:rPr>
              <w:t>68 / 100.0% (n=68)</w:t>
            </w:r>
          </w:p>
        </w:tc>
      </w:tr>
      <w:tr>
        <w:trPr>
          <w:cantSplit/>
        </w:trPr>
        <w:tc>
          <w:tcPr>
            <w:tcW w:type="dxa" w:w="2494"/>
            <w:vAlign w:val="center"/>
          </w:tcPr>
          <w:p>
            <w:pPr>
              <w:keepNext w:val="0"/>
              <w:spacing w:after="40" w:line="240" w:lineRule="auto"/>
            </w:pPr>
            <w:r>
              <w:rPr>
                <w:rFonts w:ascii="Arial" w:hAnsi="Arial"/>
                <w:color w:val="000000"/>
                <w:sz w:val="18"/>
              </w:rPr>
              <w:t>raw</w:t>
              <w:br/>
              <w:t>distance_m</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metres</w:t>
            </w:r>
          </w:p>
        </w:tc>
        <w:tc>
          <w:tcPr>
            <w:tcW w:type="dxa" w:w="3231"/>
            <w:vAlign w:val="center"/>
          </w:tcPr>
          <w:p>
            <w:pPr>
              <w:keepNext w:val="0"/>
              <w:spacing w:after="40" w:line="240" w:lineRule="auto"/>
            </w:pPr>
            <w:r>
              <w:rPr>
                <w:rFonts w:ascii="Arial" w:hAnsi="Arial"/>
                <w:color w:val="000000"/>
                <w:sz w:val="18"/>
              </w:rPr>
              <w:t>&gt;0 finite; provider returned route length</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status</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ok | http_error | transport_error | invalid_response</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http_code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HTTP status</w:t>
            </w:r>
          </w:p>
        </w:tc>
        <w:tc>
          <w:tcPr>
            <w:tcW w:type="dxa" w:w="3231"/>
            <w:vAlign w:val="center"/>
          </w:tcPr>
          <w:p>
            <w:pPr>
              <w:keepNext w:val="0"/>
              <w:spacing w:after="40" w:line="240" w:lineRule="auto"/>
            </w:pPr>
            <w:r>
              <w:rPr>
                <w:rFonts w:ascii="Arial" w:hAnsi="Arial"/>
                <w:color w:val="000000"/>
                <w:sz w:val="18"/>
              </w:rPr>
              <w:t>100..599 or missing if transport failed</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error</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text</w:t>
            </w:r>
          </w:p>
        </w:tc>
        <w:tc>
          <w:tcPr>
            <w:tcW w:type="dxa" w:w="3231"/>
            <w:vAlign w:val="center"/>
          </w:tcPr>
          <w:p>
            <w:pPr>
              <w:keepNext w:val="0"/>
              <w:spacing w:after="40" w:line="240" w:lineRule="auto"/>
            </w:pPr>
            <w:r>
              <w:rPr>
                <w:rFonts w:ascii="Arial" w:hAnsi="Arial"/>
                <w:color w:val="000000"/>
                <w:sz w:val="18"/>
              </w:rPr>
              <w:t>Sanitized collector error; blank on success</w:t>
            </w:r>
          </w:p>
        </w:tc>
        <w:tc>
          <w:tcPr>
            <w:tcW w:type="dxa" w:w="1644"/>
            <w:vAlign w:val="center"/>
          </w:tcPr>
          <w:p>
            <w:pPr>
              <w:keepNext w:val="0"/>
              <w:spacing w:after="40" w:line="240" w:lineRule="auto"/>
            </w:pPr>
            <w:r>
              <w:rPr>
                <w:rFonts w:ascii="Arial" w:hAnsi="Arial"/>
                <w:color w:val="000000"/>
                <w:sz w:val="18"/>
              </w:rPr>
              <w:t>68 / 100.0% (n=68)</w:t>
            </w:r>
          </w:p>
        </w:tc>
      </w:tr>
      <w:tr>
        <w:trPr>
          <w:cantSplit/>
        </w:trPr>
        <w:tc>
          <w:tcPr>
            <w:tcW w:type="dxa" w:w="2494"/>
            <w:vAlign w:val="center"/>
          </w:tcPr>
          <w:p>
            <w:pPr>
              <w:keepNext w:val="0"/>
              <w:spacing w:after="40" w:line="240" w:lineRule="auto"/>
            </w:pPr>
            <w:r>
              <w:rPr>
                <w:rFonts w:ascii="Arial" w:hAnsi="Arial"/>
                <w:color w:val="000000"/>
                <w:sz w:val="18"/>
              </w:rPr>
              <w:t>raw</w:t>
              <w:br/>
              <w:t>request_id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Unique collector request ID</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latency_s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 finite</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geometry_file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relative path</w:t>
            </w:r>
          </w:p>
        </w:tc>
        <w:tc>
          <w:tcPr>
            <w:tcW w:type="dxa" w:w="3231"/>
            <w:vAlign w:val="center"/>
          </w:tcPr>
          <w:p>
            <w:pPr>
              <w:keepNext w:val="0"/>
              <w:spacing w:after="40" w:line="240" w:lineRule="auto"/>
            </w:pPr>
            <w:r>
              <w:rPr>
                <w:rFonts w:ascii="Arial" w:hAnsi="Arial"/>
                <w:color w:val="000000"/>
                <w:sz w:val="18"/>
              </w:rPr>
              <w:t>Saved geometry; optional, absence not a synthetic geometry</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raw_file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relative path</w:t>
            </w:r>
          </w:p>
        </w:tc>
        <w:tc>
          <w:tcPr>
            <w:tcW w:type="dxa" w:w="3231"/>
            <w:vAlign w:val="center"/>
          </w:tcPr>
          <w:p>
            <w:pPr>
              <w:keepNext w:val="0"/>
              <w:spacing w:after="40" w:line="240" w:lineRule="auto"/>
            </w:pPr>
            <w:r>
              <w:rPr>
                <w:rFonts w:ascii="Arial" w:hAnsi="Arial"/>
                <w:color w:val="000000"/>
                <w:sz w:val="18"/>
              </w:rPr>
              <w:t>Saved sanitized provider response</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raw</w:t>
              <w:br/>
              <w:t>phase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pilot | scheduled | manual</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timestamp_utc</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ISO 8601 UTC</w:t>
            </w:r>
          </w:p>
        </w:tc>
        <w:tc>
          <w:tcPr>
            <w:tcW w:type="dxa" w:w="3231"/>
            <w:vAlign w:val="center"/>
          </w:tcPr>
          <w:p>
            <w:pPr>
              <w:keepNext w:val="0"/>
              <w:spacing w:after="40" w:line="240" w:lineRule="auto"/>
            </w:pPr>
            <w:r>
              <w:rPr>
                <w:rFonts w:ascii="Arial" w:hAnsi="Arial"/>
                <w:color w:val="000000"/>
                <w:sz w:val="18"/>
              </w:rPr>
              <w:t>Timezone-aware request start</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timestamp_astana</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ISO 8601 Asia/Almaty</w:t>
            </w:r>
          </w:p>
        </w:tc>
        <w:tc>
          <w:tcPr>
            <w:tcW w:type="dxa" w:w="3231"/>
            <w:vAlign w:val="center"/>
          </w:tcPr>
          <w:p>
            <w:pPr>
              <w:keepNext w:val="0"/>
              <w:spacing w:after="40" w:line="240" w:lineRule="auto"/>
            </w:pPr>
            <w:r>
              <w:rPr>
                <w:rFonts w:ascii="Arial" w:hAnsi="Arial"/>
                <w:color w:val="000000"/>
                <w:sz w:val="18"/>
              </w:rPr>
              <w:t>Same instant in Astana; UTC+05 for study dates</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cycle_id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One collection cycle</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route_id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Fixed OD route register</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provider</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tomtom | dgis | ors</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duration_s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 finite; estimated travel time</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duration_no_traffic_s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 finite when returned; provider-specific baseline, not interchangeable</w:t>
            </w:r>
          </w:p>
        </w:tc>
        <w:tc>
          <w:tcPr>
            <w:tcW w:type="dxa" w:w="1644"/>
            <w:vAlign w:val="center"/>
          </w:tcPr>
          <w:p>
            <w:pPr>
              <w:keepNext w:val="0"/>
              <w:spacing w:after="40" w:line="240" w:lineRule="auto"/>
            </w:pPr>
            <w:r>
              <w:rPr>
                <w:rFonts w:ascii="Arial" w:hAnsi="Arial"/>
                <w:color w:val="000000"/>
                <w:sz w:val="18"/>
              </w:rPr>
              <w:t>68 / 100.0% (n=68)</w:t>
            </w:r>
          </w:p>
        </w:tc>
      </w:tr>
      <w:tr>
        <w:trPr>
          <w:cantSplit/>
        </w:trPr>
        <w:tc>
          <w:tcPr>
            <w:tcW w:type="dxa" w:w="2494"/>
            <w:vAlign w:val="center"/>
          </w:tcPr>
          <w:p>
            <w:pPr>
              <w:keepNext w:val="0"/>
              <w:spacing w:after="40" w:line="240" w:lineRule="auto"/>
            </w:pPr>
            <w:r>
              <w:rPr>
                <w:rFonts w:ascii="Arial" w:hAnsi="Arial"/>
                <w:color w:val="000000"/>
                <w:sz w:val="18"/>
              </w:rPr>
              <w:t>observations</w:t>
              <w:br/>
              <w:t>distance_m</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metres</w:t>
            </w:r>
          </w:p>
        </w:tc>
        <w:tc>
          <w:tcPr>
            <w:tcW w:type="dxa" w:w="3231"/>
            <w:vAlign w:val="center"/>
          </w:tcPr>
          <w:p>
            <w:pPr>
              <w:keepNext w:val="0"/>
              <w:spacing w:after="40" w:line="240" w:lineRule="auto"/>
            </w:pPr>
            <w:r>
              <w:rPr>
                <w:rFonts w:ascii="Arial" w:hAnsi="Arial"/>
                <w:color w:val="000000"/>
                <w:sz w:val="18"/>
              </w:rPr>
              <w:t>&gt;0 finite; provider returned route length</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status</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ok | http_error | transport_error | invalid_response</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http_code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HTTP status</w:t>
            </w:r>
          </w:p>
        </w:tc>
        <w:tc>
          <w:tcPr>
            <w:tcW w:type="dxa" w:w="3231"/>
            <w:vAlign w:val="center"/>
          </w:tcPr>
          <w:p>
            <w:pPr>
              <w:keepNext w:val="0"/>
              <w:spacing w:after="40" w:line="240" w:lineRule="auto"/>
            </w:pPr>
            <w:r>
              <w:rPr>
                <w:rFonts w:ascii="Arial" w:hAnsi="Arial"/>
                <w:color w:val="000000"/>
                <w:sz w:val="18"/>
              </w:rPr>
              <w:t>100..599 or missing if transport failed</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error</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text</w:t>
            </w:r>
          </w:p>
        </w:tc>
        <w:tc>
          <w:tcPr>
            <w:tcW w:type="dxa" w:w="3231"/>
            <w:vAlign w:val="center"/>
          </w:tcPr>
          <w:p>
            <w:pPr>
              <w:keepNext w:val="0"/>
              <w:spacing w:after="40" w:line="240" w:lineRule="auto"/>
            </w:pPr>
            <w:r>
              <w:rPr>
                <w:rFonts w:ascii="Arial" w:hAnsi="Arial"/>
                <w:color w:val="000000"/>
                <w:sz w:val="18"/>
              </w:rPr>
              <w:t>Sanitized collector error; blank on success</w:t>
            </w:r>
          </w:p>
        </w:tc>
        <w:tc>
          <w:tcPr>
            <w:tcW w:type="dxa" w:w="1644"/>
            <w:vAlign w:val="center"/>
          </w:tcPr>
          <w:p>
            <w:pPr>
              <w:keepNext w:val="0"/>
              <w:spacing w:after="40" w:line="240" w:lineRule="auto"/>
            </w:pPr>
            <w:r>
              <w:rPr>
                <w:rFonts w:ascii="Arial" w:hAnsi="Arial"/>
                <w:color w:val="000000"/>
                <w:sz w:val="18"/>
              </w:rPr>
              <w:t>68 / 100.0% (n=68)</w:t>
            </w:r>
          </w:p>
        </w:tc>
      </w:tr>
      <w:tr>
        <w:trPr>
          <w:cantSplit/>
        </w:trPr>
        <w:tc>
          <w:tcPr>
            <w:tcW w:type="dxa" w:w="2494"/>
            <w:vAlign w:val="center"/>
          </w:tcPr>
          <w:p>
            <w:pPr>
              <w:keepNext w:val="0"/>
              <w:spacing w:after="40" w:line="240" w:lineRule="auto"/>
            </w:pPr>
            <w:r>
              <w:rPr>
                <w:rFonts w:ascii="Arial" w:hAnsi="Arial"/>
                <w:color w:val="000000"/>
                <w:sz w:val="18"/>
              </w:rPr>
              <w:t>observations</w:t>
              <w:br/>
              <w:t>request_id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Unique collector request ID</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latency_s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 finite</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geometry_file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relative path</w:t>
            </w:r>
          </w:p>
        </w:tc>
        <w:tc>
          <w:tcPr>
            <w:tcW w:type="dxa" w:w="3231"/>
            <w:vAlign w:val="center"/>
          </w:tcPr>
          <w:p>
            <w:pPr>
              <w:keepNext w:val="0"/>
              <w:spacing w:after="40" w:line="240" w:lineRule="auto"/>
            </w:pPr>
            <w:r>
              <w:rPr>
                <w:rFonts w:ascii="Arial" w:hAnsi="Arial"/>
                <w:color w:val="000000"/>
                <w:sz w:val="18"/>
              </w:rPr>
              <w:t>Saved geometry; optional, absence not a synthetic geometry</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raw_file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relative path</w:t>
            </w:r>
          </w:p>
        </w:tc>
        <w:tc>
          <w:tcPr>
            <w:tcW w:type="dxa" w:w="3231"/>
            <w:vAlign w:val="center"/>
          </w:tcPr>
          <w:p>
            <w:pPr>
              <w:keepNext w:val="0"/>
              <w:spacing w:after="40" w:line="240" w:lineRule="auto"/>
            </w:pPr>
            <w:r>
              <w:rPr>
                <w:rFonts w:ascii="Arial" w:hAnsi="Arial"/>
                <w:color w:val="000000"/>
                <w:sz w:val="18"/>
              </w:rPr>
              <w:t>Saved sanitized provider response</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phase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pilot | scheduled | manual</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source_file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path</w:t>
            </w:r>
          </w:p>
        </w:tc>
        <w:tc>
          <w:tcPr>
            <w:tcW w:type="dxa" w:w="3231"/>
            <w:vAlign w:val="center"/>
          </w:tcPr>
          <w:p>
            <w:pPr>
              <w:keepNext w:val="0"/>
              <w:spacing w:after="40" w:line="240" w:lineRule="auto"/>
            </w:pPr>
            <w:r>
              <w:rPr>
                <w:rFonts w:ascii="Arial" w:hAnsi="Arial"/>
                <w:color w:val="000000"/>
                <w:sz w:val="18"/>
              </w:rPr>
              <w:t>Actual input CSV, repository-relative when inside the root</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source_line</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line</w:t>
            </w:r>
          </w:p>
        </w:tc>
        <w:tc>
          <w:tcPr>
            <w:tcW w:type="dxa" w:w="3231"/>
            <w:vAlign w:val="center"/>
          </w:tcPr>
          <w:p>
            <w:pPr>
              <w:keepNext w:val="0"/>
              <w:spacing w:after="40" w:line="240" w:lineRule="auto"/>
            </w:pPr>
            <w:r>
              <w:rPr>
                <w:rFonts w:ascii="Arial" w:hAnsi="Arial"/>
                <w:color w:val="000000"/>
                <w:sz w:val="18"/>
              </w:rPr>
              <w:t>&gt;=2, header is line 1</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period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peak [17:30,19:30); offpeak [10:00,12:00) or [22:00,24:00); other</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date_astana</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local date</w:t>
            </w:r>
          </w:p>
        </w:tc>
        <w:tc>
          <w:tcPr>
            <w:tcW w:type="dxa" w:w="3231"/>
            <w:vAlign w:val="center"/>
          </w:tcPr>
          <w:p>
            <w:pPr>
              <w:keepNext w:val="0"/>
              <w:spacing w:after="40" w:line="240" w:lineRule="auto"/>
            </w:pPr>
            <w:r>
              <w:rPr>
                <w:rFonts w:ascii="Arial" w:hAnsi="Arial"/>
                <w:color w:val="000000"/>
                <w:sz w:val="18"/>
              </w:rPr>
              <w:t>Calendar date in Asia/Almaty</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speed_kmh</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km/h</w:t>
            </w:r>
          </w:p>
        </w:tc>
        <w:tc>
          <w:tcPr>
            <w:tcW w:type="dxa" w:w="3231"/>
            <w:vAlign w:val="center"/>
          </w:tcPr>
          <w:p>
            <w:pPr>
              <w:keepNext w:val="0"/>
              <w:spacing w:after="40" w:line="240" w:lineRule="auto"/>
            </w:pPr>
            <w:r>
              <w:rPr>
                <w:rFonts w:ascii="Arial" w:hAnsi="Arial"/>
                <w:color w:val="000000"/>
                <w:sz w:val="18"/>
              </w:rPr>
              <w:t>distance_m/duration_s*3.6; valid 2..200 inclusive</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usable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boolean</w:t>
            </w:r>
          </w:p>
        </w:tc>
        <w:tc>
          <w:tcPr>
            <w:tcW w:type="dxa" w:w="3231"/>
            <w:vAlign w:val="center"/>
          </w:tcPr>
          <w:p>
            <w:pPr>
              <w:keepNext w:val="0"/>
              <w:spacing w:after="40" w:line="240" w:lineRule="auto"/>
            </w:pPr>
            <w:r>
              <w:rPr>
                <w:rFonts w:ascii="Arial" w:hAnsi="Arial"/>
                <w:color w:val="000000"/>
                <w:sz w:val="18"/>
              </w:rPr>
              <w:t>Passed all rules needed for pairing</w:t>
            </w:r>
          </w:p>
        </w:tc>
        <w:tc>
          <w:tcPr>
            <w:tcW w:type="dxa" w:w="1644"/>
            <w:vAlign w:val="center"/>
          </w:tcPr>
          <w:p>
            <w:pPr>
              <w:keepNext w:val="0"/>
              <w:spacing w:after="40" w:line="240" w:lineRule="auto"/>
            </w:pPr>
            <w:r>
              <w:rPr>
                <w:rFonts w:ascii="Arial" w:hAnsi="Arial"/>
                <w:color w:val="000000"/>
                <w:sz w:val="18"/>
              </w:rPr>
              <w:t>0 / 0.0% (n=68)</w:t>
            </w:r>
          </w:p>
        </w:tc>
      </w:tr>
      <w:tr>
        <w:trPr>
          <w:cantSplit/>
        </w:trPr>
        <w:tc>
          <w:tcPr>
            <w:tcW w:type="dxa" w:w="2494"/>
            <w:vAlign w:val="center"/>
          </w:tcPr>
          <w:p>
            <w:pPr>
              <w:keepNext w:val="0"/>
              <w:spacing w:after="40" w:line="240" w:lineRule="auto"/>
            </w:pPr>
            <w:r>
              <w:rPr>
                <w:rFonts w:ascii="Arial" w:hAnsi="Arial"/>
                <w:color w:val="000000"/>
                <w:sz w:val="18"/>
              </w:rPr>
              <w:t>observations</w:t>
              <w:br/>
              <w:t>exclusion_reason</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codes</w:t>
            </w:r>
          </w:p>
        </w:tc>
        <w:tc>
          <w:tcPr>
            <w:tcW w:type="dxa" w:w="3231"/>
            <w:vAlign w:val="center"/>
          </w:tcPr>
          <w:p>
            <w:pPr>
              <w:keepNext w:val="0"/>
              <w:spacing w:after="40" w:line="240" w:lineRule="auto"/>
            </w:pPr>
            <w:r>
              <w:rPr>
                <w:rFonts w:ascii="Arial" w:hAnsi="Arial"/>
                <w:color w:val="000000"/>
                <w:sz w:val="18"/>
              </w:rPr>
              <w:t>Semicolon-separated validation flags; blank if usable</w:t>
            </w:r>
          </w:p>
        </w:tc>
        <w:tc>
          <w:tcPr>
            <w:tcW w:type="dxa" w:w="1644"/>
            <w:vAlign w:val="center"/>
          </w:tcPr>
          <w:p>
            <w:pPr>
              <w:keepNext w:val="0"/>
              <w:spacing w:after="40" w:line="240" w:lineRule="auto"/>
            </w:pPr>
            <w:r>
              <w:rPr>
                <w:rFonts w:ascii="Arial" w:hAnsi="Arial"/>
                <w:color w:val="000000"/>
                <w:sz w:val="18"/>
              </w:rPr>
              <w:t>68 / 100.0% (n=68)</w:t>
            </w:r>
          </w:p>
        </w:tc>
      </w:tr>
      <w:tr>
        <w:trPr>
          <w:cantSplit/>
        </w:trPr>
        <w:tc>
          <w:tcPr>
            <w:tcW w:type="dxa" w:w="2494"/>
            <w:vAlign w:val="center"/>
          </w:tcPr>
          <w:p>
            <w:pPr>
              <w:keepNext w:val="0"/>
              <w:spacing w:after="40" w:line="240" w:lineRule="auto"/>
            </w:pPr>
            <w:r>
              <w:rPr>
                <w:rFonts w:ascii="Arial" w:hAnsi="Arial"/>
                <w:color w:val="000000"/>
                <w:sz w:val="18"/>
              </w:rPr>
              <w:t>observations</w:t>
              <w:br/>
              <w:t>duplicate_kind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exact | conflicting_identity | blank</w:t>
            </w:r>
          </w:p>
        </w:tc>
        <w:tc>
          <w:tcPr>
            <w:tcW w:type="dxa" w:w="1644"/>
            <w:vAlign w:val="center"/>
          </w:tcPr>
          <w:p>
            <w:pPr>
              <w:keepNext w:val="0"/>
              <w:spacing w:after="40" w:line="240" w:lineRule="auto"/>
            </w:pPr>
            <w:r>
              <w:rPr>
                <w:rFonts w:ascii="Arial" w:hAnsi="Arial"/>
                <w:color w:val="000000"/>
                <w:sz w:val="18"/>
              </w:rPr>
              <w:t>68 / 100.0% (n=68)</w:t>
            </w:r>
          </w:p>
        </w:tc>
      </w:tr>
      <w:tr>
        <w:trPr>
          <w:cantSplit/>
        </w:trPr>
        <w:tc>
          <w:tcPr>
            <w:tcW w:type="dxa" w:w="2494"/>
            <w:vAlign w:val="center"/>
          </w:tcPr>
          <w:p>
            <w:pPr>
              <w:keepNext w:val="0"/>
              <w:spacing w:after="40" w:line="240" w:lineRule="auto"/>
            </w:pPr>
            <w:r>
              <w:rPr>
                <w:rFonts w:ascii="Arial" w:hAnsi="Arial"/>
                <w:color w:val="000000"/>
                <w:sz w:val="18"/>
              </w:rPr>
              <w:t>pairs</w:t>
              <w:br/>
              <w:t>timestamp_utc</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ISO 8601 UTC</w:t>
            </w:r>
          </w:p>
        </w:tc>
        <w:tc>
          <w:tcPr>
            <w:tcW w:type="dxa" w:w="3231"/>
            <w:vAlign w:val="center"/>
          </w:tcPr>
          <w:p>
            <w:pPr>
              <w:keepNext w:val="0"/>
              <w:spacing w:after="40" w:line="240" w:lineRule="auto"/>
            </w:pPr>
            <w:r>
              <w:rPr>
                <w:rFonts w:ascii="Arial" w:hAnsi="Arial"/>
                <w:color w:val="000000"/>
                <w:sz w:val="18"/>
              </w:rPr>
              <w:t>Timezone-aware request start</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timestamp_astana</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ISO 8601 Asia/Almaty</w:t>
            </w:r>
          </w:p>
        </w:tc>
        <w:tc>
          <w:tcPr>
            <w:tcW w:type="dxa" w:w="3231"/>
            <w:vAlign w:val="center"/>
          </w:tcPr>
          <w:p>
            <w:pPr>
              <w:keepNext w:val="0"/>
              <w:spacing w:after="40" w:line="240" w:lineRule="auto"/>
            </w:pPr>
            <w:r>
              <w:rPr>
                <w:rFonts w:ascii="Arial" w:hAnsi="Arial"/>
                <w:color w:val="000000"/>
                <w:sz w:val="18"/>
              </w:rPr>
              <w:t>Same instant in Astana; UTC+05 for study dates</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date_astana</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local date</w:t>
            </w:r>
          </w:p>
        </w:tc>
        <w:tc>
          <w:tcPr>
            <w:tcW w:type="dxa" w:w="3231"/>
            <w:vAlign w:val="center"/>
          </w:tcPr>
          <w:p>
            <w:pPr>
              <w:keepNext w:val="0"/>
              <w:spacing w:after="40" w:line="240" w:lineRule="auto"/>
            </w:pPr>
            <w:r>
              <w:rPr>
                <w:rFonts w:ascii="Arial" w:hAnsi="Arial"/>
                <w:color w:val="000000"/>
                <w:sz w:val="18"/>
              </w:rPr>
              <w:t>Calendar date in Asia/Almaty</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phase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pilot | scheduled | manual</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cycle_id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One collection cycle</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route_id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Fixed OD route register</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provider_a</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Order: tomtom, dgis, ors</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provider_b</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Order: tomtom, dgis, ors</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comparison_role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primary = tomtom-dgis; control = any comparison with ORS</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period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peak [17:30,19:30); offpeak [10:00,12:00) or [22:00,24:00); other</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time_gap_s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Absolute request-start separation; paired &lt;=60</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duration_a_s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duration_b_s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distance_a_m</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metres</w:t>
            </w:r>
          </w:p>
        </w:tc>
        <w:tc>
          <w:tcPr>
            <w:tcW w:type="dxa" w:w="3231"/>
            <w:vAlign w:val="center"/>
          </w:tcPr>
          <w:p>
            <w:pPr>
              <w:keepNext w:val="0"/>
              <w:spacing w:after="40" w:line="240" w:lineRule="auto"/>
            </w:pPr>
            <w:r>
              <w:rPr>
                <w:rFonts w:ascii="Arial" w:hAnsi="Arial"/>
                <w:color w:val="000000"/>
                <w:sz w:val="18"/>
              </w:rPr>
              <w:t>&gt;0</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distance_b_m</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metres</w:t>
            </w:r>
          </w:p>
        </w:tc>
        <w:tc>
          <w:tcPr>
            <w:tcW w:type="dxa" w:w="3231"/>
            <w:vAlign w:val="center"/>
          </w:tcPr>
          <w:p>
            <w:pPr>
              <w:keepNext w:val="0"/>
              <w:spacing w:after="40" w:line="240" w:lineRule="auto"/>
            </w:pPr>
            <w:r>
              <w:rPr>
                <w:rFonts w:ascii="Arial" w:hAnsi="Arial"/>
                <w:color w:val="000000"/>
                <w:sz w:val="18"/>
              </w:rPr>
              <w:t>&gt;0</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mean_duration_s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(A+B)/2</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signed_diff_s</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A-B; positive means A estimates longer</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abs_diff_s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|A-B|; lower indicates closer agreement</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relative_diff_pct</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w:t>
            </w:r>
          </w:p>
        </w:tc>
        <w:tc>
          <w:tcPr>
            <w:tcW w:type="dxa" w:w="3231"/>
            <w:vAlign w:val="center"/>
          </w:tcPr>
          <w:p>
            <w:pPr>
              <w:keepNext w:val="0"/>
              <w:spacing w:after="40" w:line="240" w:lineRule="auto"/>
            </w:pPr>
            <w:r>
              <w:rPr>
                <w:rFonts w:ascii="Arial" w:hAnsi="Arial"/>
                <w:color w:val="000000"/>
                <w:sz w:val="18"/>
              </w:rPr>
              <w:t>100*(A-B)/((A+B)/2); -200..200</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smape_pct</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w:t>
            </w:r>
          </w:p>
        </w:tc>
        <w:tc>
          <w:tcPr>
            <w:tcW w:type="dxa" w:w="3231"/>
            <w:vAlign w:val="center"/>
          </w:tcPr>
          <w:p>
            <w:pPr>
              <w:keepNext w:val="0"/>
              <w:spacing w:after="40" w:line="240" w:lineRule="auto"/>
            </w:pPr>
            <w:r>
              <w:rPr>
                <w:rFonts w:ascii="Arial" w:hAnsi="Arial"/>
                <w:color w:val="000000"/>
                <w:sz w:val="18"/>
              </w:rPr>
              <w:t>100*|A-B|/((A+B)/2); 0..200, lower is closer agreement</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length_diff_pct</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w:t>
            </w:r>
          </w:p>
        </w:tc>
        <w:tc>
          <w:tcPr>
            <w:tcW w:type="dxa" w:w="3231"/>
            <w:vAlign w:val="center"/>
          </w:tcPr>
          <w:p>
            <w:pPr>
              <w:keepNext w:val="0"/>
              <w:spacing w:after="40" w:line="240" w:lineRule="auto"/>
            </w:pPr>
            <w:r>
              <w:rPr>
                <w:rFonts w:ascii="Arial" w:hAnsi="Arial"/>
                <w:color w:val="000000"/>
                <w:sz w:val="18"/>
              </w:rPr>
              <w:t>100*|lengthA-lengthB|/((lengthA+lengthB)/2)</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length_comparable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boolean</w:t>
            </w:r>
          </w:p>
        </w:tc>
        <w:tc>
          <w:tcPr>
            <w:tcW w:type="dxa" w:w="3231"/>
            <w:vAlign w:val="center"/>
          </w:tcPr>
          <w:p>
            <w:pPr>
              <w:keepNext w:val="0"/>
              <w:spacing w:after="40" w:line="240" w:lineRule="auto"/>
            </w:pPr>
            <w:r>
              <w:rPr>
                <w:rFonts w:ascii="Arial" w:hAnsi="Arial"/>
                <w:color w:val="000000"/>
                <w:sz w:val="18"/>
              </w:rPr>
              <w:t>Length difference &lt;=5%; proxy only, does not prove identical paths</w:t>
            </w:r>
          </w:p>
        </w:tc>
        <w:tc>
          <w:tcPr>
            <w:tcW w:type="dxa" w:w="1644"/>
            <w:vAlign w:val="center"/>
          </w:tcPr>
          <w:p>
            <w:pPr>
              <w:keepNext w:val="0"/>
              <w:spacing w:after="40" w:line="240" w:lineRule="auto"/>
            </w:pPr>
            <w:r>
              <w:rPr>
                <w:rFonts w:ascii="Arial" w:hAnsi="Arial"/>
                <w:color w:val="000000"/>
                <w:sz w:val="18"/>
              </w:rPr>
              <w:t>0 / N/A (n=0)</w:t>
            </w:r>
          </w:p>
        </w:tc>
      </w:tr>
    </w:tbl>
    <w:p>
      <w:pPr>
        <w:spacing w:after="20"/>
      </w:pPr>
    </w:p>
    <w:p>
      <w:pPr>
        <w:widowControl/>
      </w:pPr>
      <w:r>
        <w:rPr>
          <w:rFonts w:ascii="Arial" w:hAnsi="Arial"/>
          <w:color w:val="000000"/>
        </w:rPr>
        <w:t>The separate one-row aggregate CSV uses counts for attempted/successful/valid pairs and length-comparable pairs; seconds for request gaps and difference summaries; percentages for sMAPE and length comparability; UTC timestamps for cycle bounds; and a nominal cycle identifier. Its metric definitions are in the dated protocol and aggregate() function, outside the ORS observation dictionary.</w:t>
      </w:r>
    </w:p>
    <w:p>
      <w:pPr>
        <w:pStyle w:val="Heading3"/>
      </w:pPr>
      <w:r>
        <w:t>E.3 Cleaning log</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587"/>
        <w:gridCol w:w="3912"/>
        <w:gridCol w:w="1361"/>
        <w:gridCol w:w="2778"/>
      </w:tblGrid>
      <w:tr>
        <w:trPr>
          <w:tblHeader/>
          <w:cantSplit/>
        </w:trPr>
        <w:tc>
          <w:tcPr>
            <w:tcW w:type="dxa" w:w="1587"/>
            <w:vAlign w:val="center"/>
            <w:shd w:fill="EAEAEA"/>
          </w:tcPr>
          <w:p>
            <w:pPr>
              <w:keepNext/>
              <w:spacing w:after="40" w:line="240" w:lineRule="auto"/>
            </w:pPr>
            <w:r>
              <w:rPr>
                <w:rFonts w:ascii="Arial" w:hAnsi="Arial"/>
                <w:b/>
                <w:color w:val="000000"/>
                <w:sz w:val="18"/>
              </w:rPr>
              <w:t>Step</w:t>
            </w:r>
          </w:p>
        </w:tc>
        <w:tc>
          <w:tcPr>
            <w:tcW w:type="dxa" w:w="3912"/>
            <w:vAlign w:val="center"/>
            <w:shd w:fill="EAEAEA"/>
          </w:tcPr>
          <w:p>
            <w:pPr>
              <w:keepNext/>
              <w:spacing w:after="40" w:line="240" w:lineRule="auto"/>
            </w:pPr>
            <w:r>
              <w:rPr>
                <w:rFonts w:ascii="Arial" w:hAnsi="Arial"/>
                <w:b/>
                <w:color w:val="000000"/>
                <w:sz w:val="18"/>
              </w:rPr>
              <w:t>Rule applied</w:t>
            </w:r>
          </w:p>
        </w:tc>
        <w:tc>
          <w:tcPr>
            <w:tcW w:type="dxa" w:w="1361"/>
            <w:vAlign w:val="center"/>
            <w:shd w:fill="EAEAEA"/>
          </w:tcPr>
          <w:p>
            <w:pPr>
              <w:keepNext/>
              <w:spacing w:after="40" w:line="240" w:lineRule="auto"/>
            </w:pPr>
            <w:r>
              <w:rPr>
                <w:rFonts w:ascii="Arial" w:hAnsi="Arial"/>
                <w:b/>
                <w:color w:val="000000"/>
                <w:sz w:val="18"/>
              </w:rPr>
              <w:t>Rows before / after</w:t>
            </w:r>
          </w:p>
        </w:tc>
        <w:tc>
          <w:tcPr>
            <w:tcW w:type="dxa" w:w="2778"/>
            <w:vAlign w:val="center"/>
            <w:shd w:fill="EAEAEA"/>
          </w:tcPr>
          <w:p>
            <w:pPr>
              <w:keepNext/>
              <w:spacing w:after="40" w:line="240" w:lineRule="auto"/>
            </w:pPr>
            <w:r>
              <w:rPr>
                <w:rFonts w:ascii="Arial" w:hAnsi="Arial"/>
                <w:b/>
                <w:color w:val="000000"/>
                <w:sz w:val="18"/>
              </w:rPr>
              <w:t>What it revealed</w:t>
            </w:r>
          </w:p>
        </w:tc>
      </w:tr>
      <w:tr>
        <w:trPr>
          <w:cantSplit/>
        </w:trPr>
        <w:tc>
          <w:tcPr>
            <w:tcW w:type="dxa" w:w="1587"/>
            <w:vAlign w:val="center"/>
          </w:tcPr>
          <w:p>
            <w:pPr>
              <w:keepNext w:val="0"/>
              <w:spacing w:after="40" w:line="240" w:lineRule="auto"/>
            </w:pPr>
            <w:r>
              <w:rPr>
                <w:rFonts w:ascii="Arial" w:hAnsi="Arial"/>
                <w:color w:val="000000"/>
                <w:sz w:val="18"/>
              </w:rPr>
              <w:t>0</w:t>
            </w:r>
          </w:p>
        </w:tc>
        <w:tc>
          <w:tcPr>
            <w:tcW w:type="dxa" w:w="3912"/>
            <w:vAlign w:val="center"/>
          </w:tcPr>
          <w:p>
            <w:pPr>
              <w:keepNext w:val="0"/>
              <w:spacing w:after="40" w:line="240" w:lineRule="auto"/>
            </w:pPr>
            <w:r>
              <w:rPr>
                <w:rFonts w:ascii="Arial" w:hAnsi="Arial"/>
                <w:color w:val="000000"/>
                <w:sz w:val="18"/>
              </w:rPr>
              <w:t>Read all top-level raw CSV files; originals unchanged</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All exclusions remain visible in observations.csv</w:t>
              <w:br/>
              <w:t>Affected rows: 0</w:t>
            </w:r>
          </w:p>
        </w:tc>
      </w:tr>
      <w:tr>
        <w:trPr>
          <w:cantSplit/>
        </w:trPr>
        <w:tc>
          <w:tcPr>
            <w:tcW w:type="dxa" w:w="1587"/>
            <w:vAlign w:val="center"/>
          </w:tcPr>
          <w:p>
            <w:pPr>
              <w:keepNext w:val="0"/>
              <w:spacing w:after="40" w:line="240" w:lineRule="auto"/>
            </w:pPr>
            <w:r>
              <w:rPr>
                <w:rFonts w:ascii="Arial" w:hAnsi="Arial"/>
                <w:color w:val="000000"/>
                <w:sz w:val="18"/>
              </w:rPr>
              <w:t>1</w:t>
            </w:r>
          </w:p>
        </w:tc>
        <w:tc>
          <w:tcPr>
            <w:tcW w:type="dxa" w:w="3912"/>
            <w:vAlign w:val="center"/>
          </w:tcPr>
          <w:p>
            <w:pPr>
              <w:keepNext w:val="0"/>
              <w:spacing w:after="40" w:line="240" w:lineRule="auto"/>
            </w:pPr>
            <w:r>
              <w:rPr>
                <w:rFonts w:ascii="Arial" w:hAnsi="Arial"/>
                <w:color w:val="000000"/>
                <w:sz w:val="18"/>
              </w:rPr>
              <w:t>exact_duplicate</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2</w:t>
            </w:r>
          </w:p>
        </w:tc>
        <w:tc>
          <w:tcPr>
            <w:tcW w:type="dxa" w:w="3912"/>
            <w:vAlign w:val="center"/>
          </w:tcPr>
          <w:p>
            <w:pPr>
              <w:keepNext w:val="0"/>
              <w:spacing w:after="40" w:line="240" w:lineRule="auto"/>
            </w:pPr>
            <w:r>
              <w:rPr>
                <w:rFonts w:ascii="Arial" w:hAnsi="Arial"/>
                <w:color w:val="000000"/>
                <w:sz w:val="18"/>
              </w:rPr>
              <w:t>conflicting_duplicate_identity</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3</w:t>
            </w:r>
          </w:p>
        </w:tc>
        <w:tc>
          <w:tcPr>
            <w:tcW w:type="dxa" w:w="3912"/>
            <w:vAlign w:val="center"/>
          </w:tcPr>
          <w:p>
            <w:pPr>
              <w:keepNext w:val="0"/>
              <w:spacing w:after="40" w:line="240" w:lineRule="auto"/>
            </w:pPr>
            <w:r>
              <w:rPr>
                <w:rFonts w:ascii="Arial" w:hAnsi="Arial"/>
                <w:color w:val="000000"/>
                <w:sz w:val="18"/>
              </w:rPr>
              <w:t>duplicate_request_id</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4</w:t>
            </w:r>
          </w:p>
        </w:tc>
        <w:tc>
          <w:tcPr>
            <w:tcW w:type="dxa" w:w="3912"/>
            <w:vAlign w:val="center"/>
          </w:tcPr>
          <w:p>
            <w:pPr>
              <w:keepNext w:val="0"/>
              <w:spacing w:after="40" w:line="240" w:lineRule="auto"/>
            </w:pPr>
            <w:r>
              <w:rPr>
                <w:rFonts w:ascii="Arial" w:hAnsi="Arial"/>
                <w:color w:val="000000"/>
                <w:sz w:val="18"/>
              </w:rPr>
              <w:t>invalid_timestamp</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5</w:t>
            </w:r>
          </w:p>
        </w:tc>
        <w:tc>
          <w:tcPr>
            <w:tcW w:type="dxa" w:w="3912"/>
            <w:vAlign w:val="center"/>
          </w:tcPr>
          <w:p>
            <w:pPr>
              <w:keepNext w:val="0"/>
              <w:spacing w:after="40" w:line="240" w:lineRule="auto"/>
            </w:pPr>
            <w:r>
              <w:rPr>
                <w:rFonts w:ascii="Arial" w:hAnsi="Arial"/>
                <w:color w:val="000000"/>
                <w:sz w:val="18"/>
              </w:rPr>
              <w:t>timestamp_disagreement</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6</w:t>
            </w:r>
          </w:p>
        </w:tc>
        <w:tc>
          <w:tcPr>
            <w:tcW w:type="dxa" w:w="3912"/>
            <w:vAlign w:val="center"/>
          </w:tcPr>
          <w:p>
            <w:pPr>
              <w:keepNext w:val="0"/>
              <w:spacing w:after="40" w:line="240" w:lineRule="auto"/>
            </w:pPr>
            <w:r>
              <w:rPr>
                <w:rFonts w:ascii="Arial" w:hAnsi="Arial"/>
                <w:color w:val="000000"/>
                <w:sz w:val="18"/>
              </w:rPr>
              <w:t>unknown_provider</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7</w:t>
            </w:r>
          </w:p>
        </w:tc>
        <w:tc>
          <w:tcPr>
            <w:tcW w:type="dxa" w:w="3912"/>
            <w:vAlign w:val="center"/>
          </w:tcPr>
          <w:p>
            <w:pPr>
              <w:keepNext w:val="0"/>
              <w:spacing w:after="40" w:line="240" w:lineRule="auto"/>
            </w:pPr>
            <w:r>
              <w:rPr>
                <w:rFonts w:ascii="Arial" w:hAnsi="Arial"/>
                <w:color w:val="000000"/>
                <w:sz w:val="18"/>
              </w:rPr>
              <w:t>missing_identity</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8</w:t>
            </w:r>
          </w:p>
        </w:tc>
        <w:tc>
          <w:tcPr>
            <w:tcW w:type="dxa" w:w="3912"/>
            <w:vAlign w:val="center"/>
          </w:tcPr>
          <w:p>
            <w:pPr>
              <w:keepNext w:val="0"/>
              <w:spacing w:after="40" w:line="240" w:lineRule="auto"/>
            </w:pPr>
            <w:r>
              <w:rPr>
                <w:rFonts w:ascii="Arial" w:hAnsi="Arial"/>
                <w:color w:val="000000"/>
                <w:sz w:val="18"/>
              </w:rPr>
              <w:t>unknown_phase</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9</w:t>
            </w:r>
          </w:p>
        </w:tc>
        <w:tc>
          <w:tcPr>
            <w:tcW w:type="dxa" w:w="3912"/>
            <w:vAlign w:val="center"/>
          </w:tcPr>
          <w:p>
            <w:pPr>
              <w:keepNext w:val="0"/>
              <w:spacing w:after="40" w:line="240" w:lineRule="auto"/>
            </w:pPr>
            <w:r>
              <w:rPr>
                <w:rFonts w:ascii="Arial" w:hAnsi="Arial"/>
                <w:color w:val="000000"/>
                <w:sz w:val="18"/>
              </w:rPr>
              <w:t>request_failed</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10</w:t>
            </w:r>
          </w:p>
        </w:tc>
        <w:tc>
          <w:tcPr>
            <w:tcW w:type="dxa" w:w="3912"/>
            <w:vAlign w:val="center"/>
          </w:tcPr>
          <w:p>
            <w:pPr>
              <w:keepNext w:val="0"/>
              <w:spacing w:after="40" w:line="240" w:lineRule="auto"/>
            </w:pPr>
            <w:r>
              <w:rPr>
                <w:rFonts w:ascii="Arial" w:hAnsi="Arial"/>
                <w:color w:val="000000"/>
                <w:sz w:val="18"/>
              </w:rPr>
              <w:t>invalid_duration</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11</w:t>
            </w:r>
          </w:p>
        </w:tc>
        <w:tc>
          <w:tcPr>
            <w:tcW w:type="dxa" w:w="3912"/>
            <w:vAlign w:val="center"/>
          </w:tcPr>
          <w:p>
            <w:pPr>
              <w:keepNext w:val="0"/>
              <w:spacing w:after="40" w:line="240" w:lineRule="auto"/>
            </w:pPr>
            <w:r>
              <w:rPr>
                <w:rFonts w:ascii="Arial" w:hAnsi="Arial"/>
                <w:color w:val="000000"/>
                <w:sz w:val="18"/>
              </w:rPr>
              <w:t>invalid_distance</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12</w:t>
            </w:r>
          </w:p>
        </w:tc>
        <w:tc>
          <w:tcPr>
            <w:tcW w:type="dxa" w:w="3912"/>
            <w:vAlign w:val="center"/>
          </w:tcPr>
          <w:p>
            <w:pPr>
              <w:keepNext w:val="0"/>
              <w:spacing w:after="40" w:line="240" w:lineRule="auto"/>
            </w:pPr>
            <w:r>
              <w:rPr>
                <w:rFonts w:ascii="Arial" w:hAnsi="Arial"/>
                <w:color w:val="000000"/>
                <w:sz w:val="18"/>
              </w:rPr>
              <w:t>speed_outside_2_200_kmh</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13</w:t>
            </w:r>
          </w:p>
        </w:tc>
        <w:tc>
          <w:tcPr>
            <w:tcW w:type="dxa" w:w="3912"/>
            <w:vAlign w:val="center"/>
          </w:tcPr>
          <w:p>
            <w:pPr>
              <w:keepNext w:val="0"/>
              <w:spacing w:after="40" w:line="240" w:lineRule="auto"/>
            </w:pPr>
            <w:r>
              <w:rPr>
                <w:rFonts w:ascii="Arial" w:hAnsi="Arial"/>
                <w:color w:val="000000"/>
                <w:sz w:val="18"/>
              </w:rPr>
              <w:t>invalid_latency</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14</w:t>
            </w:r>
          </w:p>
        </w:tc>
        <w:tc>
          <w:tcPr>
            <w:tcW w:type="dxa" w:w="3912"/>
            <w:vAlign w:val="center"/>
          </w:tcPr>
          <w:p>
            <w:pPr>
              <w:keepNext w:val="0"/>
              <w:spacing w:after="40" w:line="240" w:lineRule="auto"/>
            </w:pPr>
            <w:r>
              <w:rPr>
                <w:rFonts w:ascii="Arial" w:hAnsi="Arial"/>
                <w:color w:val="000000"/>
                <w:sz w:val="18"/>
              </w:rPr>
              <w:t>Optional no-traffic duration must be positive and finite when supplied</w:t>
            </w:r>
          </w:p>
        </w:tc>
        <w:tc>
          <w:tcPr>
            <w:tcW w:type="dxa" w:w="1361"/>
            <w:vAlign w:val="center"/>
          </w:tcPr>
          <w:p>
            <w:pPr>
              <w:keepNext w:val="0"/>
              <w:spacing w:after="40" w:line="240" w:lineRule="auto"/>
            </w:pPr>
            <w:r>
              <w:rPr>
                <w:rFonts w:ascii="Arial" w:hAnsi="Arial"/>
                <w:color w:val="000000"/>
                <w:sz w:val="18"/>
              </w:rPr>
              <w:t>68 / 68</w:t>
            </w:r>
          </w:p>
        </w:tc>
        <w:tc>
          <w:tcPr>
            <w:tcW w:type="dxa" w:w="2778"/>
            <w:vAlign w:val="center"/>
          </w:tcPr>
          <w:p>
            <w:pPr>
              <w:keepNext w:val="0"/>
              <w:spacing w:after="40" w:line="240" w:lineRule="auto"/>
            </w:pPr>
            <w:r>
              <w:rPr>
                <w:rFonts w:ascii="Arial" w:hAnsi="Arial"/>
                <w:color w:val="000000"/>
                <w:sz w:val="18"/>
              </w:rPr>
              <w:t>Baseline is not used in paired agreement metrics; raw value retained</w:t>
              <w:br/>
              <w:t>Affected rows: 0</w:t>
            </w:r>
          </w:p>
        </w:tc>
      </w:tr>
    </w:tbl>
    <w:p>
      <w:pPr>
        <w:spacing w:after="20"/>
      </w:pPr>
    </w:p>
    <w:p>
      <w:pPr>
        <w:pStyle w:val="Heading3"/>
      </w:pPr>
      <w:r>
        <w:t>E.4 Evidence to present</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757"/>
        <w:gridCol w:w="4762"/>
        <w:gridCol w:w="3118"/>
      </w:tblGrid>
      <w:tr>
        <w:trPr>
          <w:tblHeader/>
          <w:cantSplit/>
        </w:trPr>
        <w:tc>
          <w:tcPr>
            <w:tcW w:type="dxa" w:w="1757"/>
            <w:vAlign w:val="center"/>
            <w:shd w:fill="EAEAEA"/>
          </w:tcPr>
          <w:p>
            <w:pPr>
              <w:keepNext/>
              <w:spacing w:after="40" w:line="240" w:lineRule="auto"/>
            </w:pPr>
            <w:r>
              <w:rPr>
                <w:rFonts w:ascii="Arial" w:hAnsi="Arial"/>
                <w:b/>
                <w:color w:val="000000"/>
                <w:sz w:val="18"/>
              </w:rPr>
              <w:t>Evidence</w:t>
            </w:r>
          </w:p>
        </w:tc>
        <w:tc>
          <w:tcPr>
            <w:tcW w:type="dxa" w:w="4762"/>
            <w:vAlign w:val="center"/>
            <w:shd w:fill="EAEAEA"/>
          </w:tcPr>
          <w:p>
            <w:pPr>
              <w:keepNext/>
              <w:spacing w:after="40" w:line="240" w:lineRule="auto"/>
            </w:pPr>
            <w:r>
              <w:rPr>
                <w:rFonts w:ascii="Arial" w:hAnsi="Arial"/>
                <w:b/>
                <w:color w:val="000000"/>
                <w:sz w:val="18"/>
              </w:rPr>
              <w:t>Public location</w:t>
            </w:r>
          </w:p>
        </w:tc>
        <w:tc>
          <w:tcPr>
            <w:tcW w:type="dxa" w:w="3118"/>
            <w:vAlign w:val="center"/>
            <w:shd w:fill="EAEAEA"/>
          </w:tcPr>
          <w:p>
            <w:pPr>
              <w:keepNext/>
              <w:spacing w:after="40" w:line="240" w:lineRule="auto"/>
            </w:pPr>
            <w:r>
              <w:rPr>
                <w:rFonts w:ascii="Arial" w:hAnsi="Arial"/>
                <w:b/>
                <w:color w:val="000000"/>
                <w:sz w:val="18"/>
              </w:rPr>
              <w:t>Visible content</w:t>
            </w:r>
          </w:p>
        </w:tc>
      </w:tr>
      <w:tr>
        <w:trPr>
          <w:cantSplit/>
        </w:trPr>
        <w:tc>
          <w:tcPr>
            <w:tcW w:type="dxa" w:w="1757"/>
            <w:vAlign w:val="center"/>
          </w:tcPr>
          <w:p>
            <w:pPr>
              <w:keepNext/>
              <w:spacing w:after="40" w:line="240" w:lineRule="auto"/>
            </w:pPr>
            <w:r>
              <w:rPr>
                <w:rFonts w:ascii="Arial" w:hAnsi="Arial"/>
                <w:color w:val="000000"/>
                <w:sz w:val="18"/>
              </w:rPr>
              <w:t>Initial extract</w:t>
            </w:r>
          </w:p>
        </w:tc>
        <w:tc>
          <w:tcPr>
            <w:tcW w:type="dxa" w:w="4762"/>
            <w:vAlign w:val="center"/>
          </w:tcPr>
          <w:p>
            <w:pPr>
              <w:keepNext/>
              <w:spacing w:after="40" w:line="240" w:lineRule="auto"/>
            </w:pPr>
            <w:hyperlink r:id="rId34">
              <w:r>
                <w:rPr>
                  <w:color w:val="174B76"/>
                  <w:sz w:val="18"/>
                </w:rPr>
                <w:t>https://github.com/SuperFlyTK/rmt-a3-travel-time-astana/tree/main/data/raw</w:t>
              </w:r>
            </w:hyperlink>
          </w:p>
        </w:tc>
        <w:tc>
          <w:tcPr>
            <w:tcW w:type="dxa" w:w="3118"/>
            <w:vAlign w:val="center"/>
          </w:tcPr>
          <w:p>
            <w:pPr>
              <w:keepNext/>
              <w:spacing w:after="40" w:line="240" w:lineRule="auto"/>
            </w:pPr>
            <w:r>
              <w:rPr>
                <w:rFonts w:ascii="Arial" w:hAnsi="Arial"/>
                <w:color w:val="000000"/>
                <w:sz w:val="18"/>
              </w:rPr>
              <w:t>Original chronological request rows and licensed ORS responses</w:t>
            </w:r>
          </w:p>
        </w:tc>
      </w:tr>
      <w:tr>
        <w:trPr>
          <w:cantSplit/>
        </w:trPr>
        <w:tc>
          <w:tcPr>
            <w:tcW w:type="dxa" w:w="1757"/>
            <w:vAlign w:val="center"/>
          </w:tcPr>
          <w:p>
            <w:pPr>
              <w:keepNext/>
              <w:spacing w:after="40" w:line="240" w:lineRule="auto"/>
            </w:pPr>
            <w:r>
              <w:rPr>
                <w:rFonts w:ascii="Arial" w:hAnsi="Arial"/>
                <w:color w:val="000000"/>
                <w:sz w:val="18"/>
              </w:rPr>
              <w:t>Processed file</w:t>
            </w:r>
          </w:p>
        </w:tc>
        <w:tc>
          <w:tcPr>
            <w:tcW w:type="dxa" w:w="4762"/>
            <w:vAlign w:val="center"/>
          </w:tcPr>
          <w:p>
            <w:pPr>
              <w:keepNext/>
              <w:spacing w:after="40" w:line="240" w:lineRule="auto"/>
            </w:pPr>
            <w:hyperlink r:id="rId35">
              <w:r>
                <w:rPr>
                  <w:color w:val="174B76"/>
                  <w:sz w:val="18"/>
                </w:rPr>
                <w:t>https://github.com/SuperFlyTK/rmt-a3-travel-time-astana/blob/main/results/observations.csv</w:t>
              </w:r>
            </w:hyperlink>
          </w:p>
        </w:tc>
        <w:tc>
          <w:tcPr>
            <w:tcW w:type="dxa" w:w="3118"/>
            <w:vAlign w:val="center"/>
          </w:tcPr>
          <w:p>
            <w:pPr>
              <w:keepNext/>
              <w:spacing w:after="40" w:line="240" w:lineRule="auto"/>
            </w:pPr>
            <w:r>
              <w:rPr>
                <w:rFonts w:ascii="Arial" w:hAnsi="Arial"/>
                <w:color w:val="000000"/>
                <w:sz w:val="18"/>
              </w:rPr>
              <w:t>Source links, values and validation decisions</w:t>
            </w:r>
          </w:p>
        </w:tc>
      </w:tr>
      <w:tr>
        <w:trPr>
          <w:cantSplit/>
        </w:trPr>
        <w:tc>
          <w:tcPr>
            <w:tcW w:type="dxa" w:w="1757"/>
            <w:vAlign w:val="center"/>
          </w:tcPr>
          <w:p>
            <w:pPr>
              <w:keepNext/>
              <w:spacing w:after="40" w:line="240" w:lineRule="auto"/>
            </w:pPr>
            <w:r>
              <w:rPr>
                <w:rFonts w:ascii="Arial" w:hAnsi="Arial"/>
                <w:color w:val="000000"/>
                <w:sz w:val="18"/>
              </w:rPr>
              <w:t>Codings</w:t>
            </w:r>
          </w:p>
        </w:tc>
        <w:tc>
          <w:tcPr>
            <w:tcW w:type="dxa" w:w="4762"/>
            <w:vAlign w:val="center"/>
          </w:tcPr>
          <w:p>
            <w:pPr>
              <w:keepNext/>
              <w:spacing w:after="40" w:line="240" w:lineRule="auto"/>
            </w:pPr>
            <w:hyperlink r:id="rId30">
              <w:r>
                <w:rPr>
                  <w:color w:val="174B76"/>
                  <w:sz w:val="18"/>
                </w:rPr>
                <w:t>https://github.com/SuperFlyTK/rmt-a3-travel-time-astana/blob/main/analysis/process.py</w:t>
              </w:r>
            </w:hyperlink>
          </w:p>
        </w:tc>
        <w:tc>
          <w:tcPr>
            <w:tcW w:type="dxa" w:w="3118"/>
            <w:vAlign w:val="center"/>
          </w:tcPr>
          <w:p>
            <w:pPr>
              <w:keepNext/>
              <w:spacing w:after="40" w:line="240" w:lineRule="auto"/>
            </w:pPr>
            <w:r>
              <w:rPr>
                <w:rFonts w:ascii="Arial" w:hAnsi="Arial"/>
                <w:color w:val="000000"/>
                <w:sz w:val="18"/>
              </w:rPr>
              <w:t>Cleaning, grouping and metric definitions</w:t>
            </w:r>
          </w:p>
        </w:tc>
      </w:tr>
      <w:tr>
        <w:trPr>
          <w:cantSplit/>
        </w:trPr>
        <w:tc>
          <w:tcPr>
            <w:tcW w:type="dxa" w:w="1757"/>
            <w:vAlign w:val="center"/>
          </w:tcPr>
          <w:p>
            <w:pPr>
              <w:keepNext w:val="0"/>
              <w:spacing w:after="40" w:line="240" w:lineRule="auto"/>
            </w:pPr>
            <w:r>
              <w:rPr>
                <w:rFonts w:ascii="Arial" w:hAnsi="Arial"/>
                <w:color w:val="000000"/>
                <w:sz w:val="18"/>
              </w:rPr>
              <w:t>Figures</w:t>
            </w:r>
          </w:p>
        </w:tc>
        <w:tc>
          <w:tcPr>
            <w:tcW w:type="dxa" w:w="4762"/>
            <w:vAlign w:val="center"/>
          </w:tcPr>
          <w:p>
            <w:pPr>
              <w:keepNext w:val="0"/>
              <w:spacing w:after="40" w:line="240" w:lineRule="auto"/>
            </w:pPr>
            <w:hyperlink r:id="rId47">
              <w:r>
                <w:rPr>
                  <w:color w:val="174B76"/>
                  <w:sz w:val="18"/>
                </w:rPr>
                <w:t>https://github.com/SuperFlyTK/rmt-a3-travel-time-astana/blob/main/figures/analysis_manifest.json</w:t>
              </w:r>
            </w:hyperlink>
          </w:p>
        </w:tc>
        <w:tc>
          <w:tcPr>
            <w:tcW w:type="dxa" w:w="3118"/>
            <w:vAlign w:val="center"/>
          </w:tcPr>
          <w:p>
            <w:pPr>
              <w:keepNext w:val="0"/>
              <w:spacing w:after="40" w:line="240" w:lineRule="auto"/>
            </w:pPr>
            <w:r>
              <w:rPr>
                <w:rFonts w:ascii="Arial" w:hAnsi="Arial"/>
                <w:color w:val="000000"/>
                <w:sz w:val="18"/>
              </w:rPr>
              <w:t>Input provenance and captions for original visual evidence</w:t>
            </w:r>
          </w:p>
        </w:tc>
      </w:tr>
    </w:tbl>
    <w:p>
      <w:pPr>
        <w:spacing w:after="20"/>
      </w:pPr>
    </w:p>
    <w:p>
      <w:pPr>
        <w:pStyle w:val="Heading3"/>
      </w:pPr>
      <w:r>
        <w:t>E.5 Describe the time or category coverage of the final dataset</w:t>
      </w:r>
    </w:p>
    <w:p>
      <w:pPr>
        <w:widowControl/>
      </w:pPr>
      <w:r>
        <w:rPr>
          <w:rFonts w:ascii="Arial" w:hAnsi="Arial"/>
          <w:color w:val="000000"/>
        </w:rPr>
        <w:t>The recorded ORS interval is 2026-10-24T02:37:23.929322+00:00 to 2026-10-24T07:50:15.083095+00:00 in UTC. Usable observations cover 1 local date(s): 2026-10-24. Classification produces 0 peak, 0 off-peak and 68 other-period observations. These are instrument coverage counts, not evidence of congestion. Phase and provider remain explicit so pilot activity cannot masquerade as scheduled coverage. The separate Google–ORS exploratory cycle is also in the other period. Its pilot data and the amended window-level summary remain separate from this ORS table; actual follow-up coverage is reported in Segment 4.</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701"/>
        <w:gridCol w:w="2041"/>
        <w:gridCol w:w="1984"/>
        <w:gridCol w:w="1984"/>
        <w:gridCol w:w="1928"/>
      </w:tblGrid>
      <w:tr>
        <w:trPr>
          <w:tblHeader/>
          <w:cantSplit/>
        </w:trPr>
        <w:tc>
          <w:tcPr>
            <w:tcW w:type="dxa" w:w="1701"/>
            <w:vAlign w:val="center"/>
            <w:shd w:fill="EAEAEA"/>
          </w:tcPr>
          <w:p>
            <w:pPr>
              <w:keepNext/>
              <w:spacing w:after="40" w:line="240" w:lineRule="auto"/>
            </w:pPr>
            <w:r>
              <w:rPr>
                <w:rFonts w:ascii="Arial" w:hAnsi="Arial"/>
                <w:b/>
                <w:color w:val="000000"/>
                <w:sz w:val="18"/>
              </w:rPr>
              <w:t>Phase</w:t>
            </w:r>
          </w:p>
        </w:tc>
        <w:tc>
          <w:tcPr>
            <w:tcW w:type="dxa" w:w="2041"/>
            <w:vAlign w:val="center"/>
            <w:shd w:fill="EAEAEA"/>
          </w:tcPr>
          <w:p>
            <w:pPr>
              <w:keepNext/>
              <w:spacing w:after="40" w:line="240" w:lineRule="auto"/>
            </w:pPr>
            <w:r>
              <w:rPr>
                <w:rFonts w:ascii="Arial" w:hAnsi="Arial"/>
                <w:b/>
                <w:color w:val="000000"/>
                <w:sz w:val="18"/>
              </w:rPr>
              <w:t>Local date</w:t>
            </w:r>
          </w:p>
        </w:tc>
        <w:tc>
          <w:tcPr>
            <w:tcW w:type="dxa" w:w="1984"/>
            <w:vAlign w:val="center"/>
            <w:shd w:fill="EAEAEA"/>
          </w:tcPr>
          <w:p>
            <w:pPr>
              <w:keepNext/>
              <w:spacing w:after="40" w:line="240" w:lineRule="auto"/>
            </w:pPr>
            <w:r>
              <w:rPr>
                <w:rFonts w:ascii="Arial" w:hAnsi="Arial"/>
                <w:b/>
                <w:color w:val="000000"/>
                <w:sz w:val="18"/>
              </w:rPr>
              <w:t>Period</w:t>
            </w:r>
          </w:p>
        </w:tc>
        <w:tc>
          <w:tcPr>
            <w:tcW w:type="dxa" w:w="1984"/>
            <w:vAlign w:val="center"/>
            <w:shd w:fill="EAEAEA"/>
          </w:tcPr>
          <w:p>
            <w:pPr>
              <w:keepNext/>
              <w:spacing w:after="40" w:line="240" w:lineRule="auto"/>
            </w:pPr>
            <w:r>
              <w:rPr>
                <w:rFonts w:ascii="Arial" w:hAnsi="Arial"/>
                <w:b/>
                <w:color w:val="000000"/>
                <w:sz w:val="18"/>
              </w:rPr>
              <w:t>Provider</w:t>
            </w:r>
          </w:p>
        </w:tc>
        <w:tc>
          <w:tcPr>
            <w:tcW w:type="dxa" w:w="1928"/>
            <w:vAlign w:val="center"/>
            <w:shd w:fill="EAEAEA"/>
          </w:tcPr>
          <w:p>
            <w:pPr>
              <w:keepNext/>
              <w:spacing w:after="40" w:line="240" w:lineRule="auto"/>
            </w:pPr>
            <w:r>
              <w:rPr>
                <w:rFonts w:ascii="Arial" w:hAnsi="Arial"/>
                <w:b/>
                <w:color w:val="000000"/>
                <w:sz w:val="18"/>
              </w:rPr>
              <w:t>Usable observations</w:t>
            </w:r>
          </w:p>
        </w:tc>
      </w:tr>
      <w:tr>
        <w:trPr>
          <w:cantSplit/>
        </w:trPr>
        <w:tc>
          <w:tcPr>
            <w:tcW w:type="dxa" w:w="1701"/>
            <w:vAlign w:val="center"/>
          </w:tcPr>
          <w:p>
            <w:pPr>
              <w:keepNext/>
              <w:spacing w:after="40" w:line="240" w:lineRule="auto"/>
            </w:pPr>
            <w:r>
              <w:rPr>
                <w:rFonts w:ascii="Arial" w:hAnsi="Arial"/>
                <w:color w:val="000000"/>
                <w:sz w:val="18"/>
              </w:rPr>
              <w:t>pilot</w:t>
            </w:r>
          </w:p>
        </w:tc>
        <w:tc>
          <w:tcPr>
            <w:tcW w:type="dxa" w:w="2041"/>
            <w:vAlign w:val="center"/>
          </w:tcPr>
          <w:p>
            <w:pPr>
              <w:keepNext/>
              <w:spacing w:after="40" w:line="240" w:lineRule="auto"/>
            </w:pPr>
            <w:r>
              <w:rPr>
                <w:rFonts w:ascii="Arial" w:hAnsi="Arial"/>
                <w:color w:val="000000"/>
                <w:sz w:val="18"/>
              </w:rPr>
              <w:t>2026-10-24</w:t>
            </w:r>
          </w:p>
        </w:tc>
        <w:tc>
          <w:tcPr>
            <w:tcW w:type="dxa" w:w="1984"/>
            <w:vAlign w:val="center"/>
          </w:tcPr>
          <w:p>
            <w:pPr>
              <w:keepNext/>
              <w:spacing w:after="40" w:line="240" w:lineRule="auto"/>
            </w:pPr>
            <w:r>
              <w:rPr>
                <w:rFonts w:ascii="Arial" w:hAnsi="Arial"/>
                <w:color w:val="000000"/>
                <w:sz w:val="18"/>
              </w:rPr>
              <w:t>other</w:t>
            </w:r>
          </w:p>
        </w:tc>
        <w:tc>
          <w:tcPr>
            <w:tcW w:type="dxa" w:w="1984"/>
            <w:vAlign w:val="center"/>
          </w:tcPr>
          <w:p>
            <w:pPr>
              <w:keepNext/>
              <w:spacing w:after="40" w:line="240" w:lineRule="auto"/>
            </w:pPr>
            <w:r>
              <w:rPr>
                <w:rFonts w:ascii="Arial" w:hAnsi="Arial"/>
                <w:color w:val="000000"/>
                <w:sz w:val="18"/>
              </w:rPr>
              <w:t>ors</w:t>
            </w:r>
          </w:p>
        </w:tc>
        <w:tc>
          <w:tcPr>
            <w:tcW w:type="dxa" w:w="1928"/>
            <w:vAlign w:val="center"/>
          </w:tcPr>
          <w:p>
            <w:pPr>
              <w:keepNext/>
              <w:spacing w:after="40" w:line="240" w:lineRule="auto"/>
            </w:pPr>
            <w:r>
              <w:rPr>
                <w:rFonts w:ascii="Arial" w:hAnsi="Arial"/>
                <w:color w:val="000000"/>
                <w:sz w:val="18"/>
              </w:rPr>
              <w:t>60</w:t>
            </w:r>
          </w:p>
        </w:tc>
      </w:tr>
      <w:tr>
        <w:trPr>
          <w:cantSplit/>
        </w:trPr>
        <w:tc>
          <w:tcPr>
            <w:tcW w:type="dxa" w:w="1701"/>
            <w:vAlign w:val="center"/>
          </w:tcPr>
          <w:p>
            <w:pPr>
              <w:keepNext w:val="0"/>
              <w:spacing w:after="40" w:line="240" w:lineRule="auto"/>
            </w:pPr>
            <w:r>
              <w:rPr>
                <w:rFonts w:ascii="Arial" w:hAnsi="Arial"/>
                <w:color w:val="000000"/>
                <w:sz w:val="18"/>
              </w:rPr>
              <w:t>scheduled</w:t>
            </w:r>
          </w:p>
        </w:tc>
        <w:tc>
          <w:tcPr>
            <w:tcW w:type="dxa" w:w="2041"/>
            <w:vAlign w:val="center"/>
          </w:tcPr>
          <w:p>
            <w:pPr>
              <w:keepNext w:val="0"/>
              <w:spacing w:after="40" w:line="240" w:lineRule="auto"/>
            </w:pPr>
            <w:r>
              <w:rPr>
                <w:rFonts w:ascii="Arial" w:hAnsi="Arial"/>
                <w:color w:val="000000"/>
                <w:sz w:val="18"/>
              </w:rPr>
              <w:t>2026-10-24</w:t>
            </w:r>
          </w:p>
        </w:tc>
        <w:tc>
          <w:tcPr>
            <w:tcW w:type="dxa" w:w="1984"/>
            <w:vAlign w:val="center"/>
          </w:tcPr>
          <w:p>
            <w:pPr>
              <w:keepNext w:val="0"/>
              <w:spacing w:after="40" w:line="240" w:lineRule="auto"/>
            </w:pPr>
            <w:r>
              <w:rPr>
                <w:rFonts w:ascii="Arial" w:hAnsi="Arial"/>
                <w:color w:val="000000"/>
                <w:sz w:val="18"/>
              </w:rPr>
              <w:t>other</w:t>
            </w:r>
          </w:p>
        </w:tc>
        <w:tc>
          <w:tcPr>
            <w:tcW w:type="dxa" w:w="1984"/>
            <w:vAlign w:val="center"/>
          </w:tcPr>
          <w:p>
            <w:pPr>
              <w:keepNext w:val="0"/>
              <w:spacing w:after="40" w:line="240" w:lineRule="auto"/>
            </w:pPr>
            <w:r>
              <w:rPr>
                <w:rFonts w:ascii="Arial" w:hAnsi="Arial"/>
                <w:color w:val="000000"/>
                <w:sz w:val="18"/>
              </w:rPr>
              <w:t>ors</w:t>
            </w:r>
          </w:p>
        </w:tc>
        <w:tc>
          <w:tcPr>
            <w:tcW w:type="dxa" w:w="1928"/>
            <w:vAlign w:val="center"/>
          </w:tcPr>
          <w:p>
            <w:pPr>
              <w:keepNext w:val="0"/>
              <w:spacing w:after="40" w:line="240" w:lineRule="auto"/>
            </w:pPr>
            <w:r>
              <w:rPr>
                <w:rFonts w:ascii="Arial" w:hAnsi="Arial"/>
                <w:color w:val="000000"/>
                <w:sz w:val="18"/>
              </w:rPr>
              <w:t>8</w:t>
            </w:r>
          </w:p>
        </w:tc>
      </w:tr>
    </w:tbl>
    <w:p>
      <w:pPr>
        <w:spacing w:after="20"/>
      </w:pPr>
    </w:p>
    <w:p>
      <w:pPr>
        <w:pStyle w:val="Heading1"/>
      </w:pPr>
      <w:r>
        <w:t>Segment 4. Expected Against Observed. Preliminary comparison</w:t>
      </w:r>
    </w:p>
    <w:p>
      <w:pPr>
        <w:pStyle w:val="Heading2"/>
      </w:pPr>
      <w:r>
        <w:t>T1 Completion table</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3288"/>
        <w:gridCol w:w="3175"/>
        <w:gridCol w:w="3175"/>
      </w:tblGrid>
      <w:tr>
        <w:trPr>
          <w:tblHeader/>
          <w:cantSplit/>
        </w:trPr>
        <w:tc>
          <w:tcPr>
            <w:tcW w:type="dxa" w:w="3288"/>
            <w:vAlign w:val="center"/>
            <w:shd w:fill="EAEAEA"/>
          </w:tcPr>
          <w:p>
            <w:pPr>
              <w:keepNext/>
              <w:spacing w:after="40" w:line="240" w:lineRule="auto"/>
            </w:pPr>
            <w:r>
              <w:rPr>
                <w:rFonts w:ascii="Arial" w:hAnsi="Arial"/>
                <w:b/>
                <w:color w:val="000000"/>
                <w:sz w:val="18"/>
              </w:rPr>
              <w:t>Data to be collected</w:t>
            </w:r>
          </w:p>
        </w:tc>
        <w:tc>
          <w:tcPr>
            <w:tcW w:type="dxa" w:w="3175"/>
            <w:vAlign w:val="center"/>
            <w:shd w:fill="EAEAEA"/>
          </w:tcPr>
          <w:p>
            <w:pPr>
              <w:keepNext/>
              <w:spacing w:after="40" w:line="240" w:lineRule="auto"/>
            </w:pPr>
            <w:r>
              <w:rPr>
                <w:rFonts w:ascii="Arial" w:hAnsi="Arial"/>
                <w:b/>
                <w:color w:val="000000"/>
                <w:sz w:val="18"/>
              </w:rPr>
              <w:t>Planned</w:t>
            </w:r>
          </w:p>
        </w:tc>
        <w:tc>
          <w:tcPr>
            <w:tcW w:type="dxa" w:w="3175"/>
            <w:vAlign w:val="center"/>
            <w:shd w:fill="EAEAEA"/>
          </w:tcPr>
          <w:p>
            <w:pPr>
              <w:keepNext/>
              <w:spacing w:after="40" w:line="240" w:lineRule="auto"/>
            </w:pPr>
            <w:r>
              <w:rPr>
                <w:rFonts w:ascii="Arial" w:hAnsi="Arial"/>
                <w:b/>
                <w:color w:val="000000"/>
                <w:sz w:val="18"/>
              </w:rPr>
              <w:t>Collected at snapshot</w:t>
            </w:r>
          </w:p>
        </w:tc>
      </w:tr>
      <w:tr>
        <w:trPr>
          <w:cantSplit/>
        </w:trPr>
        <w:tc>
          <w:tcPr>
            <w:tcW w:type="dxa" w:w="3288"/>
            <w:vAlign w:val="center"/>
          </w:tcPr>
          <w:p>
            <w:pPr>
              <w:keepNext/>
              <w:spacing w:after="40" w:line="240" w:lineRule="auto"/>
            </w:pPr>
            <w:r>
              <w:rPr>
                <w:rFonts w:ascii="Arial" w:hAnsi="Arial"/>
                <w:color w:val="000000"/>
                <w:sz w:val="18"/>
              </w:rPr>
              <w:t>Route definitions</w:t>
            </w:r>
          </w:p>
        </w:tc>
        <w:tc>
          <w:tcPr>
            <w:tcW w:type="dxa" w:w="3175"/>
            <w:vAlign w:val="center"/>
          </w:tcPr>
          <w:p>
            <w:pPr>
              <w:keepNext/>
              <w:spacing w:after="40" w:line="240" w:lineRule="auto"/>
            </w:pPr>
            <w:r>
              <w:rPr>
                <w:rFonts w:ascii="Arial" w:hAnsi="Arial"/>
                <w:color w:val="000000"/>
                <w:sz w:val="18"/>
              </w:rPr>
              <w:t>20</w:t>
            </w:r>
          </w:p>
        </w:tc>
        <w:tc>
          <w:tcPr>
            <w:tcW w:type="dxa" w:w="3175"/>
            <w:vAlign w:val="center"/>
          </w:tcPr>
          <w:p>
            <w:pPr>
              <w:keepNext/>
              <w:spacing w:after="40" w:line="240" w:lineRule="auto"/>
            </w:pPr>
            <w:r>
              <w:rPr>
                <w:rFonts w:ascii="Arial" w:hAnsi="Arial"/>
                <w:color w:val="000000"/>
                <w:sz w:val="18"/>
              </w:rPr>
              <w:t>20</w:t>
            </w:r>
          </w:p>
        </w:tc>
      </w:tr>
      <w:tr>
        <w:trPr>
          <w:cantSplit/>
        </w:trPr>
        <w:tc>
          <w:tcPr>
            <w:tcW w:type="dxa" w:w="3288"/>
            <w:vAlign w:val="center"/>
          </w:tcPr>
          <w:p>
            <w:pPr>
              <w:keepNext/>
              <w:spacing w:after="40" w:line="240" w:lineRule="auto"/>
            </w:pPr>
            <w:r>
              <w:rPr>
                <w:rFonts w:ascii="Arial" w:hAnsi="Arial"/>
                <w:color w:val="000000"/>
                <w:sz w:val="18"/>
              </w:rPr>
              <w:t>ORS pilot requests</w:t>
            </w:r>
          </w:p>
        </w:tc>
        <w:tc>
          <w:tcPr>
            <w:tcW w:type="dxa" w:w="3175"/>
            <w:vAlign w:val="center"/>
          </w:tcPr>
          <w:p>
            <w:pPr>
              <w:keepNext/>
              <w:spacing w:after="40" w:line="240" w:lineRule="auto"/>
            </w:pPr>
            <w:r>
              <w:rPr>
                <w:rFonts w:ascii="Arial" w:hAnsi="Arial"/>
                <w:color w:val="000000"/>
                <w:sz w:val="18"/>
              </w:rPr>
              <w:t>60</w:t>
            </w:r>
          </w:p>
        </w:tc>
        <w:tc>
          <w:tcPr>
            <w:tcW w:type="dxa" w:w="3175"/>
            <w:vAlign w:val="center"/>
          </w:tcPr>
          <w:p>
            <w:pPr>
              <w:keepNext/>
              <w:spacing w:after="40" w:line="240" w:lineRule="auto"/>
            </w:pPr>
            <w:r>
              <w:rPr>
                <w:rFonts w:ascii="Arial" w:hAnsi="Arial"/>
                <w:color w:val="000000"/>
                <w:sz w:val="18"/>
              </w:rPr>
              <w:t>60</w:t>
            </w:r>
          </w:p>
        </w:tc>
      </w:tr>
      <w:tr>
        <w:trPr>
          <w:cantSplit/>
        </w:trPr>
        <w:tc>
          <w:tcPr>
            <w:tcW w:type="dxa" w:w="3288"/>
            <w:vAlign w:val="center"/>
          </w:tcPr>
          <w:p>
            <w:pPr>
              <w:keepNext/>
              <w:spacing w:after="40" w:line="240" w:lineRule="auto"/>
            </w:pPr>
            <w:r>
              <w:rPr>
                <w:rFonts w:ascii="Arial" w:hAnsi="Arial"/>
                <w:color w:val="000000"/>
                <w:sz w:val="18"/>
              </w:rPr>
              <w:t>ORS pilot routes with usable response</w:t>
            </w:r>
          </w:p>
        </w:tc>
        <w:tc>
          <w:tcPr>
            <w:tcW w:type="dxa" w:w="3175"/>
            <w:vAlign w:val="center"/>
          </w:tcPr>
          <w:p>
            <w:pPr>
              <w:keepNext/>
              <w:spacing w:after="40" w:line="240" w:lineRule="auto"/>
            </w:pPr>
            <w:r>
              <w:rPr>
                <w:rFonts w:ascii="Arial" w:hAnsi="Arial"/>
                <w:color w:val="000000"/>
                <w:sz w:val="18"/>
              </w:rPr>
              <w:t>20</w:t>
            </w:r>
          </w:p>
        </w:tc>
        <w:tc>
          <w:tcPr>
            <w:tcW w:type="dxa" w:w="3175"/>
            <w:vAlign w:val="center"/>
          </w:tcPr>
          <w:p>
            <w:pPr>
              <w:keepNext/>
              <w:spacing w:after="40" w:line="240" w:lineRule="auto"/>
            </w:pPr>
            <w:r>
              <w:rPr>
                <w:rFonts w:ascii="Arial" w:hAnsi="Arial"/>
                <w:color w:val="000000"/>
                <w:sz w:val="18"/>
              </w:rPr>
              <w:t>20</w:t>
            </w:r>
          </w:p>
        </w:tc>
      </w:tr>
      <w:tr>
        <w:trPr>
          <w:cantSplit/>
        </w:trPr>
        <w:tc>
          <w:tcPr>
            <w:tcW w:type="dxa" w:w="3288"/>
            <w:vAlign w:val="center"/>
          </w:tcPr>
          <w:p>
            <w:pPr>
              <w:keepNext/>
              <w:spacing w:after="40" w:line="240" w:lineRule="auto"/>
            </w:pPr>
            <w:r>
              <w:rPr>
                <w:rFonts w:ascii="Arial" w:hAnsi="Arial"/>
                <w:color w:val="000000"/>
                <w:sz w:val="18"/>
              </w:rPr>
              <w:t>Scheduled ORS requests</w:t>
            </w:r>
          </w:p>
        </w:tc>
        <w:tc>
          <w:tcPr>
            <w:tcW w:type="dxa" w:w="3175"/>
            <w:vAlign w:val="center"/>
          </w:tcPr>
          <w:p>
            <w:pPr>
              <w:keepNext/>
              <w:spacing w:after="40" w:line="240" w:lineRule="auto"/>
            </w:pPr>
            <w:r>
              <w:rPr>
                <w:rFonts w:ascii="Arial" w:hAnsi="Arial"/>
                <w:color w:val="000000"/>
                <w:sz w:val="18"/>
              </w:rPr>
              <w:t>768 nominal over 48 hours</w:t>
            </w:r>
          </w:p>
        </w:tc>
        <w:tc>
          <w:tcPr>
            <w:tcW w:type="dxa" w:w="3175"/>
            <w:vAlign w:val="center"/>
          </w:tcPr>
          <w:p>
            <w:pPr>
              <w:keepNext/>
              <w:spacing w:after="40" w:line="240" w:lineRule="auto"/>
            </w:pPr>
            <w:r>
              <w:rPr>
                <w:rFonts w:ascii="Arial" w:hAnsi="Arial"/>
                <w:color w:val="000000"/>
                <w:sz w:val="18"/>
              </w:rPr>
              <w:t>4 verified cron; 4 manual workflow_dispatch test records (phase: scheduled)</w:t>
            </w:r>
          </w:p>
        </w:tc>
      </w:tr>
      <w:tr>
        <w:trPr>
          <w:cantSplit/>
        </w:trPr>
        <w:tc>
          <w:tcPr>
            <w:tcW w:type="dxa" w:w="3288"/>
            <w:vAlign w:val="center"/>
          </w:tcPr>
          <w:p>
            <w:pPr>
              <w:keepNext/>
              <w:spacing w:after="40" w:line="240" w:lineRule="auto"/>
            </w:pPr>
            <w:r>
              <w:rPr>
                <w:rFonts w:ascii="Arial" w:hAnsi="Arial"/>
                <w:color w:val="000000"/>
                <w:sz w:val="18"/>
              </w:rPr>
              <w:t>Initial TomTom–2GIS pairs</w:t>
            </w:r>
          </w:p>
        </w:tc>
        <w:tc>
          <w:tcPr>
            <w:tcW w:type="dxa" w:w="3175"/>
            <w:vAlign w:val="center"/>
          </w:tcPr>
          <w:p>
            <w:pPr>
              <w:keepNext/>
              <w:spacing w:after="40" w:line="240" w:lineRule="auto"/>
            </w:pPr>
            <w:r>
              <w:rPr>
                <w:rFonts w:ascii="Arial" w:hAnsi="Arial"/>
                <w:color w:val="000000"/>
                <w:sz w:val="18"/>
              </w:rPr>
              <w:t>Unperformed; original permissions unresolved</w:t>
            </w:r>
          </w:p>
        </w:tc>
        <w:tc>
          <w:tcPr>
            <w:tcW w:type="dxa" w:w="3175"/>
            <w:vAlign w:val="center"/>
          </w:tcPr>
          <w:p>
            <w:pPr>
              <w:keepNext/>
              <w:spacing w:after="40" w:line="240" w:lineRule="auto"/>
            </w:pPr>
            <w:r>
              <w:rPr>
                <w:rFonts w:ascii="Arial" w:hAnsi="Arial"/>
                <w:color w:val="000000"/>
                <w:sz w:val="18"/>
              </w:rPr>
              <w:t>0</w:t>
            </w:r>
          </w:p>
        </w:tc>
      </w:tr>
      <w:tr>
        <w:trPr>
          <w:cantSplit/>
        </w:trPr>
        <w:tc>
          <w:tcPr>
            <w:tcW w:type="dxa" w:w="3288"/>
            <w:vAlign w:val="center"/>
          </w:tcPr>
          <w:p>
            <w:pPr>
              <w:keepNext/>
              <w:spacing w:after="40" w:line="240" w:lineRule="auto"/>
            </w:pPr>
            <w:r>
              <w:rPr>
                <w:rFonts w:ascii="Arial" w:hAnsi="Arial"/>
                <w:color w:val="000000"/>
                <w:sz w:val="18"/>
              </w:rPr>
              <w:t>Initial TomTom–2GIS period coverage</w:t>
            </w:r>
          </w:p>
        </w:tc>
        <w:tc>
          <w:tcPr>
            <w:tcW w:type="dxa" w:w="3175"/>
            <w:vAlign w:val="center"/>
          </w:tcPr>
          <w:p>
            <w:pPr>
              <w:keepNext/>
              <w:spacing w:after="40" w:line="240" w:lineRule="auto"/>
            </w:pPr>
            <w:r>
              <w:rPr>
                <w:rFonts w:ascii="Arial" w:hAnsi="Arial"/>
                <w:color w:val="000000"/>
                <w:sz w:val="18"/>
              </w:rPr>
              <w:t>Both required for the original H1</w:t>
            </w:r>
          </w:p>
        </w:tc>
        <w:tc>
          <w:tcPr>
            <w:tcW w:type="dxa" w:w="3175"/>
            <w:vAlign w:val="center"/>
          </w:tcPr>
          <w:p>
            <w:pPr>
              <w:keepNext/>
              <w:spacing w:after="40" w:line="240" w:lineRule="auto"/>
            </w:pPr>
            <w:r>
              <w:rPr>
                <w:rFonts w:ascii="Arial" w:hAnsi="Arial"/>
                <w:color w:val="000000"/>
                <w:sz w:val="18"/>
              </w:rPr>
              <w:t>Peak 0; off-peak 0; other 0</w:t>
            </w:r>
          </w:p>
        </w:tc>
      </w:tr>
      <w:tr>
        <w:trPr>
          <w:cantSplit/>
        </w:trPr>
        <w:tc>
          <w:tcPr>
            <w:tcW w:type="dxa" w:w="3288"/>
            <w:vAlign w:val="center"/>
          </w:tcPr>
          <w:p>
            <w:pPr>
              <w:keepNext w:val="0"/>
              <w:spacing w:after="40" w:line="240" w:lineRule="auto"/>
            </w:pPr>
            <w:r>
              <w:rPr>
                <w:rFonts w:ascii="Arial" w:hAnsi="Arial"/>
                <w:color w:val="000000"/>
                <w:sz w:val="18"/>
              </w:rPr>
              <w:t>Amended Google–ORS follow-up</w:t>
            </w:r>
          </w:p>
        </w:tc>
        <w:tc>
          <w:tcPr>
            <w:tcW w:type="dxa" w:w="3175"/>
            <w:vAlign w:val="center"/>
          </w:tcPr>
          <w:p>
            <w:pPr>
              <w:keepNext w:val="0"/>
              <w:spacing w:after="40" w:line="240" w:lineRule="auto"/>
            </w:pPr>
            <w:r>
              <w:rPr>
                <w:rFonts w:ascii="Arial" w:hAnsi="Arial"/>
                <w:color w:val="000000"/>
                <w:sz w:val="18"/>
              </w:rPr>
              <w:t>5 windows; at most 100 pairs</w:t>
            </w:r>
          </w:p>
        </w:tc>
        <w:tc>
          <w:tcPr>
            <w:tcW w:type="dxa" w:w="3175"/>
            <w:vAlign w:val="center"/>
          </w:tcPr>
          <w:p>
            <w:pPr>
              <w:keepNext w:val="0"/>
              <w:spacing w:after="40" w:line="240" w:lineRule="auto"/>
            </w:pPr>
            <w:r>
              <w:rPr>
                <w:rFonts w:ascii="Arial" w:hAnsi="Arial"/>
                <w:color w:val="000000"/>
                <w:sz w:val="18"/>
              </w:rPr>
              <w:t>0 recorded windows; 0 valid windows; 0 pairs in valid windows</w:t>
            </w:r>
          </w:p>
        </w:tc>
      </w:tr>
    </w:tbl>
    <w:p>
      <w:pPr>
        <w:spacing w:after="20"/>
      </w:pP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417"/>
        <w:gridCol w:w="2154"/>
        <w:gridCol w:w="1531"/>
        <w:gridCol w:w="1928"/>
        <w:gridCol w:w="2608"/>
      </w:tblGrid>
      <w:tr>
        <w:trPr>
          <w:tblHeader/>
          <w:cantSplit/>
        </w:trPr>
        <w:tc>
          <w:tcPr>
            <w:tcW w:type="dxa" w:w="1417"/>
            <w:vAlign w:val="center"/>
            <w:shd w:fill="EAEAEA"/>
          </w:tcPr>
          <w:p>
            <w:pPr>
              <w:keepNext/>
              <w:spacing w:after="40" w:line="240" w:lineRule="auto"/>
            </w:pPr>
            <w:r>
              <w:rPr>
                <w:rFonts w:ascii="Arial" w:hAnsi="Arial"/>
                <w:b/>
                <w:color w:val="000000"/>
                <w:sz w:val="18"/>
              </w:rPr>
              <w:t>Amended period</w:t>
            </w:r>
          </w:p>
        </w:tc>
        <w:tc>
          <w:tcPr>
            <w:tcW w:type="dxa" w:w="2154"/>
            <w:vAlign w:val="center"/>
            <w:shd w:fill="EAEAEA"/>
          </w:tcPr>
          <w:p>
            <w:pPr>
              <w:keepNext/>
              <w:spacing w:after="40" w:line="240" w:lineRule="auto"/>
            </w:pPr>
            <w:r>
              <w:rPr>
                <w:rFonts w:ascii="Arial" w:hAnsi="Arial"/>
                <w:b/>
                <w:color w:val="000000"/>
                <w:sz w:val="18"/>
              </w:rPr>
              <w:t>Planned / recorded windows</w:t>
            </w:r>
          </w:p>
        </w:tc>
        <w:tc>
          <w:tcPr>
            <w:tcW w:type="dxa" w:w="1531"/>
            <w:vAlign w:val="center"/>
            <w:shd w:fill="EAEAEA"/>
          </w:tcPr>
          <w:p>
            <w:pPr>
              <w:keepNext/>
              <w:spacing w:after="40" w:line="240" w:lineRule="auto"/>
            </w:pPr>
            <w:r>
              <w:rPr>
                <w:rFonts w:ascii="Arial" w:hAnsi="Arial"/>
                <w:b/>
                <w:color w:val="000000"/>
                <w:sz w:val="18"/>
              </w:rPr>
              <w:t>Valid windows</w:t>
            </w:r>
          </w:p>
        </w:tc>
        <w:tc>
          <w:tcPr>
            <w:tcW w:type="dxa" w:w="1928"/>
            <w:vAlign w:val="center"/>
            <w:shd w:fill="EAEAEA"/>
          </w:tcPr>
          <w:p>
            <w:pPr>
              <w:keepNext/>
              <w:spacing w:after="40" w:line="240" w:lineRule="auto"/>
            </w:pPr>
            <w:r>
              <w:rPr>
                <w:rFonts w:ascii="Arial" w:hAnsi="Arial"/>
                <w:b/>
                <w:color w:val="000000"/>
                <w:sz w:val="18"/>
              </w:rPr>
              <w:t>Pairs in valid windows</w:t>
            </w:r>
          </w:p>
        </w:tc>
        <w:tc>
          <w:tcPr>
            <w:tcW w:type="dxa" w:w="2608"/>
            <w:vAlign w:val="center"/>
            <w:shd w:fill="EAEAEA"/>
          </w:tcPr>
          <w:p>
            <w:pPr>
              <w:keepNext/>
              <w:spacing w:after="40" w:line="240" w:lineRule="auto"/>
            </w:pPr>
            <w:r>
              <w:rPr>
                <w:rFonts w:ascii="Arial" w:hAnsi="Arial"/>
                <w:b/>
                <w:color w:val="000000"/>
                <w:sz w:val="18"/>
              </w:rPr>
              <w:t>Median of window median |d| (s)</w:t>
            </w:r>
          </w:p>
        </w:tc>
      </w:tr>
      <w:tr>
        <w:trPr>
          <w:cantSplit/>
        </w:trPr>
        <w:tc>
          <w:tcPr>
            <w:tcW w:type="dxa" w:w="1417"/>
            <w:vAlign w:val="center"/>
          </w:tcPr>
          <w:p>
            <w:pPr>
              <w:keepNext/>
              <w:spacing w:after="40" w:line="240" w:lineRule="auto"/>
            </w:pPr>
            <w:r>
              <w:rPr>
                <w:rFonts w:ascii="Arial" w:hAnsi="Arial"/>
                <w:color w:val="000000"/>
                <w:sz w:val="18"/>
              </w:rPr>
              <w:t>peak</w:t>
            </w:r>
          </w:p>
        </w:tc>
        <w:tc>
          <w:tcPr>
            <w:tcW w:type="dxa" w:w="2154"/>
            <w:vAlign w:val="center"/>
          </w:tcPr>
          <w:p>
            <w:pPr>
              <w:keepNext/>
              <w:spacing w:after="40" w:line="240" w:lineRule="auto"/>
            </w:pPr>
            <w:r>
              <w:rPr>
                <w:rFonts w:ascii="Arial" w:hAnsi="Arial"/>
                <w:color w:val="000000"/>
                <w:sz w:val="18"/>
              </w:rPr>
              <w:t>2 / 0</w:t>
            </w:r>
          </w:p>
        </w:tc>
        <w:tc>
          <w:tcPr>
            <w:tcW w:type="dxa" w:w="1531"/>
            <w:vAlign w:val="center"/>
          </w:tcPr>
          <w:p>
            <w:pPr>
              <w:keepNext/>
              <w:spacing w:after="40" w:line="240" w:lineRule="auto"/>
            </w:pPr>
            <w:r>
              <w:rPr>
                <w:rFonts w:ascii="Arial" w:hAnsi="Arial"/>
                <w:color w:val="000000"/>
                <w:sz w:val="18"/>
              </w:rPr>
              <w:t>0</w:t>
            </w:r>
          </w:p>
        </w:tc>
        <w:tc>
          <w:tcPr>
            <w:tcW w:type="dxa" w:w="1928"/>
            <w:vAlign w:val="center"/>
          </w:tcPr>
          <w:p>
            <w:pPr>
              <w:keepNext/>
              <w:spacing w:after="40" w:line="240" w:lineRule="auto"/>
            </w:pPr>
            <w:r>
              <w:rPr>
                <w:rFonts w:ascii="Arial" w:hAnsi="Arial"/>
                <w:color w:val="000000"/>
                <w:sz w:val="18"/>
              </w:rPr>
              <w:t>0</w:t>
            </w:r>
          </w:p>
        </w:tc>
        <w:tc>
          <w:tcPr>
            <w:tcW w:type="dxa" w:w="2608"/>
            <w:vAlign w:val="center"/>
          </w:tcPr>
          <w:p>
            <w:pPr>
              <w:keepNext/>
              <w:spacing w:after="40" w:line="240" w:lineRule="auto"/>
            </w:pPr>
            <w:r>
              <w:rPr>
                <w:rFonts w:ascii="Arial" w:hAnsi="Arial"/>
                <w:color w:val="000000"/>
                <w:sz w:val="18"/>
              </w:rPr>
              <w:t>Not estimable</w:t>
            </w:r>
          </w:p>
        </w:tc>
      </w:tr>
      <w:tr>
        <w:trPr>
          <w:cantSplit/>
        </w:trPr>
        <w:tc>
          <w:tcPr>
            <w:tcW w:type="dxa" w:w="1417"/>
            <w:vAlign w:val="center"/>
          </w:tcPr>
          <w:p>
            <w:pPr>
              <w:keepNext w:val="0"/>
              <w:spacing w:after="40" w:line="240" w:lineRule="auto"/>
            </w:pPr>
            <w:r>
              <w:rPr>
                <w:rFonts w:ascii="Arial" w:hAnsi="Arial"/>
                <w:color w:val="000000"/>
                <w:sz w:val="18"/>
              </w:rPr>
              <w:t>offpeak</w:t>
            </w:r>
          </w:p>
        </w:tc>
        <w:tc>
          <w:tcPr>
            <w:tcW w:type="dxa" w:w="2154"/>
            <w:vAlign w:val="center"/>
          </w:tcPr>
          <w:p>
            <w:pPr>
              <w:keepNext w:val="0"/>
              <w:spacing w:after="40" w:line="240" w:lineRule="auto"/>
            </w:pPr>
            <w:r>
              <w:rPr>
                <w:rFonts w:ascii="Arial" w:hAnsi="Arial"/>
                <w:color w:val="000000"/>
                <w:sz w:val="18"/>
              </w:rPr>
              <w:t>3 / 0</w:t>
            </w:r>
          </w:p>
        </w:tc>
        <w:tc>
          <w:tcPr>
            <w:tcW w:type="dxa" w:w="1531"/>
            <w:vAlign w:val="center"/>
          </w:tcPr>
          <w:p>
            <w:pPr>
              <w:keepNext w:val="0"/>
              <w:spacing w:after="40" w:line="240" w:lineRule="auto"/>
            </w:pPr>
            <w:r>
              <w:rPr>
                <w:rFonts w:ascii="Arial" w:hAnsi="Arial"/>
                <w:color w:val="000000"/>
                <w:sz w:val="18"/>
              </w:rPr>
              <w:t>0</w:t>
            </w:r>
          </w:p>
        </w:tc>
        <w:tc>
          <w:tcPr>
            <w:tcW w:type="dxa" w:w="1928"/>
            <w:vAlign w:val="center"/>
          </w:tcPr>
          <w:p>
            <w:pPr>
              <w:keepNext w:val="0"/>
              <w:spacing w:after="40" w:line="240" w:lineRule="auto"/>
            </w:pPr>
            <w:r>
              <w:rPr>
                <w:rFonts w:ascii="Arial" w:hAnsi="Arial"/>
                <w:color w:val="000000"/>
                <w:sz w:val="18"/>
              </w:rPr>
              <w:t>0</w:t>
            </w:r>
          </w:p>
        </w:tc>
        <w:tc>
          <w:tcPr>
            <w:tcW w:type="dxa" w:w="2608"/>
            <w:vAlign w:val="center"/>
          </w:tcPr>
          <w:p>
            <w:pPr>
              <w:keepNext w:val="0"/>
              <w:spacing w:after="40" w:line="240" w:lineRule="auto"/>
            </w:pPr>
            <w:r>
              <w:rPr>
                <w:rFonts w:ascii="Arial" w:hAnsi="Arial"/>
                <w:color w:val="000000"/>
                <w:sz w:val="18"/>
              </w:rPr>
              <w:t>Not estimable</w:t>
            </w:r>
          </w:p>
        </w:tc>
      </w:tr>
    </w:tbl>
    <w:p>
      <w:pPr>
        <w:spacing w:after="20"/>
      </w:pPr>
    </w:p>
    <w:p>
      <w:pPr>
        <w:widowControl/>
      </w:pPr>
      <w:r>
        <w:rPr>
          <w:rFonts w:ascii="Arial" w:hAnsi="Arial"/>
          <w:color w:val="000000"/>
        </w:rPr>
        <w:t xml:space="preserve">Follow-up summary timestamp: 2026-10-24T11:36:46.249129+00:00. Window summaries require at least five valid pairs. The period statistic is a median of window medians, not a pooled route-level median. Source: </w:t>
      </w:r>
      <w:hyperlink r:id="rId48">
        <w:r>
          <w:rPr>
            <w:color w:val="174B76"/>
            <w:sz w:val="18"/>
          </w:rPr>
          <w:t>https://github.com/SuperFlyTK/rmt-a3-travel-time-astana/blob/main/results/google_followup_period_summary.csv</w:t>
        </w:r>
      </w:hyperlink>
    </w:p>
    <w:p>
      <w:pPr>
        <w:widowControl/>
      </w:pPr>
      <w:r>
        <w:rPr>
          <w:rFonts w:ascii="Arial" w:hAnsi="Arial"/>
          <w:color w:val="000000"/>
        </w:rPr>
        <w:t>Peak/off-peak difference and ratio are not estimable until both periods have valid windows. No missing period is represented by zero.</w:t>
      </w:r>
    </w:p>
    <w:p>
      <w:pPr>
        <w:widowControl/>
      </w:pPr>
      <w:r>
        <w:rPr>
          <w:rFonts w:ascii="Arial" w:hAnsi="Arial"/>
          <w:color w:val="000000"/>
        </w:rPr>
        <w:t>Separate exploratory protocol: at most 20 Google–ORS pairs planned; 20 attempted and 20 valid. These are excluded from the completion counts and ER verdicts above.</w:t>
      </w:r>
    </w:p>
    <w:p>
      <w:pPr>
        <w:pStyle w:val="Heading2"/>
      </w:pPr>
      <w:r>
        <w:t>T2 Comparison</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3061"/>
        <w:gridCol w:w="2948"/>
        <w:gridCol w:w="1191"/>
        <w:gridCol w:w="2438"/>
      </w:tblGrid>
      <w:tr>
        <w:trPr>
          <w:tblHeader/>
          <w:cantSplit/>
        </w:trPr>
        <w:tc>
          <w:tcPr>
            <w:tcW w:type="dxa" w:w="3061"/>
            <w:vAlign w:val="center"/>
            <w:shd w:fill="EAEAEA"/>
          </w:tcPr>
          <w:p>
            <w:pPr>
              <w:keepNext/>
              <w:spacing w:after="40" w:line="240" w:lineRule="auto"/>
            </w:pPr>
            <w:r>
              <w:rPr>
                <w:rFonts w:ascii="Arial" w:hAnsi="Arial"/>
                <w:b/>
                <w:color w:val="000000"/>
                <w:sz w:val="18"/>
              </w:rPr>
              <w:t>Expected result</w:t>
            </w:r>
          </w:p>
        </w:tc>
        <w:tc>
          <w:tcPr>
            <w:tcW w:type="dxa" w:w="2948"/>
            <w:vAlign w:val="center"/>
            <w:shd w:fill="EAEAEA"/>
          </w:tcPr>
          <w:p>
            <w:pPr>
              <w:keepNext/>
              <w:spacing w:after="40" w:line="240" w:lineRule="auto"/>
            </w:pPr>
            <w:r>
              <w:rPr>
                <w:rFonts w:ascii="Arial" w:hAnsi="Arial"/>
                <w:b/>
                <w:color w:val="000000"/>
                <w:sz w:val="18"/>
              </w:rPr>
              <w:t>What actual data shows</w:t>
            </w:r>
          </w:p>
        </w:tc>
        <w:tc>
          <w:tcPr>
            <w:tcW w:type="dxa" w:w="1191"/>
            <w:vAlign w:val="center"/>
            <w:shd w:fill="EAEAEA"/>
          </w:tcPr>
          <w:p>
            <w:pPr>
              <w:keepNext/>
              <w:spacing w:after="40" w:line="240" w:lineRule="auto"/>
            </w:pPr>
            <w:r>
              <w:rPr>
                <w:rFonts w:ascii="Arial" w:hAnsi="Arial"/>
                <w:b/>
                <w:color w:val="000000"/>
                <w:sz w:val="18"/>
              </w:rPr>
              <w:t>Verdict</w:t>
            </w:r>
          </w:p>
        </w:tc>
        <w:tc>
          <w:tcPr>
            <w:tcW w:type="dxa" w:w="2438"/>
            <w:vAlign w:val="center"/>
            <w:shd w:fill="EAEAEA"/>
          </w:tcPr>
          <w:p>
            <w:pPr>
              <w:keepNext/>
              <w:spacing w:after="40" w:line="240" w:lineRule="auto"/>
            </w:pPr>
            <w:r>
              <w:rPr>
                <w:rFonts w:ascii="Arial" w:hAnsi="Arial"/>
                <w:b/>
                <w:color w:val="000000"/>
                <w:sz w:val="18"/>
              </w:rPr>
              <w:t>Evidence location</w:t>
            </w:r>
          </w:p>
        </w:tc>
      </w:tr>
      <w:tr>
        <w:trPr>
          <w:cantSplit/>
        </w:trPr>
        <w:tc>
          <w:tcPr>
            <w:tcW w:type="dxa" w:w="3061"/>
            <w:vAlign w:val="center"/>
          </w:tcPr>
          <w:p>
            <w:pPr>
              <w:keepNext/>
              <w:spacing w:after="40" w:line="240" w:lineRule="auto"/>
            </w:pPr>
            <w:r>
              <w:rPr>
                <w:rFonts w:ascii="Arial" w:hAnsi="Arial"/>
                <w:color w:val="000000"/>
                <w:sz w:val="18"/>
              </w:rPr>
              <w:t>ER1: The peak to off-peak ratio of median absolute TomTom-2GIS difference is at least 1.5.</w:t>
            </w:r>
          </w:p>
        </w:tc>
        <w:tc>
          <w:tcPr>
            <w:tcW w:type="dxa" w:w="2948"/>
            <w:vAlign w:val="center"/>
          </w:tcPr>
          <w:p>
            <w:pPr>
              <w:keepNext/>
              <w:spacing w:after="40" w:line="240" w:lineRule="auto"/>
            </w:pPr>
            <w:r>
              <w:rPr>
                <w:rFonts w:ascii="Arial" w:hAnsi="Arial"/>
                <w:color w:val="000000"/>
                <w:sz w:val="18"/>
              </w:rPr>
              <w:t>0 initial TomTom–2GIS pairs. The amended Google–ORS control design does not directly test this original expected result.</w:t>
            </w:r>
          </w:p>
        </w:tc>
        <w:tc>
          <w:tcPr>
            <w:tcW w:type="dxa" w:w="1191"/>
            <w:vAlign w:val="center"/>
          </w:tcPr>
          <w:p>
            <w:pPr>
              <w:keepNext/>
              <w:spacing w:after="40" w:line="240" w:lineRule="auto"/>
            </w:pPr>
            <w:r>
              <w:rPr>
                <w:rFonts w:ascii="Arial" w:hAnsi="Arial"/>
                <w:color w:val="000000"/>
                <w:sz w:val="18"/>
              </w:rPr>
              <w:t>cannot judge</w:t>
            </w:r>
          </w:p>
        </w:tc>
        <w:tc>
          <w:tcPr>
            <w:tcW w:type="dxa" w:w="2438"/>
            <w:vAlign w:val="center"/>
          </w:tcPr>
          <w:p>
            <w:pPr>
              <w:keepNext/>
              <w:spacing w:after="40" w:line="240" w:lineRule="auto"/>
            </w:pPr>
            <w:r>
              <w:rPr>
                <w:rFonts w:ascii="Arial" w:hAnsi="Arial"/>
                <w:color w:val="000000"/>
                <w:sz w:val="18"/>
              </w:rPr>
              <w:t>results/summary.json; results/pairs.csv</w:t>
            </w:r>
          </w:p>
        </w:tc>
      </w:tr>
      <w:tr>
        <w:trPr>
          <w:cantSplit/>
        </w:trPr>
        <w:tc>
          <w:tcPr>
            <w:tcW w:type="dxa" w:w="3061"/>
            <w:vAlign w:val="center"/>
          </w:tcPr>
          <w:p>
            <w:pPr>
              <w:keepNext/>
              <w:spacing w:after="40" w:line="240" w:lineRule="auto"/>
            </w:pPr>
            <w:r>
              <w:rPr>
                <w:rFonts w:ascii="Arial" w:hAnsi="Arial"/>
                <w:color w:val="000000"/>
                <w:sz w:val="18"/>
              </w:rPr>
              <w:t>ER2: At least 70% of eligible primary pairs have lengths within 5% of their pair mean.</w:t>
            </w:r>
          </w:p>
        </w:tc>
        <w:tc>
          <w:tcPr>
            <w:tcW w:type="dxa" w:w="2948"/>
            <w:vAlign w:val="center"/>
          </w:tcPr>
          <w:p>
            <w:pPr>
              <w:keepNext/>
              <w:spacing w:after="40" w:line="240" w:lineRule="auto"/>
            </w:pPr>
            <w:r>
              <w:rPr>
                <w:rFonts w:ascii="Arial" w:hAnsi="Arial"/>
                <w:color w:val="000000"/>
                <w:sz w:val="18"/>
              </w:rPr>
              <w:t>0 initial TomTom–2GIS pairs. The amended Google–ORS control design does not directly test this original expected result.</w:t>
            </w:r>
          </w:p>
        </w:tc>
        <w:tc>
          <w:tcPr>
            <w:tcW w:type="dxa" w:w="1191"/>
            <w:vAlign w:val="center"/>
          </w:tcPr>
          <w:p>
            <w:pPr>
              <w:keepNext/>
              <w:spacing w:after="40" w:line="240" w:lineRule="auto"/>
            </w:pPr>
            <w:r>
              <w:rPr>
                <w:rFonts w:ascii="Arial" w:hAnsi="Arial"/>
                <w:color w:val="000000"/>
                <w:sz w:val="18"/>
              </w:rPr>
              <w:t>cannot judge</w:t>
            </w:r>
          </w:p>
        </w:tc>
        <w:tc>
          <w:tcPr>
            <w:tcW w:type="dxa" w:w="2438"/>
            <w:vAlign w:val="center"/>
          </w:tcPr>
          <w:p>
            <w:pPr>
              <w:keepNext/>
              <w:spacing w:after="40" w:line="240" w:lineRule="auto"/>
            </w:pPr>
            <w:r>
              <w:rPr>
                <w:rFonts w:ascii="Arial" w:hAnsi="Arial"/>
                <w:color w:val="000000"/>
                <w:sz w:val="18"/>
              </w:rPr>
              <w:t>results/summary.json; results/pairs.csv</w:t>
            </w:r>
          </w:p>
        </w:tc>
      </w:tr>
      <w:tr>
        <w:trPr>
          <w:cantSplit/>
        </w:trPr>
        <w:tc>
          <w:tcPr>
            <w:tcW w:type="dxa" w:w="3061"/>
            <w:vAlign w:val="center"/>
          </w:tcPr>
          <w:p>
            <w:pPr>
              <w:keepNext/>
              <w:spacing w:after="40" w:line="240" w:lineRule="auto"/>
            </w:pPr>
            <w:r>
              <w:rPr>
                <w:rFonts w:ascii="Arial" w:hAnsi="Arial"/>
                <w:color w:val="000000"/>
                <w:sz w:val="18"/>
              </w:rPr>
              <w:t>ER3: Median signed difference TomTom minus 2GIS is positive in the completed sample.</w:t>
            </w:r>
          </w:p>
        </w:tc>
        <w:tc>
          <w:tcPr>
            <w:tcW w:type="dxa" w:w="2948"/>
            <w:vAlign w:val="center"/>
          </w:tcPr>
          <w:p>
            <w:pPr>
              <w:keepNext/>
              <w:spacing w:after="40" w:line="240" w:lineRule="auto"/>
            </w:pPr>
            <w:r>
              <w:rPr>
                <w:rFonts w:ascii="Arial" w:hAnsi="Arial"/>
                <w:color w:val="000000"/>
                <w:sz w:val="18"/>
              </w:rPr>
              <w:t>0 initial TomTom–2GIS pairs. The amended Google–ORS control design does not directly test this original expected result.</w:t>
            </w:r>
          </w:p>
        </w:tc>
        <w:tc>
          <w:tcPr>
            <w:tcW w:type="dxa" w:w="1191"/>
            <w:vAlign w:val="center"/>
          </w:tcPr>
          <w:p>
            <w:pPr>
              <w:keepNext/>
              <w:spacing w:after="40" w:line="240" w:lineRule="auto"/>
            </w:pPr>
            <w:r>
              <w:rPr>
                <w:rFonts w:ascii="Arial" w:hAnsi="Arial"/>
                <w:color w:val="000000"/>
                <w:sz w:val="18"/>
              </w:rPr>
              <w:t>cannot judge</w:t>
            </w:r>
          </w:p>
        </w:tc>
        <w:tc>
          <w:tcPr>
            <w:tcW w:type="dxa" w:w="2438"/>
            <w:vAlign w:val="center"/>
          </w:tcPr>
          <w:p>
            <w:pPr>
              <w:keepNext/>
              <w:spacing w:after="40" w:line="240" w:lineRule="auto"/>
            </w:pPr>
            <w:r>
              <w:rPr>
                <w:rFonts w:ascii="Arial" w:hAnsi="Arial"/>
                <w:color w:val="000000"/>
                <w:sz w:val="18"/>
              </w:rPr>
              <w:t>results/summary.json; results/pairs.csv</w:t>
            </w:r>
          </w:p>
        </w:tc>
      </w:tr>
      <w:tr>
        <w:trPr>
          <w:cantSplit/>
        </w:trPr>
        <w:tc>
          <w:tcPr>
            <w:tcW w:type="dxa" w:w="3061"/>
            <w:vAlign w:val="center"/>
          </w:tcPr>
          <w:p>
            <w:pPr>
              <w:keepNext/>
              <w:spacing w:after="40" w:line="240" w:lineRule="auto"/>
            </w:pPr>
            <w:r>
              <w:rPr>
                <w:rFonts w:ascii="Arial" w:hAnsi="Arial"/>
                <w:color w:val="000000"/>
                <w:sz w:val="18"/>
              </w:rPr>
              <w:t>ER4: The peak IQR of signed differences exceeds the off-peak IQR.</w:t>
            </w:r>
          </w:p>
        </w:tc>
        <w:tc>
          <w:tcPr>
            <w:tcW w:type="dxa" w:w="2948"/>
            <w:vAlign w:val="center"/>
          </w:tcPr>
          <w:p>
            <w:pPr>
              <w:keepNext/>
              <w:spacing w:after="40" w:line="240" w:lineRule="auto"/>
            </w:pPr>
            <w:r>
              <w:rPr>
                <w:rFonts w:ascii="Arial" w:hAnsi="Arial"/>
                <w:color w:val="000000"/>
                <w:sz w:val="18"/>
              </w:rPr>
              <w:t>0 initial TomTom–2GIS pairs. The amended Google–ORS control design does not directly test this original expected result.</w:t>
            </w:r>
          </w:p>
        </w:tc>
        <w:tc>
          <w:tcPr>
            <w:tcW w:type="dxa" w:w="1191"/>
            <w:vAlign w:val="center"/>
          </w:tcPr>
          <w:p>
            <w:pPr>
              <w:keepNext/>
              <w:spacing w:after="40" w:line="240" w:lineRule="auto"/>
            </w:pPr>
            <w:r>
              <w:rPr>
                <w:rFonts w:ascii="Arial" w:hAnsi="Arial"/>
                <w:color w:val="000000"/>
                <w:sz w:val="18"/>
              </w:rPr>
              <w:t>cannot judge</w:t>
            </w:r>
          </w:p>
        </w:tc>
        <w:tc>
          <w:tcPr>
            <w:tcW w:type="dxa" w:w="2438"/>
            <w:vAlign w:val="center"/>
          </w:tcPr>
          <w:p>
            <w:pPr>
              <w:keepNext/>
              <w:spacing w:after="40" w:line="240" w:lineRule="auto"/>
            </w:pPr>
            <w:r>
              <w:rPr>
                <w:rFonts w:ascii="Arial" w:hAnsi="Arial"/>
                <w:color w:val="000000"/>
                <w:sz w:val="18"/>
              </w:rPr>
              <w:t>results/summary.json; results/pairs.csv</w:t>
            </w:r>
          </w:p>
        </w:tc>
      </w:tr>
      <w:tr>
        <w:trPr>
          <w:cantSplit/>
        </w:trPr>
        <w:tc>
          <w:tcPr>
            <w:tcW w:type="dxa" w:w="3061"/>
            <w:vAlign w:val="center"/>
          </w:tcPr>
          <w:p>
            <w:pPr>
              <w:keepNext/>
              <w:spacing w:after="40" w:line="240" w:lineRule="auto"/>
            </w:pPr>
            <w:r>
              <w:rPr>
                <w:rFonts w:ascii="Arial" w:hAnsi="Arial"/>
                <w:color w:val="000000"/>
                <w:sz w:val="18"/>
              </w:rPr>
              <w:t>ER5: Fewer than 2% of ORS instrument requests fail to return a valid route.</w:t>
            </w:r>
          </w:p>
        </w:tc>
        <w:tc>
          <w:tcPr>
            <w:tcW w:type="dxa" w:w="2948"/>
            <w:vAlign w:val="center"/>
          </w:tcPr>
          <w:p>
            <w:pPr>
              <w:keepNext/>
              <w:spacing w:after="40" w:line="240" w:lineRule="auto"/>
            </w:pPr>
            <w:r>
              <w:rPr>
                <w:rFonts w:ascii="Arial" w:hAnsi="Arial"/>
                <w:color w:val="000000"/>
                <w:sz w:val="18"/>
              </w:rPr>
              <w:t>0/68 unique ORS requests failed the valid-route screen (0%).</w:t>
            </w:r>
          </w:p>
        </w:tc>
        <w:tc>
          <w:tcPr>
            <w:tcW w:type="dxa" w:w="1191"/>
            <w:vAlign w:val="center"/>
          </w:tcPr>
          <w:p>
            <w:pPr>
              <w:keepNext/>
              <w:spacing w:after="40" w:line="240" w:lineRule="auto"/>
            </w:pPr>
            <w:r>
              <w:rPr>
                <w:rFonts w:ascii="Arial" w:hAnsi="Arial"/>
                <w:color w:val="000000"/>
                <w:sz w:val="18"/>
              </w:rPr>
              <w:t>trending toward</w:t>
            </w:r>
          </w:p>
        </w:tc>
        <w:tc>
          <w:tcPr>
            <w:tcW w:type="dxa" w:w="2438"/>
            <w:vAlign w:val="center"/>
          </w:tcPr>
          <w:p>
            <w:pPr>
              <w:keepNext/>
              <w:spacing w:after="40" w:line="240" w:lineRule="auto"/>
            </w:pPr>
            <w:r>
              <w:rPr>
                <w:rFonts w:ascii="Arial" w:hAnsi="Arial"/>
                <w:color w:val="000000"/>
                <w:sz w:val="18"/>
              </w:rPr>
              <w:t>results/observations.csv; results/request_quality.csv</w:t>
            </w:r>
          </w:p>
        </w:tc>
      </w:tr>
      <w:tr>
        <w:trPr>
          <w:cantSplit/>
        </w:trPr>
        <w:tc>
          <w:tcPr>
            <w:tcW w:type="dxa" w:w="3061"/>
            <w:vAlign w:val="center"/>
          </w:tcPr>
          <w:p>
            <w:pPr>
              <w:keepNext/>
              <w:spacing w:after="40" w:line="240" w:lineRule="auto"/>
            </w:pPr>
            <w:r>
              <w:rPr>
                <w:rFonts w:ascii="Arial" w:hAnsi="Arial"/>
                <w:color w:val="000000"/>
                <w:sz w:val="18"/>
              </w:rPr>
              <w:t>ER6: At least 95% of ORS instrument requests finish within 10 seconds.</w:t>
            </w:r>
          </w:p>
        </w:tc>
        <w:tc>
          <w:tcPr>
            <w:tcW w:type="dxa" w:w="2948"/>
            <w:vAlign w:val="center"/>
          </w:tcPr>
          <w:p>
            <w:pPr>
              <w:keepNext/>
              <w:spacing w:after="40" w:line="240" w:lineRule="auto"/>
            </w:pPr>
            <w:r>
              <w:rPr>
                <w:rFonts w:ascii="Arial" w:hAnsi="Arial"/>
                <w:color w:val="000000"/>
                <w:sz w:val="18"/>
              </w:rPr>
              <w:t>68/68 unique ORS requests finished within 10 seconds (100%).</w:t>
            </w:r>
          </w:p>
        </w:tc>
        <w:tc>
          <w:tcPr>
            <w:tcW w:type="dxa" w:w="1191"/>
            <w:vAlign w:val="center"/>
          </w:tcPr>
          <w:p>
            <w:pPr>
              <w:keepNext/>
              <w:spacing w:after="40" w:line="240" w:lineRule="auto"/>
            </w:pPr>
            <w:r>
              <w:rPr>
                <w:rFonts w:ascii="Arial" w:hAnsi="Arial"/>
                <w:color w:val="000000"/>
                <w:sz w:val="18"/>
              </w:rPr>
              <w:t>trending toward</w:t>
            </w:r>
          </w:p>
        </w:tc>
        <w:tc>
          <w:tcPr>
            <w:tcW w:type="dxa" w:w="2438"/>
            <w:vAlign w:val="center"/>
          </w:tcPr>
          <w:p>
            <w:pPr>
              <w:keepNext/>
              <w:spacing w:after="40" w:line="240" w:lineRule="auto"/>
            </w:pPr>
            <w:r>
              <w:rPr>
                <w:rFonts w:ascii="Arial" w:hAnsi="Arial"/>
                <w:color w:val="000000"/>
                <w:sz w:val="18"/>
              </w:rPr>
              <w:t>results/observations.csv; figures/analysis_request_latency.png</w:t>
            </w:r>
          </w:p>
        </w:tc>
      </w:tr>
      <w:tr>
        <w:trPr>
          <w:cantSplit/>
        </w:trPr>
        <w:tc>
          <w:tcPr>
            <w:tcW w:type="dxa" w:w="3061"/>
            <w:vAlign w:val="center"/>
          </w:tcPr>
          <w:p>
            <w:pPr>
              <w:keepNext/>
              <w:spacing w:after="40" w:line="240" w:lineRule="auto"/>
            </w:pPr>
            <w:r>
              <w:rPr>
                <w:rFonts w:ascii="Arial" w:hAnsi="Arial"/>
                <w:color w:val="000000"/>
                <w:sz w:val="18"/>
              </w:rPr>
              <w:t>ER7: All 20 routes produce at least one valid ORS result during the three pilot cycles.</w:t>
            </w:r>
          </w:p>
        </w:tc>
        <w:tc>
          <w:tcPr>
            <w:tcW w:type="dxa" w:w="2948"/>
            <w:vAlign w:val="center"/>
          </w:tcPr>
          <w:p>
            <w:pPr>
              <w:keepNext/>
              <w:spacing w:after="40" w:line="240" w:lineRule="auto"/>
            </w:pPr>
            <w:r>
              <w:rPr>
                <w:rFonts w:ascii="Arial" w:hAnsi="Arial"/>
                <w:color w:val="000000"/>
                <w:sz w:val="18"/>
              </w:rPr>
              <w:t>20/20 routes have a usable pilot response; 3/3 pilot cycles are represented.</w:t>
            </w:r>
          </w:p>
        </w:tc>
        <w:tc>
          <w:tcPr>
            <w:tcW w:type="dxa" w:w="1191"/>
            <w:vAlign w:val="center"/>
          </w:tcPr>
          <w:p>
            <w:pPr>
              <w:keepNext/>
              <w:spacing w:after="40" w:line="240" w:lineRule="auto"/>
            </w:pPr>
            <w:r>
              <w:rPr>
                <w:rFonts w:ascii="Arial" w:hAnsi="Arial"/>
                <w:color w:val="000000"/>
                <w:sz w:val="18"/>
              </w:rPr>
              <w:t>trending toward</w:t>
            </w:r>
          </w:p>
        </w:tc>
        <w:tc>
          <w:tcPr>
            <w:tcW w:type="dxa" w:w="2438"/>
            <w:vAlign w:val="center"/>
          </w:tcPr>
          <w:p>
            <w:pPr>
              <w:keepNext/>
              <w:spacing w:after="40" w:line="240" w:lineRule="auto"/>
            </w:pPr>
            <w:r>
              <w:rPr>
                <w:rFonts w:ascii="Arial" w:hAnsi="Arial"/>
                <w:color w:val="000000"/>
                <w:sz w:val="18"/>
              </w:rPr>
              <w:t>results/observations.csv; figures/analysis_provider_durations.png</w:t>
            </w:r>
          </w:p>
        </w:tc>
      </w:tr>
      <w:tr>
        <w:trPr>
          <w:cantSplit/>
        </w:trPr>
        <w:tc>
          <w:tcPr>
            <w:tcW w:type="dxa" w:w="3061"/>
            <w:vAlign w:val="center"/>
          </w:tcPr>
          <w:p>
            <w:pPr>
              <w:keepNext w:val="0"/>
              <w:spacing w:after="40" w:line="240" w:lineRule="auto"/>
            </w:pPr>
            <w:r>
              <w:rPr>
                <w:rFonts w:ascii="Arial" w:hAnsi="Arial"/>
                <w:color w:val="000000"/>
                <w:sz w:val="18"/>
              </w:rPr>
              <w:t>ER8: At least 90% of the 768 nominal ORS scheduled requests are recorded in the 48-hour window.</w:t>
            </w:r>
          </w:p>
        </w:tc>
        <w:tc>
          <w:tcPr>
            <w:tcW w:type="dxa" w:w="2948"/>
            <w:vAlign w:val="center"/>
          </w:tcPr>
          <w:p>
            <w:pPr>
              <w:keepNext w:val="0"/>
              <w:spacing w:after="40" w:line="240" w:lineRule="auto"/>
            </w:pPr>
            <w:r>
              <w:rPr>
                <w:rFonts w:ascii="Arial" w:hAnsi="Arial"/>
                <w:color w:val="000000"/>
                <w:sz w:val="18"/>
              </w:rPr>
              <w:t>4 verified cron-triggered attempts; 4 manual workflow_dispatch verification records (collector phase scheduled); collection window still open.</w:t>
            </w:r>
          </w:p>
        </w:tc>
        <w:tc>
          <w:tcPr>
            <w:tcW w:type="dxa" w:w="1191"/>
            <w:vAlign w:val="center"/>
          </w:tcPr>
          <w:p>
            <w:pPr>
              <w:keepNext w:val="0"/>
              <w:spacing w:after="40" w:line="240" w:lineRule="auto"/>
            </w:pPr>
            <w:r>
              <w:rPr>
                <w:rFonts w:ascii="Arial" w:hAnsi="Arial"/>
                <w:color w:val="000000"/>
                <w:sz w:val="18"/>
              </w:rPr>
              <w:t>cannot judge</w:t>
            </w:r>
          </w:p>
        </w:tc>
        <w:tc>
          <w:tcPr>
            <w:tcW w:type="dxa" w:w="2438"/>
            <w:vAlign w:val="center"/>
          </w:tcPr>
          <w:p>
            <w:pPr>
              <w:keepNext w:val="0"/>
              <w:spacing w:after="40" w:line="240" w:lineRule="auto"/>
            </w:pPr>
            <w:r>
              <w:rPr>
                <w:rFonts w:ascii="Arial" w:hAnsi="Arial"/>
                <w:color w:val="000000"/>
                <w:sz w:val="18"/>
              </w:rPr>
              <w:t>results/observations.csv; docs/cloud_run.json; config/study.json</w:t>
            </w:r>
          </w:p>
        </w:tc>
      </w:tr>
    </w:tbl>
    <w:p>
      <w:pPr>
        <w:spacing w:after="20"/>
      </w:pPr>
    </w:p>
    <w:p>
      <w:pPr>
        <w:pStyle w:val="Heading2"/>
      </w:pPr>
      <w:r>
        <w:t>T3 Answer in continuous text</w:t>
      </w:r>
    </w:p>
    <w:p>
      <w:pPr>
        <w:widowControl/>
      </w:pPr>
      <w:r>
        <w:rPr>
          <w:rFonts w:ascii="Arial" w:hAnsi="Arial"/>
          <w:color w:val="000000"/>
        </w:rPr>
        <w:t>The ORS records test extraction, completeness, timing and provenance against ER5–ER8. The separate Google–ORS pilot demonstrates measurable output disagreement, but all its pairs fall outside the defined peak and off-peak windows. The amended period contrast is not yet estimable because both periods do not have valid window summaries. ER1–ER4 remain untested expectations for the initial TomTom–2GIS design. The absence of that comparison is not evidence of equal services, absent congestion or accurate journey prediction.</w:t>
      </w:r>
    </w:p>
    <w:p>
      <w:pPr>
        <w:widowControl/>
      </w:pPr>
      <w:r>
        <w:rPr>
          <w:rFonts w:ascii="Arial" w:hAnsi="Arial"/>
          <w:color w:val="000000"/>
        </w:rPr>
        <w:t>Access and publication terms changed the feasible design. The main collector remains an ORS instrument, while the later approved protocol adds five bounded Google–ORS windows under aggregate-only retention. This is an explicit change of comparator and analysis, not a retrospective rewriting of the original expectations. The route set and period definitions remain fixed. Future interpretation will compare per-window summaries descriptively, retain actual dates and sample counts, and report missed windows instead of filling them.</w:t>
      </w:r>
    </w:p>
    <w:p>
      <w:pPr>
        <w:widowControl/>
      </w:pPr>
      <w:r>
        <w:rPr>
          <w:rFonts w:ascii="Arial" w:hAnsi="Arial"/>
          <w:color w:val="000000"/>
        </w:rPr>
        <w:t>The dated Google pilot protocol produced 20 valid exploratory pairs. Its median Google-minus-ORS difference was 730.5 seconds. This is disagreement under the chosen request settings, not measured error. Different paths, speed models and traffic inputs can all contribute; ORS is not a Google traffic-off counterfactual. One cycle cannot test a peak-versus-off-peak hypothesis. Retaining only aggregate Google results also prevents independent numerical reconstruction from saved responses. The bounded test is not a test of either the initial or amended period hypothesis.</w:t>
      </w:r>
    </w:p>
    <w:p>
      <w:pPr>
        <w:widowControl/>
      </w:pPr>
      <w:r>
        <w:rPr>
          <w:rFonts w:ascii="Arial" w:hAnsi="Arial"/>
          <w:color w:val="000000"/>
        </w:rPr>
        <w:t>The earlier literature supports this restraint. Bastarianto et al. (2025) and Valero et al. (2025) distinguish calculated from reported journeys; neither kind can simply be treated as error-free truth. Boeing and Zhou (2026) and Verma et al. (2025) demonstrate useful reference comparisons without removing that distinction. Mansurova et al. (2025) provide local bus data, but its mode and stopping behavior do not validate private-car estimates. Future interpretation must therefore separate model agreement, sampling coverage and independent journey validation instead of using one as a substitute for another.</w:t>
      </w:r>
    </w:p>
    <w:p>
      <w:pPr>
        <w:pStyle w:val="Heading1"/>
      </w:pPr>
      <w:r>
        <w:t>References</w:t>
      </w:r>
    </w:p>
    <w:p>
      <w:pPr>
        <w:widowControl/>
      </w:pPr>
      <w:r>
        <w:rPr>
          <w:rFonts w:ascii="Arial" w:hAnsi="Arial"/>
          <w:color w:val="000000"/>
        </w:rPr>
        <w:t xml:space="preserve">2GIS (2026) Routing API overview. Available at: </w:t>
      </w:r>
      <w:hyperlink r:id="rId44">
        <w:r>
          <w:rPr>
            <w:color w:val="174B76"/>
            <w:sz w:val="18"/>
          </w:rPr>
          <w:t>https://docs.2gis.com/en/api/navigation/routing/overview</w:t>
        </w:r>
      </w:hyperlink>
      <w:r>
        <w:rPr>
          <w:rFonts w:ascii="Arial" w:hAnsi="Arial"/>
          <w:color w:val="000000"/>
        </w:rPr>
        <w:t xml:space="preserve"> (Accessed: 24 October 2026).</w:t>
      </w:r>
    </w:p>
    <w:p>
      <w:pPr>
        <w:widowControl/>
      </w:pPr>
      <w:r>
        <w:rPr>
          <w:rFonts w:ascii="Arial" w:hAnsi="Arial"/>
          <w:color w:val="000000"/>
        </w:rPr>
        <w:t xml:space="preserve">2GIS (2026) WebAPI licence offer. Available at: </w:t>
      </w:r>
      <w:hyperlink r:id="rId49">
        <w:r>
          <w:rPr>
            <w:color w:val="174B76"/>
            <w:sz w:val="18"/>
          </w:rPr>
          <w:t>https://law.2gis.ru/offer-license-agreement-webapi</w:t>
        </w:r>
      </w:hyperlink>
      <w:r>
        <w:rPr>
          <w:rFonts w:ascii="Arial" w:hAnsi="Arial"/>
          <w:color w:val="000000"/>
        </w:rPr>
        <w:t xml:space="preserve"> (Accessed: 24 October 2026).</w:t>
      </w:r>
    </w:p>
    <w:p>
      <w:pPr>
        <w:widowControl/>
      </w:pPr>
      <w:r>
        <w:rPr>
          <w:rFonts w:ascii="Arial" w:hAnsi="Arial"/>
          <w:color w:val="000000"/>
        </w:rPr>
        <w:t xml:space="preserve">Bastarianto, F.F., Hancock, T.O., Ilahi, A., Manley, E. and Choudhury, C.F. (2025) '‘Mind the Gap’—The impact of discrepancies between Google Maps API and reported travel data in the Global South', Case Studies on Transport Policy, 21, 101508. </w:t>
      </w:r>
      <w:hyperlink r:id="rId50">
        <w:r>
          <w:rPr>
            <w:color w:val="174B76"/>
            <w:sz w:val="18"/>
          </w:rPr>
          <w:t>https://doi.org/10.1016/j.cstp.2025.101508</w:t>
        </w:r>
      </w:hyperlink>
    </w:p>
    <w:p>
      <w:pPr>
        <w:widowControl/>
      </w:pPr>
      <w:r>
        <w:rPr>
          <w:rFonts w:ascii="Arial" w:hAnsi="Arial"/>
          <w:color w:val="000000"/>
        </w:rPr>
        <w:t xml:space="preserve">Boeing, G. and Zhou, Y. (2026) 'Travel time prediction from sparse open data', International Journal of Geographical Information Science, 40(10), pp. 3412–3428. </w:t>
      </w:r>
      <w:hyperlink r:id="rId51">
        <w:r>
          <w:rPr>
            <w:color w:val="174B76"/>
            <w:sz w:val="18"/>
          </w:rPr>
          <w:t>https://doi.org/10.1080/13658816.2026.2628193</w:t>
        </w:r>
      </w:hyperlink>
    </w:p>
    <w:p>
      <w:pPr>
        <w:widowControl/>
      </w:pPr>
      <w:r>
        <w:rPr>
          <w:rFonts w:ascii="Arial" w:hAnsi="Arial"/>
          <w:color w:val="000000"/>
        </w:rPr>
        <w:t xml:space="preserve">Derrow-Pinion, A., She, J., Wong, D., Lange, O., Hester, T., Perez, L., Nunkesser, M., Lee, S., Guo, X., Wiltshire, B., Battaglia, P.W., Gupta, V., Li, A., Xu, Z., Sanchez-Gonzalez, A., Li, Y. and Veličković, P. (2021) 'ETA Prediction with Graph Neural Networks in Google Maps', Proceedings of the 30th ACM International Conference on Information &amp; Knowledge Management, pp. 3767–3776. </w:t>
      </w:r>
      <w:hyperlink r:id="rId52">
        <w:r>
          <w:rPr>
            <w:color w:val="174B76"/>
            <w:sz w:val="18"/>
          </w:rPr>
          <w:t>https://doi.org/10.1145/3459637.3481916</w:t>
        </w:r>
      </w:hyperlink>
    </w:p>
    <w:p>
      <w:pPr>
        <w:widowControl/>
      </w:pPr>
      <w:r>
        <w:rPr>
          <w:rFonts w:ascii="Arial" w:hAnsi="Arial"/>
          <w:color w:val="000000"/>
        </w:rPr>
        <w:t xml:space="preserve">Elnaggar, G.R., Al-Hourani, S. and Abutaha, R. (2025) 'Real-Time Urban Congestion Monitoring in Jeddah, Saudi Arabia, Using the Google Maps API: A Data-Driven Framework for Middle Eastern Cities', Sustainability, 17(18), 8194. </w:t>
      </w:r>
      <w:hyperlink r:id="rId53">
        <w:r>
          <w:rPr>
            <w:color w:val="174B76"/>
            <w:sz w:val="18"/>
          </w:rPr>
          <w:t>https://doi.org/10.3390/su17188194</w:t>
        </w:r>
      </w:hyperlink>
    </w:p>
    <w:p>
      <w:pPr>
        <w:widowControl/>
      </w:pPr>
      <w:r>
        <w:rPr>
          <w:rFonts w:ascii="Arial" w:hAnsi="Arial"/>
          <w:color w:val="000000"/>
        </w:rPr>
        <w:t xml:space="preserve">Fu, X., Kakkar, D., Chen, J., Moynihan, K.M., Hegland, T.A. and Blossom, J. (2023) 'A comparative study of methods for drive time estimation on geospatial big data: A case study in USA', The International Archives of the Photogrammetry, Remote Sensing and Spatial Information Sciences, XLVIII-4/W7-2023, pp. 53–60. </w:t>
      </w:r>
      <w:hyperlink r:id="rId54">
        <w:r>
          <w:rPr>
            <w:color w:val="174B76"/>
            <w:sz w:val="18"/>
          </w:rPr>
          <w:t>https://doi.org/10.5194/isprs-archives-XLVIII-4-W7-2023-53-2023</w:t>
        </w:r>
      </w:hyperlink>
    </w:p>
    <w:p>
      <w:pPr>
        <w:widowControl/>
      </w:pPr>
      <w:r>
        <w:rPr>
          <w:rFonts w:ascii="Arial" w:hAnsi="Arial"/>
          <w:color w:val="000000"/>
        </w:rPr>
        <w:t xml:space="preserve">Google (2026) Google Maps Platform terms. Available at: </w:t>
      </w:r>
      <w:hyperlink r:id="rId46">
        <w:r>
          <w:rPr>
            <w:color w:val="174B76"/>
            <w:sz w:val="18"/>
          </w:rPr>
          <w:t>https://cloud.google.com/maps-platform/terms</w:t>
        </w:r>
      </w:hyperlink>
      <w:r>
        <w:rPr>
          <w:rFonts w:ascii="Arial" w:hAnsi="Arial"/>
          <w:color w:val="000000"/>
        </w:rPr>
        <w:t xml:space="preserve"> (Accessed: 24 October 2026).</w:t>
      </w:r>
    </w:p>
    <w:p>
      <w:pPr>
        <w:widowControl/>
      </w:pPr>
      <w:r>
        <w:rPr>
          <w:rFonts w:ascii="Arial" w:hAnsi="Arial"/>
          <w:color w:val="000000"/>
        </w:rPr>
        <w:t xml:space="preserve">Google (2026) Maps Demo Key. Available at: </w:t>
      </w:r>
      <w:hyperlink r:id="rId55">
        <w:r>
          <w:rPr>
            <w:color w:val="174B76"/>
            <w:sz w:val="18"/>
          </w:rPr>
          <w:t>https://developers.google.com/maps/demo-key</w:t>
        </w:r>
      </w:hyperlink>
      <w:r>
        <w:rPr>
          <w:rFonts w:ascii="Arial" w:hAnsi="Arial"/>
          <w:color w:val="000000"/>
        </w:rPr>
        <w:t xml:space="preserve"> (Accessed: 24 October 2026).</w:t>
      </w:r>
    </w:p>
    <w:p>
      <w:pPr>
        <w:widowControl/>
      </w:pPr>
      <w:r>
        <w:rPr>
          <w:rFonts w:ascii="Arial" w:hAnsi="Arial"/>
          <w:color w:val="000000"/>
        </w:rPr>
        <w:t xml:space="preserve">Google (2026) Maps Platform Demo Project terms. Available at: </w:t>
      </w:r>
      <w:hyperlink r:id="rId56">
        <w:r>
          <w:rPr>
            <w:color w:val="174B76"/>
            <w:sz w:val="18"/>
          </w:rPr>
          <w:t>https://cloud.google.com/terms/maps-platform/demo-project-terms</w:t>
        </w:r>
      </w:hyperlink>
      <w:r>
        <w:rPr>
          <w:rFonts w:ascii="Arial" w:hAnsi="Arial"/>
          <w:color w:val="000000"/>
        </w:rPr>
        <w:t xml:space="preserve"> (Accessed: 24 October 2026).</w:t>
      </w:r>
    </w:p>
    <w:p>
      <w:pPr>
        <w:widowControl/>
      </w:pPr>
      <w:r>
        <w:rPr>
          <w:rFonts w:ascii="Arial" w:hAnsi="Arial"/>
          <w:color w:val="000000"/>
        </w:rPr>
        <w:t xml:space="preserve">HeiGIT (2026) Isochrone traffic data: maintainer response. Available at: </w:t>
      </w:r>
      <w:hyperlink r:id="rId57">
        <w:r>
          <w:rPr>
            <w:color w:val="174B76"/>
            <w:sz w:val="18"/>
          </w:rPr>
          <w:t>https://ask.openrouteservice.org/t/isochrone-trafic-data/7875</w:t>
        </w:r>
      </w:hyperlink>
      <w:r>
        <w:rPr>
          <w:rFonts w:ascii="Arial" w:hAnsi="Arial"/>
          <w:color w:val="000000"/>
        </w:rPr>
        <w:t xml:space="preserve"> (Accessed: 24 October 2026).</w:t>
      </w:r>
    </w:p>
    <w:p>
      <w:pPr>
        <w:widowControl/>
      </w:pPr>
      <w:r>
        <w:rPr>
          <w:rFonts w:ascii="Arial" w:hAnsi="Arial"/>
          <w:color w:val="000000"/>
        </w:rPr>
        <w:t xml:space="preserve">HeiGIT (2026) openrouteservice API reference. Available at: </w:t>
      </w:r>
      <w:hyperlink r:id="rId58">
        <w:r>
          <w:rPr>
            <w:color w:val="174B76"/>
            <w:sz w:val="18"/>
          </w:rPr>
          <w:t>https://giscience.github.io/openrouteservice/api-reference/</w:t>
        </w:r>
      </w:hyperlink>
      <w:r>
        <w:rPr>
          <w:rFonts w:ascii="Arial" w:hAnsi="Arial"/>
          <w:color w:val="000000"/>
        </w:rPr>
        <w:t xml:space="preserve"> (Accessed: 24 October 2026).</w:t>
      </w:r>
    </w:p>
    <w:p>
      <w:pPr>
        <w:widowControl/>
      </w:pPr>
      <w:r>
        <w:rPr>
          <w:rFonts w:ascii="Arial" w:hAnsi="Arial"/>
          <w:color w:val="000000"/>
        </w:rPr>
        <w:t xml:space="preserve">HeiGIT (2026) openrouteservice frequently asked questions. Available at: </w:t>
      </w:r>
      <w:hyperlink r:id="rId59">
        <w:r>
          <w:rPr>
            <w:color w:val="174B76"/>
            <w:sz w:val="18"/>
          </w:rPr>
          <w:t>https://giscience.github.io/openrouteservice/frequently-asked-questions</w:t>
        </w:r>
      </w:hyperlink>
      <w:r>
        <w:rPr>
          <w:rFonts w:ascii="Arial" w:hAnsi="Arial"/>
          <w:color w:val="000000"/>
        </w:rPr>
        <w:t xml:space="preserve"> (Accessed: 24 October 2026).</w:t>
      </w:r>
    </w:p>
    <w:p>
      <w:pPr>
        <w:widowControl/>
      </w:pPr>
      <w:r>
        <w:rPr>
          <w:rFonts w:ascii="Arial" w:hAnsi="Arial"/>
          <w:color w:val="000000"/>
        </w:rPr>
        <w:t xml:space="preserve">HeiGIT (2026) Terms of service. Available at: </w:t>
      </w:r>
      <w:hyperlink r:id="rId41">
        <w:r>
          <w:rPr>
            <w:color w:val="174B76"/>
            <w:sz w:val="18"/>
          </w:rPr>
          <w:t>https://account.heigit.org/info/tos</w:t>
        </w:r>
      </w:hyperlink>
      <w:r>
        <w:rPr>
          <w:rFonts w:ascii="Arial" w:hAnsi="Arial"/>
          <w:color w:val="000000"/>
        </w:rPr>
        <w:t xml:space="preserve"> (Accessed: 24 October 2026).</w:t>
      </w:r>
    </w:p>
    <w:p>
      <w:pPr>
        <w:widowControl/>
      </w:pPr>
      <w:r>
        <w:rPr>
          <w:rFonts w:ascii="Arial" w:hAnsi="Arial"/>
          <w:color w:val="000000"/>
        </w:rPr>
        <w:t xml:space="preserve">Hodson, T.O. (2022) 'Root-mean-square error (RMSE) or mean absolute error (MAE): when to use them or not', Geoscientific Model Development, 15(14), pp. 5481–5487. </w:t>
      </w:r>
      <w:hyperlink r:id="rId60">
        <w:r>
          <w:rPr>
            <w:color w:val="174B76"/>
            <w:sz w:val="18"/>
          </w:rPr>
          <w:t>https://doi.org/10.5194/gmd-15-5481-2022</w:t>
        </w:r>
      </w:hyperlink>
    </w:p>
    <w:p>
      <w:pPr>
        <w:widowControl/>
      </w:pPr>
      <w:r>
        <w:rPr>
          <w:rFonts w:ascii="Arial" w:hAnsi="Arial"/>
          <w:color w:val="000000"/>
        </w:rPr>
        <w:t xml:space="preserve">Mansurova, A., Mussina, A., Aubakirov, S., Nugumanova, A. and Yedilkhan, D. (2025) 'From Raw GPS to GTFS: A Real-World Open Dataset for Bus Travel Time Prediction', Data, 10(8), 119. </w:t>
      </w:r>
      <w:hyperlink r:id="rId61">
        <w:r>
          <w:rPr>
            <w:color w:val="174B76"/>
            <w:sz w:val="18"/>
          </w:rPr>
          <w:t>https://doi.org/10.3390/data10080119</w:t>
        </w:r>
      </w:hyperlink>
    </w:p>
    <w:p>
      <w:pPr>
        <w:widowControl/>
      </w:pPr>
      <w:r>
        <w:rPr>
          <w:rFonts w:ascii="Arial" w:hAnsi="Arial"/>
          <w:color w:val="000000"/>
        </w:rPr>
        <w:t xml:space="preserve">OpenStreetMap contributors (2026) Copyright and licence. Available at: </w:t>
      </w:r>
      <w:hyperlink r:id="rId42">
        <w:r>
          <w:rPr>
            <w:color w:val="174B76"/>
            <w:sz w:val="18"/>
          </w:rPr>
          <w:t>https://www.openstreetmap.org/copyright</w:t>
        </w:r>
      </w:hyperlink>
      <w:r>
        <w:rPr>
          <w:rFonts w:ascii="Arial" w:hAnsi="Arial"/>
          <w:color w:val="000000"/>
        </w:rPr>
        <w:t xml:space="preserve"> (Accessed: 24 October 2026).</w:t>
      </w:r>
    </w:p>
    <w:p>
      <w:pPr>
        <w:widowControl/>
      </w:pPr>
      <w:r>
        <w:rPr>
          <w:rFonts w:ascii="Arial" w:hAnsi="Arial"/>
          <w:color w:val="000000"/>
        </w:rPr>
        <w:t xml:space="preserve">Soon, K.L., Chan, R.K.C., Lim, J.M.-Y. and Parthiban, R. (2023) 'Short-term traffic forecasting model: prevailing trends and guidelines', Transportation Safety and Environment, 5(3), tdac058. </w:t>
      </w:r>
      <w:hyperlink r:id="rId62">
        <w:r>
          <w:rPr>
            <w:color w:val="174B76"/>
            <w:sz w:val="18"/>
          </w:rPr>
          <w:t>https://doi.org/10.1093/tse/tdac058</w:t>
        </w:r>
      </w:hyperlink>
    </w:p>
    <w:p>
      <w:pPr>
        <w:widowControl/>
      </w:pPr>
      <w:r>
        <w:rPr>
          <w:rFonts w:ascii="Arial" w:hAnsi="Arial"/>
          <w:color w:val="000000"/>
        </w:rPr>
        <w:t xml:space="preserve">TomTom (2026) Calculate Route documentation. Available at: </w:t>
      </w:r>
      <w:hyperlink r:id="rId63">
        <w:r>
          <w:rPr>
            <w:color w:val="174B76"/>
            <w:sz w:val="18"/>
          </w:rPr>
          <w:t>https://docs.tomtom.com/routing-api/documentation/tomtom-maps/v1/calculate-route</w:t>
        </w:r>
      </w:hyperlink>
      <w:r>
        <w:rPr>
          <w:rFonts w:ascii="Arial" w:hAnsi="Arial"/>
          <w:color w:val="000000"/>
        </w:rPr>
        <w:t xml:space="preserve"> (Accessed: 24 October 2026).</w:t>
      </w:r>
    </w:p>
    <w:p>
      <w:pPr>
        <w:widowControl/>
      </w:pPr>
      <w:r>
        <w:rPr>
          <w:rFonts w:ascii="Arial" w:hAnsi="Arial"/>
          <w:color w:val="000000"/>
        </w:rPr>
        <w:t xml:space="preserve">TomTom (2026) Portal terms and conditions. Available at: </w:t>
      </w:r>
      <w:hyperlink r:id="rId43">
        <w:r>
          <w:rPr>
            <w:color w:val="174B76"/>
            <w:sz w:val="18"/>
          </w:rPr>
          <w:t>https://docs.tomtom.com/legal/terms-and-conditions</w:t>
        </w:r>
      </w:hyperlink>
      <w:r>
        <w:rPr>
          <w:rFonts w:ascii="Arial" w:hAnsi="Arial"/>
          <w:color w:val="000000"/>
        </w:rPr>
        <w:t xml:space="preserve"> (Accessed: 24 October 2026).</w:t>
      </w:r>
    </w:p>
    <w:p>
      <w:pPr>
        <w:widowControl/>
      </w:pPr>
      <w:r>
        <w:rPr>
          <w:rFonts w:ascii="Arial" w:hAnsi="Arial"/>
          <w:color w:val="000000"/>
        </w:rPr>
        <w:t xml:space="preserve">TomTom (2026) Pricing. Available at: </w:t>
      </w:r>
      <w:hyperlink r:id="rId64">
        <w:r>
          <w:rPr>
            <w:color w:val="174B76"/>
            <w:sz w:val="18"/>
          </w:rPr>
          <w:t>https://docs.tomtom.com/pricing</w:t>
        </w:r>
      </w:hyperlink>
      <w:r>
        <w:rPr>
          <w:rFonts w:ascii="Arial" w:hAnsi="Arial"/>
          <w:color w:val="000000"/>
        </w:rPr>
        <w:t xml:space="preserve"> (Accessed: 24 October 2026).</w:t>
      </w:r>
    </w:p>
    <w:p>
      <w:pPr>
        <w:widowControl/>
      </w:pPr>
      <w:r>
        <w:rPr>
          <w:rFonts w:ascii="Arial" w:hAnsi="Arial"/>
          <w:color w:val="000000"/>
        </w:rPr>
        <w:t xml:space="preserve">Valero, A., Negm, H. and El-Geneidy, A. (2025) 'Exploring the (Mis)match between Reported and Calculated Commute Travel Times', Findings, August. </w:t>
      </w:r>
      <w:hyperlink r:id="rId65">
        <w:r>
          <w:rPr>
            <w:color w:val="174B76"/>
            <w:sz w:val="18"/>
          </w:rPr>
          <w:t>https://doi.org/10.32866/001c.143380</w:t>
        </w:r>
      </w:hyperlink>
    </w:p>
    <w:p>
      <w:pPr>
        <w:widowControl/>
      </w:pPr>
      <w:r>
        <w:rPr>
          <w:rFonts w:ascii="Arial" w:hAnsi="Arial"/>
          <w:color w:val="000000"/>
        </w:rPr>
        <w:t xml:space="preserve">Verma, R., Mittal, S. and Ukkusuri, S.V. (2025) 'Spatial Access of America: Multiple indicators of accessibility to opportunities', Scientific Data, 12(1), 1223. </w:t>
      </w:r>
      <w:hyperlink r:id="rId66">
        <w:r>
          <w:rPr>
            <w:color w:val="174B76"/>
            <w:sz w:val="18"/>
          </w:rPr>
          <w:t>https://doi.org/10.1038/s41597-025-05440-8</w:t>
        </w:r>
      </w:hyperlink>
    </w:p>
    <w:p>
      <w:pPr>
        <w:pStyle w:val="Heading1"/>
      </w:pPr>
      <w:r>
        <w:t>Free-access links</w:t>
      </w:r>
    </w:p>
    <w:p>
      <w:pPr>
        <w:widowControl/>
      </w:pPr>
      <w:r>
        <w:rPr>
          <w:rFonts w:ascii="Arial" w:hAnsi="Arial"/>
          <w:color w:val="000000"/>
        </w:rPr>
        <w:t xml:space="preserve">Bastarianto, F.F., Hancock, T.O., Ilahi, A., Manley, E. and Choudhury, C.F. (2025): </w:t>
      </w:r>
      <w:hyperlink r:id="rId67">
        <w:r>
          <w:rPr>
            <w:color w:val="174B76"/>
            <w:sz w:val="18"/>
          </w:rPr>
          <w:t>https://eprints.whiterose.ac.uk/id/eprint/228392/1/1-s2.0-S2213624X25001452-main.pdf</w:t>
        </w:r>
      </w:hyperlink>
    </w:p>
    <w:p>
      <w:pPr>
        <w:widowControl/>
      </w:pPr>
      <w:r>
        <w:rPr>
          <w:rFonts w:ascii="Arial" w:hAnsi="Arial"/>
          <w:color w:val="000000"/>
        </w:rPr>
        <w:t xml:space="preserve">Boeing, G. and Zhou, Y. (2026): </w:t>
      </w:r>
      <w:hyperlink r:id="rId68">
        <w:r>
          <w:rPr>
            <w:color w:val="174B76"/>
            <w:sz w:val="18"/>
          </w:rPr>
          <w:t>https://escholarship.org/content/qt4cm065kz/qt4cm065kz.pdf?v=lg</w:t>
        </w:r>
      </w:hyperlink>
    </w:p>
    <w:p>
      <w:pPr>
        <w:widowControl/>
      </w:pPr>
      <w:r>
        <w:rPr>
          <w:rFonts w:ascii="Arial" w:hAnsi="Arial"/>
          <w:color w:val="000000"/>
        </w:rPr>
        <w:t xml:space="preserve">Derrow-Pinion, A., She, J., Wong, D., Lange, O., Hester, T., Perez, L., Nunkesser, M., Lee, S., Guo, X., Wiltshire, B., Battaglia, P.W., Gupta, V., Li, A., Xu, Z., Sanchez-Gonzalez, A., Li, Y. and Veličković, P. (2021): </w:t>
      </w:r>
      <w:hyperlink r:id="rId69">
        <w:r>
          <w:rPr>
            <w:color w:val="174B76"/>
            <w:sz w:val="18"/>
          </w:rPr>
          <w:t>https://luisperez.me/files/eta-prediction.pdf</w:t>
        </w:r>
      </w:hyperlink>
    </w:p>
    <w:p>
      <w:pPr>
        <w:widowControl/>
      </w:pPr>
      <w:r>
        <w:rPr>
          <w:rFonts w:ascii="Arial" w:hAnsi="Arial"/>
          <w:color w:val="000000"/>
        </w:rPr>
        <w:t xml:space="preserve">Elnaggar, G.R., Al-Hourani, S. and Abutaha, R. (2025): </w:t>
      </w:r>
      <w:hyperlink r:id="rId70">
        <w:r>
          <w:rPr>
            <w:color w:val="174B76"/>
            <w:sz w:val="18"/>
          </w:rPr>
          <w:t>https://mdpi-res.com/d_attachment/sustainability/sustainability-17-08194/article_deploy/sustainability-17-08194.pdf</w:t>
        </w:r>
      </w:hyperlink>
    </w:p>
    <w:p>
      <w:pPr>
        <w:widowControl/>
      </w:pPr>
      <w:r>
        <w:rPr>
          <w:rFonts w:ascii="Arial" w:hAnsi="Arial"/>
          <w:color w:val="000000"/>
        </w:rPr>
        <w:t xml:space="preserve">Fu, X., Kakkar, D., Chen, J., Moynihan, K.M., Hegland, T.A. and Blossom, J. (2023): </w:t>
      </w:r>
      <w:hyperlink r:id="rId71">
        <w:r>
          <w:rPr>
            <w:color w:val="174B76"/>
            <w:sz w:val="18"/>
          </w:rPr>
          <w:t>https://isprs-archives.copernicus.org/articles/XLVIII-4-W7-2023/53/2023/isprs-archives-XLVIII-4-W7-2023-53-2023.pdf</w:t>
        </w:r>
      </w:hyperlink>
    </w:p>
    <w:p>
      <w:pPr>
        <w:widowControl/>
      </w:pPr>
      <w:r>
        <w:rPr>
          <w:rFonts w:ascii="Arial" w:hAnsi="Arial"/>
          <w:color w:val="000000"/>
        </w:rPr>
        <w:t xml:space="preserve">Hodson, T.O. (2022): </w:t>
      </w:r>
      <w:hyperlink r:id="rId72">
        <w:r>
          <w:rPr>
            <w:color w:val="174B76"/>
            <w:sz w:val="18"/>
          </w:rPr>
          <w:t>https://gmd.copernicus.org/articles/15/5481/2022/gmd-15-5481-2022.pdf</w:t>
        </w:r>
      </w:hyperlink>
    </w:p>
    <w:p>
      <w:pPr>
        <w:widowControl/>
      </w:pPr>
      <w:r>
        <w:rPr>
          <w:rFonts w:ascii="Arial" w:hAnsi="Arial"/>
          <w:color w:val="000000"/>
        </w:rPr>
        <w:t xml:space="preserve">Mansurova, A., Mussina, A., Aubakirov, S., Nugumanova, A. and Yedilkhan, D. (2025): </w:t>
      </w:r>
      <w:hyperlink r:id="rId73">
        <w:r>
          <w:rPr>
            <w:color w:val="174B76"/>
            <w:sz w:val="18"/>
          </w:rPr>
          <w:t>https://mdpi-res.com/d_attachment/data/data-10-00119/article_deploy/data-10-00119.pdf</w:t>
        </w:r>
      </w:hyperlink>
    </w:p>
    <w:p>
      <w:pPr>
        <w:widowControl/>
      </w:pPr>
      <w:r>
        <w:rPr>
          <w:rFonts w:ascii="Arial" w:hAnsi="Arial"/>
          <w:color w:val="000000"/>
        </w:rPr>
        <w:t xml:space="preserve">Soon, K.L., Chan, R.K.C., Lim, J.M.-Y. and Parthiban, R. (2023): </w:t>
      </w:r>
      <w:hyperlink r:id="rId74">
        <w:r>
          <w:rPr>
            <w:color w:val="174B76"/>
            <w:sz w:val="18"/>
          </w:rPr>
          <w:t>https://researchmgt.monash.edu/ws/portalfiles/portal/528840794/488448406_oa.pdf</w:t>
        </w:r>
      </w:hyperlink>
    </w:p>
    <w:p>
      <w:pPr>
        <w:widowControl/>
      </w:pPr>
      <w:r>
        <w:rPr>
          <w:rFonts w:ascii="Arial" w:hAnsi="Arial"/>
          <w:color w:val="000000"/>
        </w:rPr>
        <w:t xml:space="preserve">Valero, A., Negm, H. and El-Geneidy, A. (2025): </w:t>
      </w:r>
      <w:hyperlink r:id="rId75">
        <w:r>
          <w:rPr>
            <w:color w:val="174B76"/>
            <w:sz w:val="18"/>
          </w:rPr>
          <w:t>https://findingspress.org/article/143380.pdf</w:t>
        </w:r>
      </w:hyperlink>
    </w:p>
    <w:p>
      <w:pPr>
        <w:widowControl/>
      </w:pPr>
      <w:r>
        <w:rPr>
          <w:rFonts w:ascii="Arial" w:hAnsi="Arial"/>
          <w:color w:val="000000"/>
        </w:rPr>
        <w:t xml:space="preserve">Verma, R., Mittal, S. and Ukkusuri, S.V. (2025): </w:t>
      </w:r>
      <w:hyperlink r:id="rId76">
        <w:r>
          <w:rPr>
            <w:color w:val="174B76"/>
            <w:sz w:val="18"/>
          </w:rPr>
          <w:t>https://www.nature.com/articles/s41597-025-05440-8</w:t>
        </w:r>
      </w:hyperlink>
    </w:p>
    <w:p>
      <w:pPr>
        <w:widowControl/>
      </w:pPr>
      <w:r>
        <w:rPr>
          <w:rFonts w:ascii="Arial" w:hAnsi="Arial"/>
          <w:color w:val="000000"/>
        </w:rPr>
        <w:t xml:space="preserve">Project evidence: </w:t>
      </w:r>
      <w:hyperlink r:id="rId10">
        <w:r>
          <w:rPr>
            <w:color w:val="174B76"/>
            <w:sz w:val="18"/>
          </w:rPr>
          <w:t>https://github.com/SuperFlyTK/rmt-a3-travel-time-astana</w:t>
        </w:r>
      </w:hyperlink>
      <w:r>
        <w:rPr>
          <w:rFonts w:ascii="Arial" w:hAnsi="Arial"/>
          <w:color w:val="000000"/>
        </w:rPr>
        <w:br/>
        <w:t xml:space="preserve">Cloud folder: </w:t>
      </w:r>
      <w:hyperlink r:id="rId11">
        <w:r>
          <w:rPr>
            <w:color w:val="174B76"/>
            <w:sz w:val="18"/>
          </w:rPr>
          <w:t>https://drive.google.com/drive/folders/1hEVyoDFR0XzRWSv3yIm2EGExC427-yE6</w:t>
        </w:r>
      </w:hyperlink>
    </w:p>
    <w:sectPr w:rsidR="00FC693F" w:rsidRPr="0006063C" w:rsidSect="00034616">
      <w:footerReference w:type="default" r:id="rId9"/>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SE-2424 | Assignment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24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9" w:lineRule="auto" w:after="12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uperFlyTK/rmt-a3-travel-time-astana" TargetMode="External"/><Relationship Id="rId11" Type="http://schemas.openxmlformats.org/officeDocument/2006/relationships/hyperlink" Target="https://drive.google.com/drive/folders/1hEVyoDFR0XzRWSv3yIm2EGExC427-yE6" TargetMode="External"/><Relationship Id="rId12" Type="http://schemas.openxmlformats.org/officeDocument/2006/relationships/hyperlink" Target="https://github.com/SuperFlyTK/rmt-a3-travel-time-astana/blob/main/data/routes.csv" TargetMode="External"/><Relationship Id="rId13" Type="http://schemas.openxmlformats.org/officeDocument/2006/relationships/hyperlink" Target="https://github.com/SuperFlyTK/rmt-a3-travel-time-astana/tree/main/data/sources" TargetMode="External"/><Relationship Id="rId14" Type="http://schemas.openxmlformats.org/officeDocument/2006/relationships/hyperlink" Target="https://github.com/SuperFlyTK/rmt-a3-travel-time-astana/blob/main/docs/google_followup_protocol.json"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hyperlink" Target="https://github.com/SuperFlyTK/rmt-a3-travel-time-astana/blob/main/docs/google_control_protocol.json" TargetMode="External"/><Relationship Id="rId26" Type="http://schemas.openxmlformats.org/officeDocument/2006/relationships/hyperlink" Target="https://github.com/SuperFlyTK/rmt-a3-travel-time-astana/blob/main/results/google_control_benchmark.csv" TargetMode="External"/><Relationship Id="rId27" Type="http://schemas.openxmlformats.org/officeDocument/2006/relationships/image" Target="media/image11.png"/><Relationship Id="rId28" Type="http://schemas.openxmlformats.org/officeDocument/2006/relationships/hyperlink" Target="https://github.com/SuperFlyTK/rmt-a3-travel-time-astana/blob/main/collector/collect.py" TargetMode="External"/><Relationship Id="rId29" Type="http://schemas.openxmlformats.org/officeDocument/2006/relationships/hyperlink" Target="https://github.com/SuperFlyTK/rmt-a3-travel-time-astana/tree/main/.github/workflows" TargetMode="External"/><Relationship Id="rId30" Type="http://schemas.openxmlformats.org/officeDocument/2006/relationships/hyperlink" Target="https://github.com/SuperFlyTK/rmt-a3-travel-time-astana/blob/main/analysis/process.py" TargetMode="External"/><Relationship Id="rId31" Type="http://schemas.openxmlformats.org/officeDocument/2006/relationships/hyperlink" Target="https://github.com/SuperFlyTK/rmt-a3-travel-time-astana/blob/main/collector/google_followup.py" TargetMode="External"/><Relationship Id="rId32" Type="http://schemas.openxmlformats.org/officeDocument/2006/relationships/hyperlink" Target="https://github.com/SuperFlyTK/rmt-a3-travel-time-astana/blob/main/docs/reproduce_report.md" TargetMode="External"/><Relationship Id="rId33" Type="http://schemas.openxmlformats.org/officeDocument/2006/relationships/hyperlink" Target="https://github.com/SuperFlyTK/rmt-a3-travel-time-astana/blob/main/docs/research_log.md" TargetMode="External"/><Relationship Id="rId34" Type="http://schemas.openxmlformats.org/officeDocument/2006/relationships/hyperlink" Target="https://github.com/SuperFlyTK/rmt-a3-travel-time-astana/tree/main/data/raw" TargetMode="External"/><Relationship Id="rId35" Type="http://schemas.openxmlformats.org/officeDocument/2006/relationships/hyperlink" Target="https://github.com/SuperFlyTK/rmt-a3-travel-time-astana/blob/main/results/observations.csv" TargetMode="External"/><Relationship Id="rId36" Type="http://schemas.openxmlformats.org/officeDocument/2006/relationships/hyperlink" Target="https://github.com/SuperFlyTK/rmt-a3-travel-time-astana/blob/main/results/version_manifest.json" TargetMode="External"/><Relationship Id="rId37" Type="http://schemas.openxmlformats.org/officeDocument/2006/relationships/hyperlink" Target="https://github.com/SuperFlyTK/rmt-a3-travel-time-astana/tree/main/collector" TargetMode="External"/><Relationship Id="rId38" Type="http://schemas.openxmlformats.org/officeDocument/2006/relationships/hyperlink" Target="https://github.com/SuperFlyTK/rmt-a3-travel-time-astana/tree/main/analysis" TargetMode="External"/><Relationship Id="rId39" Type="http://schemas.openxmlformats.org/officeDocument/2006/relationships/hyperlink" Target="https://github.com/SuperFlyTK/rmt-a3-travel-time-astana/blob/main/report/build_report.py" TargetMode="External"/><Relationship Id="rId40" Type="http://schemas.openxmlformats.org/officeDocument/2006/relationships/hyperlink" Target="https://github.com/SuperFlyTK/rmt-a3-travel-time-astana/tree/main/docs" TargetMode="External"/><Relationship Id="rId41" Type="http://schemas.openxmlformats.org/officeDocument/2006/relationships/hyperlink" Target="https://account.heigit.org/info/tos" TargetMode="External"/><Relationship Id="rId42" Type="http://schemas.openxmlformats.org/officeDocument/2006/relationships/hyperlink" Target="https://www.openstreetmap.org/copyright" TargetMode="External"/><Relationship Id="rId43" Type="http://schemas.openxmlformats.org/officeDocument/2006/relationships/hyperlink" Target="https://docs.tomtom.com/legal/terms-and-conditions" TargetMode="External"/><Relationship Id="rId44" Type="http://schemas.openxmlformats.org/officeDocument/2006/relationships/hyperlink" Target="https://docs.2gis.com/en/api/navigation/routing/overview" TargetMode="External"/><Relationship Id="rId45" Type="http://schemas.openxmlformats.org/officeDocument/2006/relationships/hyperlink" Target="https://github.com/SuperFlyTK/rmt-a3-travel-time-astana/tree/main/data" TargetMode="External"/><Relationship Id="rId46" Type="http://schemas.openxmlformats.org/officeDocument/2006/relationships/hyperlink" Target="https://cloud.google.com/maps-platform/terms" TargetMode="External"/><Relationship Id="rId47" Type="http://schemas.openxmlformats.org/officeDocument/2006/relationships/hyperlink" Target="https://github.com/SuperFlyTK/rmt-a3-travel-time-astana/blob/main/figures/analysis_manifest.json" TargetMode="External"/><Relationship Id="rId48" Type="http://schemas.openxmlformats.org/officeDocument/2006/relationships/hyperlink" Target="https://github.com/SuperFlyTK/rmt-a3-travel-time-astana/blob/main/results/google_followup_period_summary.csv" TargetMode="External"/><Relationship Id="rId49" Type="http://schemas.openxmlformats.org/officeDocument/2006/relationships/hyperlink" Target="https://law.2gis.ru/offer-license-agreement-webapi" TargetMode="External"/><Relationship Id="rId50" Type="http://schemas.openxmlformats.org/officeDocument/2006/relationships/hyperlink" Target="https://doi.org/10.1016/j.cstp.2025.101508" TargetMode="External"/><Relationship Id="rId51" Type="http://schemas.openxmlformats.org/officeDocument/2006/relationships/hyperlink" Target="https://doi.org/10.1080/13658816.2026.2628193" TargetMode="External"/><Relationship Id="rId52" Type="http://schemas.openxmlformats.org/officeDocument/2006/relationships/hyperlink" Target="https://doi.org/10.1145/3459637.3481916" TargetMode="External"/><Relationship Id="rId53" Type="http://schemas.openxmlformats.org/officeDocument/2006/relationships/hyperlink" Target="https://doi.org/10.3390/su17188194" TargetMode="External"/><Relationship Id="rId54" Type="http://schemas.openxmlformats.org/officeDocument/2006/relationships/hyperlink" Target="https://doi.org/10.5194/isprs-archives-XLVIII-4-W7-2023-53-2023" TargetMode="External"/><Relationship Id="rId55" Type="http://schemas.openxmlformats.org/officeDocument/2006/relationships/hyperlink" Target="https://developers.google.com/maps/demo-key" TargetMode="External"/><Relationship Id="rId56" Type="http://schemas.openxmlformats.org/officeDocument/2006/relationships/hyperlink" Target="https://cloud.google.com/terms/maps-platform/demo-project-terms" TargetMode="External"/><Relationship Id="rId57" Type="http://schemas.openxmlformats.org/officeDocument/2006/relationships/hyperlink" Target="https://ask.openrouteservice.org/t/isochrone-trafic-data/7875" TargetMode="External"/><Relationship Id="rId58" Type="http://schemas.openxmlformats.org/officeDocument/2006/relationships/hyperlink" Target="https://giscience.github.io/openrouteservice/api-reference/" TargetMode="External"/><Relationship Id="rId59" Type="http://schemas.openxmlformats.org/officeDocument/2006/relationships/hyperlink" Target="https://giscience.github.io/openrouteservice/frequently-asked-questions" TargetMode="External"/><Relationship Id="rId60" Type="http://schemas.openxmlformats.org/officeDocument/2006/relationships/hyperlink" Target="https://doi.org/10.5194/gmd-15-5481-2022" TargetMode="External"/><Relationship Id="rId61" Type="http://schemas.openxmlformats.org/officeDocument/2006/relationships/hyperlink" Target="https://doi.org/10.3390/data10080119" TargetMode="External"/><Relationship Id="rId62" Type="http://schemas.openxmlformats.org/officeDocument/2006/relationships/hyperlink" Target="https://doi.org/10.1093/tse/tdac058" TargetMode="External"/><Relationship Id="rId63" Type="http://schemas.openxmlformats.org/officeDocument/2006/relationships/hyperlink" Target="https://docs.tomtom.com/routing-api/documentation/tomtom-maps/v1/calculate-route" TargetMode="External"/><Relationship Id="rId64" Type="http://schemas.openxmlformats.org/officeDocument/2006/relationships/hyperlink" Target="https://docs.tomtom.com/pricing" TargetMode="External"/><Relationship Id="rId65" Type="http://schemas.openxmlformats.org/officeDocument/2006/relationships/hyperlink" Target="https://doi.org/10.32866/001c.143380" TargetMode="External"/><Relationship Id="rId66" Type="http://schemas.openxmlformats.org/officeDocument/2006/relationships/hyperlink" Target="https://doi.org/10.1038/s41597-025-05440-8" TargetMode="External"/><Relationship Id="rId67" Type="http://schemas.openxmlformats.org/officeDocument/2006/relationships/hyperlink" Target="https://eprints.whiterose.ac.uk/id/eprint/228392/1/1-s2.0-S2213624X25001452-main.pdf" TargetMode="External"/><Relationship Id="rId68" Type="http://schemas.openxmlformats.org/officeDocument/2006/relationships/hyperlink" Target="https://escholarship.org/content/qt4cm065kz/qt4cm065kz.pdf?v=lg" TargetMode="External"/><Relationship Id="rId69" Type="http://schemas.openxmlformats.org/officeDocument/2006/relationships/hyperlink" Target="https://luisperez.me/files/eta-prediction.pdf" TargetMode="External"/><Relationship Id="rId70" Type="http://schemas.openxmlformats.org/officeDocument/2006/relationships/hyperlink" Target="https://mdpi-res.com/d_attachment/sustainability/sustainability-17-08194/article_deploy/sustainability-17-08194.pdf" TargetMode="External"/><Relationship Id="rId71" Type="http://schemas.openxmlformats.org/officeDocument/2006/relationships/hyperlink" Target="https://isprs-archives.copernicus.org/articles/XLVIII-4-W7-2023/53/2023/isprs-archives-XLVIII-4-W7-2023-53-2023.pdf" TargetMode="External"/><Relationship Id="rId72" Type="http://schemas.openxmlformats.org/officeDocument/2006/relationships/hyperlink" Target="https://gmd.copernicus.org/articles/15/5481/2022/gmd-15-5481-2022.pdf" TargetMode="External"/><Relationship Id="rId73" Type="http://schemas.openxmlformats.org/officeDocument/2006/relationships/hyperlink" Target="https://mdpi-res.com/d_attachment/data/data-10-00119/article_deploy/data-10-00119.pdf" TargetMode="External"/><Relationship Id="rId74" Type="http://schemas.openxmlformats.org/officeDocument/2006/relationships/hyperlink" Target="https://researchmgt.monash.edu/ws/portalfiles/portal/528840794/488448406_oa.pdf" TargetMode="External"/><Relationship Id="rId75" Type="http://schemas.openxmlformats.org/officeDocument/2006/relationships/hyperlink" Target="https://findingspress.org/article/143380.pdf" TargetMode="External"/><Relationship Id="rId76" Type="http://schemas.openxmlformats.org/officeDocument/2006/relationships/hyperlink" Target="https://www.nature.com/articles/s41597-025-054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Astana route-estimate instrument and methodology</dc:title>
  <dc:subject>Amended Google–ORS control comparison; executed instrument pilot</dc:subject>
  <dc:creator>Akhanov Yerdaulet, Shadiyarbek Syrym, Sabyrzhan Akylbek</dc:creator>
  <cp:keywords/>
  <dc:description>generated by python-docx</dc:description>
  <cp:lastModifiedBy/>
  <cp:revision>1</cp:revision>
  <dcterms:created xsi:type="dcterms:W3CDTF">2013-12-23T23:15:00Z</dcterms:created>
  <dcterms:modified xsi:type="dcterms:W3CDTF">2013-12-23T23:15:00Z</dcterms:modified>
  <cp:category/>
</cp:coreProperties>
</file>