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color w:val="000000"/>
        </w:rPr>
        <w:t>Group SE-2424 | Assignment 3 | Akhanov Yerdaulet, Shadiyarbek Syrym, Sabyrzhan Akylbek</w:t>
      </w:r>
    </w:p>
    <w:p>
      <w:pPr>
        <w:pStyle w:val="Title"/>
        <w:widowControl/>
      </w:pPr>
      <w:r>
        <w:rPr>
          <w:rFonts w:ascii="Arial" w:hAnsi="Arial"/>
          <w:color w:val="000000"/>
        </w:rPr>
        <w:t>Astana route estimate methodology</w:t>
      </w:r>
    </w:p>
    <w:p>
      <w:pPr>
        <w:widowControl/>
      </w:pPr>
      <w:r>
        <w:rPr>
          <w:rFonts w:ascii="Arial" w:hAnsi="Arial"/>
          <w:color w:val="000000"/>
        </w:rPr>
        <w:t>Status: executed ORS instrument pilot; the primary traffic-aware comparison has not been performed.</w:t>
      </w:r>
    </w:p>
    <w:p>
      <w:pPr>
        <w:widowControl/>
      </w:pPr>
      <w:r>
        <w:rPr>
          <w:rFonts w:ascii="Arial" w:hAnsi="Arial"/>
          <w:color w:val="000000"/>
        </w:rPr>
        <w:t xml:space="preserve">Evidence snapshot: 2026-10-24T02:53:12.358983+00:00. Public repository: </w:t>
      </w:r>
      <w:hyperlink r:id="rId10">
        <w:r>
          <w:rPr>
            <w:color w:val="174B76"/>
            <w:sz w:val="18"/>
          </w:rPr>
          <w:t>https://github.com/SuperFlyTK/rmt-a3-travel-time-astana</w:t>
        </w:r>
      </w:hyperlink>
    </w:p>
    <w:p>
      <w:pPr>
        <w:pStyle w:val="Heading1"/>
      </w:pPr>
      <w:r>
        <w:t>Segment 1. Methodology</w:t>
      </w:r>
    </w:p>
    <w:p>
      <w:pPr>
        <w:pStyle w:val="Heading2"/>
      </w:pPr>
      <w:r>
        <w:t>T1 Declare basic information</w:t>
      </w:r>
    </w:p>
    <w:p>
      <w:pPr>
        <w:widowControl/>
      </w:pPr>
      <w:r>
        <w:rPr>
          <w:rFonts w:ascii="Arial" w:hAnsi="Arial"/>
          <w:color w:val="000000"/>
        </w:rPr>
        <w:t>How do TomTom and 2GIS traffic-aware travel-time estimates diverge on fixed Astana routes during evening peak compared with off-peak periods?</w:t>
      </w:r>
    </w:p>
    <w:p>
      <w:pPr>
        <w:widowControl/>
      </w:pPr>
      <w:r>
        <w:rPr>
          <w:rFonts w:ascii="Arial" w:hAnsi="Arial"/>
          <w:color w:val="000000"/>
        </w:rPr>
        <w:t>The question isolates disagreement between services for common endpoints and time periods. Its strength is an observable comparison with a fixed unit and a clear temporal contrast. Its weakness is that services can recommend different streets and apply undisclosed models. Neither estimate is an observed journey. The original Assignment 2 Google Maps–2GIS design was amended after access and publication checks. TomTom–2GIS remains the prospective question, while the completed work concerns the ORS instrument. This distinction prevents successful software operation from being presented as an answer about congestion.</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928"/>
        <w:gridCol w:w="7710"/>
      </w:tblGrid>
      <w:tr>
        <w:trPr>
          <w:tblHeader/>
          <w:cantSplit/>
        </w:trPr>
        <w:tc>
          <w:tcPr>
            <w:tcW w:type="dxa" w:w="1928"/>
            <w:vAlign w:val="center"/>
            <w:shd w:fill="EAEAEA"/>
          </w:tcPr>
          <w:p>
            <w:pPr>
              <w:keepNext/>
              <w:spacing w:after="40" w:line="240" w:lineRule="auto"/>
            </w:pPr>
            <w:r>
              <w:rPr>
                <w:rFonts w:ascii="Arial" w:hAnsi="Arial"/>
                <w:b/>
                <w:color w:val="000000"/>
                <w:sz w:val="18"/>
              </w:rPr>
              <w:t>Item</w:t>
            </w:r>
          </w:p>
        </w:tc>
        <w:tc>
          <w:tcPr>
            <w:tcW w:type="dxa" w:w="7710"/>
            <w:vAlign w:val="center"/>
            <w:shd w:fill="EAEAEA"/>
          </w:tcPr>
          <w:p>
            <w:pPr>
              <w:keepNext/>
              <w:spacing w:after="40" w:line="240" w:lineRule="auto"/>
            </w:pPr>
            <w:r>
              <w:rPr>
                <w:rFonts w:ascii="Arial" w:hAnsi="Arial"/>
                <w:b/>
                <w:color w:val="000000"/>
                <w:sz w:val="18"/>
              </w:rPr>
              <w:t>Entry</w:t>
            </w:r>
          </w:p>
        </w:tc>
      </w:tr>
      <w:tr>
        <w:trPr>
          <w:cantSplit/>
        </w:trPr>
        <w:tc>
          <w:tcPr>
            <w:tcW w:type="dxa" w:w="1928"/>
            <w:vAlign w:val="center"/>
          </w:tcPr>
          <w:p>
            <w:pPr>
              <w:keepNext/>
              <w:spacing w:after="40" w:line="240" w:lineRule="auto"/>
            </w:pPr>
            <w:r>
              <w:rPr>
                <w:rFonts w:ascii="Arial" w:hAnsi="Arial"/>
                <w:color w:val="000000"/>
                <w:sz w:val="18"/>
              </w:rPr>
              <w:t>Group and team</w:t>
            </w:r>
          </w:p>
        </w:tc>
        <w:tc>
          <w:tcPr>
            <w:tcW w:type="dxa" w:w="7710"/>
            <w:vAlign w:val="center"/>
          </w:tcPr>
          <w:p>
            <w:pPr>
              <w:keepNext/>
              <w:spacing w:after="40" w:line="240" w:lineRule="auto"/>
            </w:pPr>
            <w:r>
              <w:rPr>
                <w:rFonts w:ascii="Arial" w:hAnsi="Arial"/>
                <w:color w:val="000000"/>
                <w:sz w:val="18"/>
              </w:rPr>
              <w:t>SE-2424 | AkhanovYerdaulet_ShadiyarbekSyrym_SabyrzhanAkylbek</w:t>
            </w:r>
          </w:p>
        </w:tc>
      </w:tr>
      <w:tr>
        <w:trPr>
          <w:cantSplit/>
        </w:trPr>
        <w:tc>
          <w:tcPr>
            <w:tcW w:type="dxa" w:w="1928"/>
            <w:vAlign w:val="center"/>
          </w:tcPr>
          <w:p>
            <w:pPr>
              <w:keepNext/>
              <w:spacing w:after="40" w:line="240" w:lineRule="auto"/>
            </w:pPr>
            <w:r>
              <w:rPr>
                <w:rFonts w:ascii="Arial" w:hAnsi="Arial"/>
                <w:color w:val="000000"/>
                <w:sz w:val="18"/>
              </w:rPr>
              <w:t>Repository</w:t>
            </w:r>
          </w:p>
        </w:tc>
        <w:tc>
          <w:tcPr>
            <w:tcW w:type="dxa" w:w="7710"/>
            <w:vAlign w:val="center"/>
          </w:tcPr>
          <w:p>
            <w:pPr>
              <w:keepNext/>
              <w:spacing w:after="40" w:line="240" w:lineRule="auto"/>
            </w:pPr>
            <w:hyperlink r:id="rId10">
              <w:r>
                <w:rPr>
                  <w:color w:val="174B76"/>
                  <w:sz w:val="18"/>
                </w:rPr>
                <w:t>https://github.com/SuperFlyTK/rmt-a3-travel-time-astana</w:t>
              </w:r>
            </w:hyperlink>
          </w:p>
        </w:tc>
      </w:tr>
      <w:tr>
        <w:trPr>
          <w:cantSplit/>
        </w:trPr>
        <w:tc>
          <w:tcPr>
            <w:tcW w:type="dxa" w:w="1928"/>
            <w:vAlign w:val="center"/>
          </w:tcPr>
          <w:p>
            <w:pPr>
              <w:keepNext/>
              <w:spacing w:after="40" w:line="240" w:lineRule="auto"/>
            </w:pPr>
            <w:r>
              <w:rPr>
                <w:rFonts w:ascii="Arial" w:hAnsi="Arial"/>
                <w:color w:val="000000"/>
                <w:sz w:val="18"/>
              </w:rPr>
              <w:t>Drive folder</w:t>
            </w:r>
          </w:p>
        </w:tc>
        <w:tc>
          <w:tcPr>
            <w:tcW w:type="dxa" w:w="7710"/>
            <w:vAlign w:val="center"/>
          </w:tcPr>
          <w:p>
            <w:pPr>
              <w:keepNext/>
              <w:spacing w:after="40" w:line="240" w:lineRule="auto"/>
            </w:pPr>
            <w:hyperlink r:id="rId11">
              <w:r>
                <w:rPr>
                  <w:color w:val="174B76"/>
                  <w:sz w:val="18"/>
                </w:rPr>
                <w:t>https://drive.google.com/drive/folders/1hEVyoDFR0XzRWSv3yIm2EGExC427-yE6</w:t>
              </w:r>
            </w:hyperlink>
            <w:r>
              <w:rPr>
                <w:rFonts w:ascii="Arial" w:hAnsi="Arial"/>
                <w:color w:val="000000"/>
                <w:sz w:val="18"/>
              </w:rPr>
              <w:br/>
              <w:t>Archive upload pending verification at this snapshot</w:t>
            </w:r>
          </w:p>
        </w:tc>
      </w:tr>
      <w:tr>
        <w:trPr>
          <w:cantSplit/>
        </w:trPr>
        <w:tc>
          <w:tcPr>
            <w:tcW w:type="dxa" w:w="1928"/>
            <w:vAlign w:val="center"/>
          </w:tcPr>
          <w:p>
            <w:pPr>
              <w:keepNext w:val="0"/>
              <w:spacing w:after="40" w:line="240" w:lineRule="auto"/>
            </w:pPr>
            <w:r>
              <w:rPr>
                <w:rFonts w:ascii="Arial" w:hAnsi="Arial"/>
                <w:color w:val="000000"/>
                <w:sz w:val="18"/>
              </w:rPr>
              <w:t>Folders</w:t>
            </w:r>
          </w:p>
        </w:tc>
        <w:tc>
          <w:tcPr>
            <w:tcW w:type="dxa" w:w="7710"/>
            <w:vAlign w:val="center"/>
          </w:tcPr>
          <w:p>
            <w:pPr>
              <w:keepNext w:val="0"/>
              <w:spacing w:after="40" w:line="240" w:lineRule="auto"/>
            </w:pPr>
            <w:r>
              <w:rPr>
                <w:rFonts w:ascii="Arial" w:hAnsi="Arial"/>
                <w:color w:val="000000"/>
                <w:sz w:val="18"/>
              </w:rPr>
              <w:t>collector/: extraction; config/: fixed design; data/routes.csv: sample; data/raw/: original observations; analysis/: processing; results/: working data; figures/: evidence; report/: reproducible document; docs/: provenance and journal</w:t>
            </w:r>
          </w:p>
        </w:tc>
      </w:tr>
    </w:tbl>
    <w:p>
      <w:pPr>
        <w:spacing w:after="20"/>
      </w:pPr>
    </w:p>
    <w:p>
      <w:pPr>
        <w:pStyle w:val="Heading2"/>
      </w:pPr>
      <w:r>
        <w:t>T2 Record your Approach Card</w:t>
      </w:r>
    </w:p>
    <w:p>
      <w:pPr>
        <w:widowControl/>
      </w:pPr>
      <w:r>
        <w:rPr>
          <w:rFonts w:ascii="Arial" w:hAnsi="Arial"/>
          <w:color w:val="000000"/>
        </w:rPr>
        <w:t>The approach is quantitative secondary-data analysis using repeated observations. Researchers select requests but do not manipulate road conditions, allocate traffic treatments or recruit drivers. It is therefore an observational comparison, not an experiment. Repeated endpoints reduce spatial inconsistency and make variation auditable. However, purposive route selection and a short observation window limit generalisation. Repeated requests on one route are dependent; their number cannot be treated as the number of independent roads. ORS offers a practical control for the collection workflow but lacks the live-traffic signal required by the main question.</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928"/>
        <w:gridCol w:w="7710"/>
      </w:tblGrid>
      <w:tr>
        <w:trPr>
          <w:tblHeader/>
          <w:cantSplit/>
        </w:trPr>
        <w:tc>
          <w:tcPr>
            <w:tcW w:type="dxa" w:w="1928"/>
            <w:vAlign w:val="center"/>
            <w:shd w:fill="EAEAEA"/>
          </w:tcPr>
          <w:p>
            <w:pPr>
              <w:keepNext/>
              <w:spacing w:after="40" w:line="240" w:lineRule="auto"/>
            </w:pPr>
            <w:r>
              <w:rPr>
                <w:rFonts w:ascii="Arial" w:hAnsi="Arial"/>
                <w:b/>
                <w:color w:val="000000"/>
                <w:sz w:val="18"/>
              </w:rPr>
              <w:t>Dimension</w:t>
            </w:r>
          </w:p>
        </w:tc>
        <w:tc>
          <w:tcPr>
            <w:tcW w:type="dxa" w:w="7710"/>
            <w:vAlign w:val="center"/>
            <w:shd w:fill="EAEAEA"/>
          </w:tcPr>
          <w:p>
            <w:pPr>
              <w:keepNext/>
              <w:spacing w:after="40" w:line="240" w:lineRule="auto"/>
            </w:pPr>
            <w:r>
              <w:rPr>
                <w:rFonts w:ascii="Arial" w:hAnsi="Arial"/>
                <w:b/>
                <w:color w:val="000000"/>
                <w:sz w:val="18"/>
              </w:rPr>
              <w:t>Declared approach</w:t>
            </w:r>
          </w:p>
        </w:tc>
      </w:tr>
      <w:tr>
        <w:trPr>
          <w:cantSplit/>
        </w:trPr>
        <w:tc>
          <w:tcPr>
            <w:tcW w:type="dxa" w:w="1928"/>
            <w:vAlign w:val="center"/>
          </w:tcPr>
          <w:p>
            <w:pPr>
              <w:keepNext/>
              <w:spacing w:after="40" w:line="240" w:lineRule="auto"/>
            </w:pPr>
            <w:r>
              <w:rPr>
                <w:rFonts w:ascii="Arial" w:hAnsi="Arial"/>
                <w:color w:val="000000"/>
                <w:sz w:val="18"/>
              </w:rPr>
              <w:t>Data and purpose</w:t>
            </w:r>
          </w:p>
        </w:tc>
        <w:tc>
          <w:tcPr>
            <w:tcW w:type="dxa" w:w="7710"/>
            <w:vAlign w:val="center"/>
          </w:tcPr>
          <w:p>
            <w:pPr>
              <w:keepNext/>
              <w:spacing w:after="40" w:line="240" w:lineRule="auto"/>
            </w:pPr>
            <w:r>
              <w:rPr>
                <w:rFonts w:ascii="Arial" w:hAnsi="Arial"/>
                <w:color w:val="000000"/>
                <w:sz w:val="18"/>
              </w:rPr>
              <w:t>Numerical API estimates; descriptive agreement planned; instrument feasibility observed</w:t>
            </w:r>
          </w:p>
        </w:tc>
      </w:tr>
      <w:tr>
        <w:trPr>
          <w:cantSplit/>
        </w:trPr>
        <w:tc>
          <w:tcPr>
            <w:tcW w:type="dxa" w:w="1928"/>
            <w:vAlign w:val="center"/>
          </w:tcPr>
          <w:p>
            <w:pPr>
              <w:keepNext/>
              <w:spacing w:after="40" w:line="240" w:lineRule="auto"/>
            </w:pPr>
            <w:r>
              <w:rPr>
                <w:rFonts w:ascii="Arial" w:hAnsi="Arial"/>
                <w:color w:val="000000"/>
                <w:sz w:val="18"/>
              </w:rPr>
              <w:t>Design</w:t>
            </w:r>
          </w:p>
        </w:tc>
        <w:tc>
          <w:tcPr>
            <w:tcW w:type="dxa" w:w="7710"/>
            <w:vAlign w:val="center"/>
          </w:tcPr>
          <w:p>
            <w:pPr>
              <w:keepNext/>
              <w:spacing w:after="40" w:line="240" w:lineRule="auto"/>
            </w:pPr>
            <w:r>
              <w:rPr>
                <w:rFonts w:ascii="Arial" w:hAnsi="Arial"/>
                <w:color w:val="000000"/>
                <w:sz w:val="18"/>
              </w:rPr>
              <w:t>Observational repeated measures; secondary data; prospective paired comparison</w:t>
            </w:r>
          </w:p>
        </w:tc>
      </w:tr>
      <w:tr>
        <w:trPr>
          <w:cantSplit/>
        </w:trPr>
        <w:tc>
          <w:tcPr>
            <w:tcW w:type="dxa" w:w="1928"/>
            <w:vAlign w:val="center"/>
          </w:tcPr>
          <w:p>
            <w:pPr>
              <w:keepNext/>
              <w:spacing w:after="40" w:line="240" w:lineRule="auto"/>
            </w:pPr>
            <w:r>
              <w:rPr>
                <w:rFonts w:ascii="Arial" w:hAnsi="Arial"/>
                <w:color w:val="000000"/>
                <w:sz w:val="18"/>
              </w:rPr>
              <w:t>Strength</w:t>
            </w:r>
          </w:p>
        </w:tc>
        <w:tc>
          <w:tcPr>
            <w:tcW w:type="dxa" w:w="7710"/>
            <w:vAlign w:val="center"/>
          </w:tcPr>
          <w:p>
            <w:pPr>
              <w:keepNext/>
              <w:spacing w:after="40" w:line="240" w:lineRule="auto"/>
            </w:pPr>
            <w:r>
              <w:rPr>
                <w:rFonts w:ascii="Arial" w:hAnsi="Arial"/>
                <w:color w:val="000000"/>
                <w:sz w:val="18"/>
              </w:rPr>
              <w:t>Fixed OD identifiers, timestamps and preserved failures support reproduction</w:t>
            </w:r>
          </w:p>
        </w:tc>
      </w:tr>
      <w:tr>
        <w:trPr>
          <w:cantSplit/>
        </w:trPr>
        <w:tc>
          <w:tcPr>
            <w:tcW w:type="dxa" w:w="1928"/>
            <w:vAlign w:val="center"/>
          </w:tcPr>
          <w:p>
            <w:pPr>
              <w:keepNext w:val="0"/>
              <w:spacing w:after="40" w:line="240" w:lineRule="auto"/>
            </w:pPr>
            <w:r>
              <w:rPr>
                <w:rFonts w:ascii="Arial" w:hAnsi="Arial"/>
                <w:color w:val="000000"/>
                <w:sz w:val="18"/>
              </w:rPr>
              <w:t>Weakness</w:t>
            </w:r>
          </w:p>
        </w:tc>
        <w:tc>
          <w:tcPr>
            <w:tcW w:type="dxa" w:w="7710"/>
            <w:vAlign w:val="center"/>
          </w:tcPr>
          <w:p>
            <w:pPr>
              <w:keepNext w:val="0"/>
              <w:spacing w:after="40" w:line="240" w:lineRule="auto"/>
            </w:pPr>
            <w:r>
              <w:rPr>
                <w:rFonts w:ascii="Arial" w:hAnsi="Arial"/>
                <w:color w:val="000000"/>
                <w:sz w:val="18"/>
              </w:rPr>
              <w:t>No ground truth; proprietary provider behavior; dependent routes and short duration</w:t>
            </w:r>
          </w:p>
        </w:tc>
      </w:tr>
    </w:tbl>
    <w:p>
      <w:pPr>
        <w:spacing w:after="20"/>
      </w:pPr>
    </w:p>
    <w:p>
      <w:pPr>
        <w:pStyle w:val="Heading2"/>
      </w:pPr>
      <w:r>
        <w:t>T3 Concept table</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757"/>
        <w:gridCol w:w="4989"/>
        <w:gridCol w:w="2891"/>
      </w:tblGrid>
      <w:tr>
        <w:trPr>
          <w:tblHeader/>
          <w:cantSplit/>
        </w:trPr>
        <w:tc>
          <w:tcPr>
            <w:tcW w:type="dxa" w:w="1757"/>
            <w:vAlign w:val="center"/>
            <w:shd w:fill="EAEAEA"/>
          </w:tcPr>
          <w:p>
            <w:pPr>
              <w:keepNext/>
              <w:spacing w:after="40" w:line="240" w:lineRule="auto"/>
            </w:pPr>
            <w:r>
              <w:rPr>
                <w:rFonts w:ascii="Arial" w:hAnsi="Arial"/>
                <w:b/>
                <w:color w:val="000000"/>
                <w:sz w:val="18"/>
              </w:rPr>
              <w:t>Concept</w:t>
            </w:r>
          </w:p>
        </w:tc>
        <w:tc>
          <w:tcPr>
            <w:tcW w:type="dxa" w:w="4989"/>
            <w:vAlign w:val="center"/>
            <w:shd w:fill="EAEAEA"/>
          </w:tcPr>
          <w:p>
            <w:pPr>
              <w:keepNext/>
              <w:spacing w:after="40" w:line="240" w:lineRule="auto"/>
            </w:pPr>
            <w:r>
              <w:rPr>
                <w:rFonts w:ascii="Arial" w:hAnsi="Arial"/>
                <w:b/>
                <w:color w:val="000000"/>
                <w:sz w:val="18"/>
              </w:rPr>
              <w:t>Operational definition</w:t>
            </w:r>
          </w:p>
        </w:tc>
        <w:tc>
          <w:tcPr>
            <w:tcW w:type="dxa" w:w="2891"/>
            <w:vAlign w:val="center"/>
            <w:shd w:fill="EAEAEA"/>
          </w:tcPr>
          <w:p>
            <w:pPr>
              <w:keepNext/>
              <w:spacing w:after="40" w:line="240" w:lineRule="auto"/>
            </w:pPr>
            <w:r>
              <w:rPr>
                <w:rFonts w:ascii="Arial" w:hAnsi="Arial"/>
                <w:b/>
                <w:color w:val="000000"/>
                <w:sz w:val="18"/>
              </w:rPr>
              <w:t>Measure and unit</w:t>
            </w:r>
          </w:p>
        </w:tc>
      </w:tr>
      <w:tr>
        <w:trPr>
          <w:cantSplit/>
        </w:trPr>
        <w:tc>
          <w:tcPr>
            <w:tcW w:type="dxa" w:w="1757"/>
            <w:vAlign w:val="center"/>
          </w:tcPr>
          <w:p>
            <w:pPr>
              <w:keepNext/>
              <w:spacing w:after="40" w:line="240" w:lineRule="auto"/>
            </w:pPr>
            <w:r>
              <w:rPr>
                <w:rFonts w:ascii="Arial" w:hAnsi="Arial"/>
                <w:color w:val="000000"/>
                <w:sz w:val="18"/>
              </w:rPr>
              <w:t>Travel-time disagreement</w:t>
            </w:r>
          </w:p>
        </w:tc>
        <w:tc>
          <w:tcPr>
            <w:tcW w:type="dxa" w:w="4989"/>
            <w:vAlign w:val="center"/>
          </w:tcPr>
          <w:p>
            <w:pPr>
              <w:keepNext/>
              <w:spacing w:after="40" w:line="240" w:lineRule="auto"/>
            </w:pPr>
            <w:r>
              <w:rPr>
                <w:rFonts w:ascii="Arial" w:hAnsi="Arial"/>
                <w:color w:val="000000"/>
                <w:sz w:val="18"/>
              </w:rPr>
              <w:t>For paired estimates A and B, d=A−B and m=(A+B)/2</w:t>
            </w:r>
          </w:p>
        </w:tc>
        <w:tc>
          <w:tcPr>
            <w:tcW w:type="dxa" w:w="2891"/>
            <w:vAlign w:val="center"/>
          </w:tcPr>
          <w:p>
            <w:pPr>
              <w:keepNext/>
              <w:spacing w:after="40" w:line="240" w:lineRule="auto"/>
            </w:pPr>
            <w:r>
              <w:rPr>
                <w:rFonts w:ascii="Arial" w:hAnsi="Arial"/>
                <w:color w:val="000000"/>
                <w:sz w:val="18"/>
              </w:rPr>
              <w:t>d and |d| in seconds; 100d/m and 100|d|/m in percent</w:t>
            </w:r>
          </w:p>
        </w:tc>
      </w:tr>
      <w:tr>
        <w:trPr>
          <w:cantSplit/>
        </w:trPr>
        <w:tc>
          <w:tcPr>
            <w:tcW w:type="dxa" w:w="1757"/>
            <w:vAlign w:val="center"/>
          </w:tcPr>
          <w:p>
            <w:pPr>
              <w:keepNext/>
              <w:spacing w:after="40" w:line="240" w:lineRule="auto"/>
            </w:pPr>
            <w:r>
              <w:rPr>
                <w:rFonts w:ascii="Arial" w:hAnsi="Arial"/>
                <w:color w:val="000000"/>
                <w:sz w:val="18"/>
              </w:rPr>
              <w:t>Traffic period</w:t>
            </w:r>
          </w:p>
        </w:tc>
        <w:tc>
          <w:tcPr>
            <w:tcW w:type="dxa" w:w="4989"/>
            <w:vAlign w:val="center"/>
          </w:tcPr>
          <w:p>
            <w:pPr>
              <w:keepNext/>
              <w:spacing w:after="40" w:line="240" w:lineRule="auto"/>
            </w:pPr>
            <w:r>
              <w:rPr>
                <w:rFonts w:ascii="Arial" w:hAnsi="Arial"/>
                <w:color w:val="000000"/>
                <w:sz w:val="18"/>
              </w:rPr>
              <w:t>Classify request timestamp in Asia/Almaty; start included, end excluded</w:t>
            </w:r>
          </w:p>
        </w:tc>
        <w:tc>
          <w:tcPr>
            <w:tcW w:type="dxa" w:w="2891"/>
            <w:vAlign w:val="center"/>
          </w:tcPr>
          <w:p>
            <w:pPr>
              <w:keepNext/>
              <w:spacing w:after="40" w:line="240" w:lineRule="auto"/>
            </w:pPr>
            <w:r>
              <w:rPr>
                <w:rFonts w:ascii="Arial" w:hAnsi="Arial"/>
                <w:color w:val="000000"/>
                <w:sz w:val="18"/>
              </w:rPr>
              <w:t>Nominal: peak, offpeak, other</w:t>
            </w:r>
          </w:p>
        </w:tc>
      </w:tr>
      <w:tr>
        <w:trPr>
          <w:cantSplit/>
        </w:trPr>
        <w:tc>
          <w:tcPr>
            <w:tcW w:type="dxa" w:w="1757"/>
            <w:vAlign w:val="center"/>
          </w:tcPr>
          <w:p>
            <w:pPr>
              <w:keepNext/>
              <w:spacing w:after="40" w:line="240" w:lineRule="auto"/>
            </w:pPr>
            <w:r>
              <w:rPr>
                <w:rFonts w:ascii="Arial" w:hAnsi="Arial"/>
                <w:color w:val="000000"/>
                <w:sz w:val="18"/>
              </w:rPr>
              <w:t>Route comparability</w:t>
            </w:r>
          </w:p>
        </w:tc>
        <w:tc>
          <w:tcPr>
            <w:tcW w:type="dxa" w:w="4989"/>
            <w:vAlign w:val="center"/>
          </w:tcPr>
          <w:p>
            <w:pPr>
              <w:keepNext/>
              <w:spacing w:after="40" w:line="240" w:lineRule="auto"/>
            </w:pPr>
            <w:r>
              <w:rPr>
                <w:rFonts w:ascii="Arial" w:hAnsi="Arial"/>
                <w:color w:val="000000"/>
                <w:sz w:val="18"/>
              </w:rPr>
              <w:t>100|LA−LB|/((LA+LB)/2) ≤ 5; length proxy only</w:t>
            </w:r>
          </w:p>
        </w:tc>
        <w:tc>
          <w:tcPr>
            <w:tcW w:type="dxa" w:w="2891"/>
            <w:vAlign w:val="center"/>
          </w:tcPr>
          <w:p>
            <w:pPr>
              <w:keepNext/>
              <w:spacing w:after="40" w:line="240" w:lineRule="auto"/>
            </w:pPr>
            <w:r>
              <w:rPr>
                <w:rFonts w:ascii="Arial" w:hAnsi="Arial"/>
                <w:color w:val="000000"/>
                <w:sz w:val="18"/>
              </w:rPr>
              <w:t>Ratio: percent; nominal: comparable yes/no</w:t>
            </w:r>
          </w:p>
        </w:tc>
      </w:tr>
      <w:tr>
        <w:trPr>
          <w:cantSplit/>
        </w:trPr>
        <w:tc>
          <w:tcPr>
            <w:tcW w:type="dxa" w:w="1757"/>
            <w:vAlign w:val="center"/>
          </w:tcPr>
          <w:p>
            <w:pPr>
              <w:keepNext w:val="0"/>
              <w:spacing w:after="40" w:line="240" w:lineRule="auto"/>
            </w:pPr>
            <w:r>
              <w:rPr>
                <w:rFonts w:ascii="Arial" w:hAnsi="Arial"/>
                <w:color w:val="000000"/>
                <w:sz w:val="18"/>
              </w:rPr>
              <w:t>Instrument reliability</w:t>
            </w:r>
          </w:p>
        </w:tc>
        <w:tc>
          <w:tcPr>
            <w:tcW w:type="dxa" w:w="4989"/>
            <w:vAlign w:val="center"/>
          </w:tcPr>
          <w:p>
            <w:pPr>
              <w:keepNext w:val="0"/>
              <w:spacing w:after="40" w:line="240" w:lineRule="auto"/>
            </w:pPr>
            <w:r>
              <w:rPr>
                <w:rFonts w:ascii="Arial" w:hAnsi="Arial"/>
                <w:color w:val="000000"/>
                <w:sz w:val="18"/>
              </w:rPr>
              <w:t>Valid route responses and elapsed request time</w:t>
            </w:r>
          </w:p>
        </w:tc>
        <w:tc>
          <w:tcPr>
            <w:tcW w:type="dxa" w:w="2891"/>
            <w:vAlign w:val="center"/>
          </w:tcPr>
          <w:p>
            <w:pPr>
              <w:keepNext w:val="0"/>
              <w:spacing w:after="40" w:line="240" w:lineRule="auto"/>
            </w:pPr>
            <w:r>
              <w:rPr>
                <w:rFonts w:ascii="Arial" w:hAnsi="Arial"/>
                <w:color w:val="000000"/>
                <w:sz w:val="18"/>
              </w:rPr>
              <w:t>Ratio: success proportion, latency seconds</w:t>
            </w:r>
          </w:p>
        </w:tc>
      </w:tr>
    </w:tbl>
    <w:p>
      <w:pPr>
        <w:spacing w:after="20"/>
      </w:pPr>
    </w:p>
    <w:p>
      <w:pPr>
        <w:pStyle w:val="Heading2"/>
      </w:pPr>
      <w:r>
        <w:t>T4 What exactly was observed</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38"/>
        <w:gridCol w:w="7200"/>
      </w:tblGrid>
      <w:tr>
        <w:trPr>
          <w:tblHeader/>
          <w:cantSplit/>
        </w:trPr>
        <w:tc>
          <w:tcPr>
            <w:tcW w:type="dxa" w:w="2438"/>
            <w:vAlign w:val="center"/>
            <w:shd w:fill="EAEAEA"/>
          </w:tcPr>
          <w:p>
            <w:pPr>
              <w:keepNext/>
              <w:spacing w:after="40" w:line="240" w:lineRule="auto"/>
            </w:pPr>
            <w:r>
              <w:rPr>
                <w:rFonts w:ascii="Arial" w:hAnsi="Arial"/>
                <w:b/>
                <w:color w:val="000000"/>
                <w:sz w:val="18"/>
              </w:rPr>
              <w:t>Observation element</w:t>
            </w:r>
          </w:p>
        </w:tc>
        <w:tc>
          <w:tcPr>
            <w:tcW w:type="dxa" w:w="7200"/>
            <w:vAlign w:val="center"/>
            <w:shd w:fill="EAEAEA"/>
          </w:tcPr>
          <w:p>
            <w:pPr>
              <w:keepNext/>
              <w:spacing w:after="40" w:line="240" w:lineRule="auto"/>
            </w:pPr>
            <w:r>
              <w:rPr>
                <w:rFonts w:ascii="Arial" w:hAnsi="Arial"/>
                <w:b/>
                <w:color w:val="000000"/>
                <w:sz w:val="18"/>
              </w:rPr>
              <w:t>Entry</w:t>
            </w:r>
          </w:p>
        </w:tc>
      </w:tr>
      <w:tr>
        <w:trPr>
          <w:cantSplit/>
        </w:trPr>
        <w:tc>
          <w:tcPr>
            <w:tcW w:type="dxa" w:w="2438"/>
            <w:vAlign w:val="center"/>
          </w:tcPr>
          <w:p>
            <w:pPr>
              <w:keepNext/>
              <w:spacing w:after="40" w:line="240" w:lineRule="auto"/>
            </w:pPr>
            <w:r>
              <w:rPr>
                <w:rFonts w:ascii="Arial" w:hAnsi="Arial"/>
                <w:color w:val="000000"/>
                <w:sz w:val="18"/>
              </w:rPr>
              <w:t>Unit</w:t>
            </w:r>
          </w:p>
        </w:tc>
        <w:tc>
          <w:tcPr>
            <w:tcW w:type="dxa" w:w="7200"/>
            <w:vAlign w:val="center"/>
          </w:tcPr>
          <w:p>
            <w:pPr>
              <w:keepNext/>
              <w:spacing w:after="40" w:line="240" w:lineRule="auto"/>
            </w:pPr>
            <w:r>
              <w:rPr>
                <w:rFonts w:ascii="Arial" w:hAnsi="Arial"/>
                <w:color w:val="000000"/>
                <w:sz w:val="18"/>
              </w:rPr>
              <w:t>One provider response for a fixed OD pair at a recorded request start</w:t>
            </w:r>
          </w:p>
        </w:tc>
      </w:tr>
      <w:tr>
        <w:trPr>
          <w:cantSplit/>
        </w:trPr>
        <w:tc>
          <w:tcPr>
            <w:tcW w:type="dxa" w:w="2438"/>
            <w:vAlign w:val="center"/>
          </w:tcPr>
          <w:p>
            <w:pPr>
              <w:keepNext/>
              <w:spacing w:after="40" w:line="240" w:lineRule="auto"/>
            </w:pPr>
            <w:r>
              <w:rPr>
                <w:rFonts w:ascii="Arial" w:hAnsi="Arial"/>
                <w:color w:val="000000"/>
                <w:sz w:val="18"/>
              </w:rPr>
              <w:t>Observed</w:t>
            </w:r>
          </w:p>
        </w:tc>
        <w:tc>
          <w:tcPr>
            <w:tcW w:type="dxa" w:w="7200"/>
            <w:vAlign w:val="center"/>
          </w:tcPr>
          <w:p>
            <w:pPr>
              <w:keepNext/>
              <w:spacing w:after="40" w:line="240" w:lineRule="auto"/>
            </w:pPr>
            <w:r>
              <w:rPr>
                <w:rFonts w:ascii="Arial" w:hAnsi="Arial"/>
                <w:color w:val="000000"/>
                <w:sz w:val="18"/>
              </w:rPr>
              <w:t>ORS estimate, distance, geometry, status, timestamps and elapsed request time</w:t>
            </w:r>
          </w:p>
        </w:tc>
      </w:tr>
      <w:tr>
        <w:trPr>
          <w:cantSplit/>
        </w:trPr>
        <w:tc>
          <w:tcPr>
            <w:tcW w:type="dxa" w:w="2438"/>
            <w:vAlign w:val="center"/>
          </w:tcPr>
          <w:p>
            <w:pPr>
              <w:keepNext/>
              <w:spacing w:after="40" w:line="240" w:lineRule="auto"/>
            </w:pPr>
            <w:r>
              <w:rPr>
                <w:rFonts w:ascii="Arial" w:hAnsi="Arial"/>
                <w:color w:val="000000"/>
                <w:sz w:val="18"/>
              </w:rPr>
              <w:t>Not observed</w:t>
            </w:r>
          </w:p>
        </w:tc>
        <w:tc>
          <w:tcPr>
            <w:tcW w:type="dxa" w:w="7200"/>
            <w:vAlign w:val="center"/>
          </w:tcPr>
          <w:p>
            <w:pPr>
              <w:keepNext/>
              <w:spacing w:after="40" w:line="240" w:lineRule="auto"/>
            </w:pPr>
            <w:r>
              <w:rPr>
                <w:rFonts w:ascii="Arial" w:hAnsi="Arial"/>
                <w:color w:val="000000"/>
                <w:sz w:val="18"/>
              </w:rPr>
              <w:t>Actual trips, driver behavior, live traffic or TomTom–2GIS disagreement</w:t>
            </w:r>
          </w:p>
        </w:tc>
      </w:tr>
      <w:tr>
        <w:trPr>
          <w:cantSplit/>
        </w:trPr>
        <w:tc>
          <w:tcPr>
            <w:tcW w:type="dxa" w:w="2438"/>
            <w:vAlign w:val="center"/>
          </w:tcPr>
          <w:p>
            <w:pPr>
              <w:keepNext w:val="0"/>
              <w:spacing w:after="40" w:line="240" w:lineRule="auto"/>
            </w:pPr>
            <w:r>
              <w:rPr>
                <w:rFonts w:ascii="Arial" w:hAnsi="Arial"/>
                <w:color w:val="000000"/>
                <w:sz w:val="18"/>
              </w:rPr>
              <w:t>Comparison unit planned</w:t>
            </w:r>
          </w:p>
        </w:tc>
        <w:tc>
          <w:tcPr>
            <w:tcW w:type="dxa" w:w="7200"/>
            <w:vAlign w:val="center"/>
          </w:tcPr>
          <w:p>
            <w:pPr>
              <w:keepNext w:val="0"/>
              <w:spacing w:after="40" w:line="240" w:lineRule="auto"/>
            </w:pPr>
            <w:r>
              <w:rPr>
                <w:rFonts w:ascii="Arial" w:hAnsi="Arial"/>
                <w:color w:val="000000"/>
                <w:sz w:val="18"/>
              </w:rPr>
              <w:t>Same route and cycle, provider request starts ≤ 60 seconds apart; same period and date</w:t>
            </w:r>
          </w:p>
        </w:tc>
      </w:tr>
    </w:tbl>
    <w:p>
      <w:pPr>
        <w:spacing w:after="20"/>
      </w:pPr>
    </w:p>
    <w:p>
      <w:pPr>
        <w:pStyle w:val="Heading2"/>
      </w:pPr>
      <w:r>
        <w:t>T5 Define your Research strategy</w:t>
      </w:r>
    </w:p>
    <w:p>
      <w:pPr>
        <w:widowControl/>
      </w:pPr>
      <w:r>
        <w:rPr>
          <w:rFonts w:ascii="Arial" w:hAnsi="Arial"/>
          <w:color w:val="000000"/>
        </w:rPr>
        <w:t>The strategy is a bounded Astana case study with purposive sampling of public arterial corridors and landmarks. Common endpoints specify the requested journey rather than forcing a common returned path. A practical consequence is that analysis must preserve both all eligible pairs and a length-comparable subset. Similar distance alone cannot prove street-level equivalence. The design therefore keeps geometry where its licence permits, records route definitions separately, and avoids interpreting differences as provider error. The instrument phase can proceed independently without changing the predeclared traffic hypotheses.</w:t>
      </w:r>
    </w:p>
    <w:p>
      <w:pPr>
        <w:pStyle w:val="Heading2"/>
      </w:pPr>
      <w:r>
        <w:t>T6 Define sample, dataset or cases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324"/>
        <w:gridCol w:w="7313"/>
      </w:tblGrid>
      <w:tr>
        <w:trPr>
          <w:tblHeader/>
          <w:cantSplit/>
        </w:trPr>
        <w:tc>
          <w:tcPr>
            <w:tcW w:type="dxa" w:w="2324"/>
            <w:vAlign w:val="center"/>
            <w:shd w:fill="EAEAEA"/>
          </w:tcPr>
          <w:p>
            <w:pPr>
              <w:keepNext/>
              <w:spacing w:after="40" w:line="240" w:lineRule="auto"/>
            </w:pPr>
            <w:r>
              <w:rPr>
                <w:rFonts w:ascii="Arial" w:hAnsi="Arial"/>
                <w:b/>
                <w:color w:val="000000"/>
                <w:sz w:val="18"/>
              </w:rPr>
              <w:t>Item</w:t>
            </w:r>
          </w:p>
        </w:tc>
        <w:tc>
          <w:tcPr>
            <w:tcW w:type="dxa" w:w="7313"/>
            <w:vAlign w:val="center"/>
            <w:shd w:fill="EAEAEA"/>
          </w:tcPr>
          <w:p>
            <w:pPr>
              <w:keepNext/>
              <w:spacing w:after="40" w:line="240" w:lineRule="auto"/>
            </w:pPr>
            <w:r>
              <w:rPr>
                <w:rFonts w:ascii="Arial" w:hAnsi="Arial"/>
                <w:b/>
                <w:color w:val="000000"/>
                <w:sz w:val="18"/>
              </w:rPr>
              <w:t>Entry</w:t>
            </w:r>
          </w:p>
        </w:tc>
      </w:tr>
      <w:tr>
        <w:trPr>
          <w:cantSplit/>
        </w:trPr>
        <w:tc>
          <w:tcPr>
            <w:tcW w:type="dxa" w:w="2324"/>
            <w:vAlign w:val="center"/>
          </w:tcPr>
          <w:p>
            <w:pPr>
              <w:keepNext/>
              <w:spacing w:after="40" w:line="240" w:lineRule="auto"/>
            </w:pPr>
            <w:r>
              <w:rPr>
                <w:rFonts w:ascii="Arial" w:hAnsi="Arial"/>
                <w:color w:val="000000"/>
                <w:sz w:val="18"/>
              </w:rPr>
              <w:t>Population or case set</w:t>
            </w:r>
          </w:p>
        </w:tc>
        <w:tc>
          <w:tcPr>
            <w:tcW w:type="dxa" w:w="7313"/>
            <w:vAlign w:val="center"/>
          </w:tcPr>
          <w:p>
            <w:pPr>
              <w:keepNext/>
              <w:spacing w:after="40" w:line="240" w:lineRule="auto"/>
            </w:pPr>
            <w:r>
              <w:rPr>
                <w:rFonts w:ascii="Arial" w:hAnsi="Arial"/>
                <w:color w:val="000000"/>
                <w:sz w:val="18"/>
              </w:rPr>
              <w:t>Fixed public OD pairs on selected Astana arterial corridors; not all city trips</w:t>
            </w:r>
          </w:p>
        </w:tc>
      </w:tr>
      <w:tr>
        <w:trPr>
          <w:cantSplit/>
        </w:trPr>
        <w:tc>
          <w:tcPr>
            <w:tcW w:type="dxa" w:w="2324"/>
            <w:vAlign w:val="center"/>
          </w:tcPr>
          <w:p>
            <w:pPr>
              <w:keepNext/>
              <w:spacing w:after="40" w:line="240" w:lineRule="auto"/>
            </w:pPr>
            <w:r>
              <w:rPr>
                <w:rFonts w:ascii="Arial" w:hAnsi="Arial"/>
                <w:color w:val="000000"/>
                <w:sz w:val="18"/>
              </w:rPr>
              <w:t>Planned sample</w:t>
            </w:r>
          </w:p>
        </w:tc>
        <w:tc>
          <w:tcPr>
            <w:tcW w:type="dxa" w:w="7313"/>
            <w:vAlign w:val="center"/>
          </w:tcPr>
          <w:p>
            <w:pPr>
              <w:keepNext/>
              <w:spacing w:after="40" w:line="240" w:lineRule="auto"/>
            </w:pPr>
            <w:r>
              <w:rPr>
                <w:rFonts w:ascii="Arial" w:hAnsi="Arial"/>
                <w:color w:val="000000"/>
                <w:sz w:val="18"/>
              </w:rPr>
              <w:t>20 routes; 3 full pilot cycles; 768 nominal scheduled ORS requests</w:t>
            </w:r>
          </w:p>
        </w:tc>
      </w:tr>
      <w:tr>
        <w:trPr>
          <w:cantSplit/>
        </w:trPr>
        <w:tc>
          <w:tcPr>
            <w:tcW w:type="dxa" w:w="2324"/>
            <w:vAlign w:val="center"/>
          </w:tcPr>
          <w:p>
            <w:pPr>
              <w:keepNext/>
              <w:spacing w:after="40" w:line="240" w:lineRule="auto"/>
            </w:pPr>
            <w:r>
              <w:rPr>
                <w:rFonts w:ascii="Arial" w:hAnsi="Arial"/>
                <w:color w:val="000000"/>
                <w:sz w:val="18"/>
              </w:rPr>
              <w:t>Achieved snapshot</w:t>
            </w:r>
          </w:p>
        </w:tc>
        <w:tc>
          <w:tcPr>
            <w:tcW w:type="dxa" w:w="7313"/>
            <w:vAlign w:val="center"/>
          </w:tcPr>
          <w:p>
            <w:pPr>
              <w:keepNext/>
              <w:spacing w:after="40" w:line="240" w:lineRule="auto"/>
            </w:pPr>
            <w:r>
              <w:rPr>
                <w:rFonts w:ascii="Arial" w:hAnsi="Arial"/>
                <w:color w:val="000000"/>
                <w:sz w:val="18"/>
              </w:rPr>
              <w:t>64 raw rows; 64 unique requests; 64 usable observations; 0 primary pairs</w:t>
            </w:r>
          </w:p>
        </w:tc>
      </w:tr>
      <w:tr>
        <w:trPr>
          <w:cantSplit/>
        </w:trPr>
        <w:tc>
          <w:tcPr>
            <w:tcW w:type="dxa" w:w="2324"/>
            <w:vAlign w:val="center"/>
          </w:tcPr>
          <w:p>
            <w:pPr>
              <w:keepNext/>
              <w:spacing w:after="40" w:line="240" w:lineRule="auto"/>
            </w:pPr>
            <w:r>
              <w:rPr>
                <w:rFonts w:ascii="Arial" w:hAnsi="Arial"/>
                <w:color w:val="000000"/>
                <w:sz w:val="18"/>
              </w:rPr>
              <w:t>Selection strategy</w:t>
            </w:r>
          </w:p>
        </w:tc>
        <w:tc>
          <w:tcPr>
            <w:tcW w:type="dxa" w:w="7313"/>
            <w:vAlign w:val="center"/>
          </w:tcPr>
          <w:p>
            <w:pPr>
              <w:keepNext/>
              <w:spacing w:after="40" w:line="240" w:lineRule="auto"/>
            </w:pPr>
            <w:r>
              <w:rPr>
                <w:rFonts w:ascii="Arial" w:hAnsi="Arial"/>
                <w:color w:val="000000"/>
                <w:sz w:val="18"/>
              </w:rPr>
              <w:t>Purposive route and endpoint selection against public-road and corridor criteria</w:t>
            </w:r>
          </w:p>
        </w:tc>
      </w:tr>
      <w:tr>
        <w:trPr>
          <w:cantSplit/>
        </w:trPr>
        <w:tc>
          <w:tcPr>
            <w:tcW w:type="dxa" w:w="2324"/>
            <w:vAlign w:val="center"/>
          </w:tcPr>
          <w:p>
            <w:pPr>
              <w:keepNext w:val="0"/>
              <w:spacing w:after="40" w:line="240" w:lineRule="auto"/>
            </w:pPr>
            <w:r>
              <w:rPr>
                <w:rFonts w:ascii="Arial" w:hAnsi="Arial"/>
                <w:color w:val="000000"/>
                <w:sz w:val="18"/>
              </w:rPr>
              <w:t>Source</w:t>
            </w:r>
          </w:p>
        </w:tc>
        <w:tc>
          <w:tcPr>
            <w:tcW w:type="dxa" w:w="7313"/>
            <w:vAlign w:val="center"/>
          </w:tcPr>
          <w:p>
            <w:pPr>
              <w:keepNext w:val="0"/>
              <w:spacing w:after="40" w:line="240" w:lineRule="auto"/>
            </w:pPr>
            <w:hyperlink r:id="rId12">
              <w:r>
                <w:rPr>
                  <w:color w:val="174B76"/>
                  <w:sz w:val="18"/>
                </w:rPr>
                <w:t>https://github.com/SuperFlyTK/rmt-a3-travel-time-astana/blob/main/data/routes.csv</w:t>
              </w:r>
            </w:hyperlink>
            <w:r>
              <w:rPr>
                <w:rFonts w:ascii="Arial" w:hAnsi="Arial"/>
                <w:color w:val="000000"/>
                <w:sz w:val="18"/>
              </w:rPr>
              <w:br/>
            </w:r>
            <w:hyperlink r:id="rId13">
              <w:r>
                <w:rPr>
                  <w:color w:val="174B76"/>
                  <w:sz w:val="18"/>
                </w:rPr>
                <w:t>https://github.com/SuperFlyTK/rmt-a3-travel-time-astana/tree/main/data/sources</w:t>
              </w:r>
            </w:hyperlink>
          </w:p>
        </w:tc>
      </w:tr>
    </w:tbl>
    <w:p>
      <w:pPr>
        <w:spacing w:after="20"/>
      </w:pPr>
    </w:p>
    <w:p>
      <w:pPr>
        <w:widowControl/>
      </w:pPr>
      <w:r>
        <w:rPr>
          <w:rFonts w:ascii="Arial" w:hAnsi="Arial"/>
          <w:color w:val="000000"/>
        </w:rPr>
        <w:t>Coordinates were fixed before research collection using public OpenStreetMap endpoint records. Reverse directions are distinct cases because access and road direction can differ. The expected-length column is a spherical straight-line lower bound, not a measured driving distance. It supports a geographic plausibility check and must not be substituted for the returned route length. The sample contains named corridors rather than personal origins. Selection does not give every Astana journey a known probability of inclusion, so the intended conclusions remain conditional on these cases.</w:t>
      </w:r>
    </w:p>
    <w:p>
      <w:pPr>
        <w:pStyle w:val="Heading2"/>
      </w:pPr>
      <w:r>
        <w:t>T7 Procedure actually followed</w:t>
      </w:r>
    </w:p>
    <w:p>
      <w:pPr>
        <w:widowControl/>
      </w:pPr>
      <w:r>
        <w:rPr>
          <w:rFonts w:ascii="Arial" w:hAnsi="Arial"/>
          <w:color w:val="000000"/>
        </w:rPr>
        <w:t>First, the team reviewed the earlier assignments, checked credential access with public example coordinates and separated those tests from research data. Second, it inspected provider documentation and publication terms. This led to disabling the traffic-provider adapters before the research collection. Third, route definitions, period rules and expectations were fixed on 24.10.2026. Fourth, the ORS collector recorded the pilot requests using a schema that also records unsuccessful attempts. Fifth, the processing script produced an audited working file, coverage tables and the original figures below. The journal identifies the operator and any later changes.</w:t>
      </w:r>
    </w:p>
    <w:p>
      <w:pPr>
        <w:widowControl/>
      </w:pPr>
      <w:r>
        <w:rPr>
          <w:rFonts w:ascii="Arial" w:hAnsi="Arial"/>
          <w:color w:val="000000"/>
        </w:rPr>
        <w:t>The pilot plan uses 3 complete cycles with 300 seconds between the end of one cycle and the next. The scheduled plan rotates 4 routes every 15 minutes within a bounded 48-hour window. Each route therefore has a nominal 75-minute revisit. Scheduler delays remain visible through actual request times. No past observation is backfilled. Reproduction uses the versioned configuration and dependency file; Python 3.12.14 processed this snapshot. A future provider pair must use the same endpoints, car mode and closely aligned request starts.</w:t>
      </w:r>
    </w:p>
    <w:p>
      <w:pPr>
        <w:keepNext/>
        <w:widowControl/>
      </w:pPr>
      <w:r>
        <w:rPr>
          <w:rFonts w:ascii="Arial" w:hAnsi="Arial"/>
          <w:color w:val="000000"/>
        </w:rPr>
        <w:t>Figure 1 distinguishes successful requests from recorded failures.</w:t>
      </w:r>
    </w:p>
    <w:p>
      <w:pPr>
        <w:keepNext/>
        <w:jc w:val="center"/>
      </w:pPr>
      <w:r>
        <w:drawing>
          <wp:inline xmlns:a="http://schemas.openxmlformats.org/drawingml/2006/main" xmlns:pic="http://schemas.openxmlformats.org/drawingml/2006/picture">
            <wp:extent cx="5976000" cy="3172713"/>
            <wp:docPr id="1" name="Picture 1" descr="Recorded request outcomes by provider and collection phase. Exact duplicate rows are counted once. HTTP success does not itself imply a usable route." title="Figure 1"/>
            <wp:cNvGraphicFramePr>
              <a:graphicFrameLocks noChangeAspect="1"/>
            </wp:cNvGraphicFramePr>
            <a:graphic>
              <a:graphicData uri="http://schemas.openxmlformats.org/drawingml/2006/picture">
                <pic:pic>
                  <pic:nvPicPr>
                    <pic:cNvPr id="0" name="analysis_request_quality.png"/>
                    <pic:cNvPicPr/>
                  </pic:nvPicPr>
                  <pic:blipFill>
                    <a:blip r:embed="rId14"/>
                    <a:stretch>
                      <a:fillRect/>
                    </a:stretch>
                  </pic:blipFill>
                  <pic:spPr>
                    <a:xfrm>
                      <a:off x="0" y="0"/>
                      <a:ext cx="5976000" cy="3172713"/>
                    </a:xfrm>
                    <a:prstGeom prst="rect"/>
                  </pic:spPr>
                </pic:pic>
              </a:graphicData>
            </a:graphic>
          </wp:inline>
        </w:drawing>
      </w:r>
    </w:p>
    <w:p>
      <w:pPr>
        <w:pStyle w:val="Caption"/>
        <w:widowControl/>
      </w:pPr>
      <w:r>
        <w:rPr>
          <w:rFonts w:ascii="Arial" w:hAnsi="Arial"/>
          <w:color w:val="000000"/>
        </w:rPr>
        <w:t>Figure 1. Recorded request outcomes by provider and collection phase. Exact duplicate rows are counted once. HTTP success does not itself imply a usable route. Source: results/request_quality.csv. © openrouteservice by HeiGIT | Data from OpenStreetMap.</w:t>
      </w:r>
    </w:p>
    <w:p>
      <w:pPr>
        <w:keepNext/>
        <w:widowControl/>
      </w:pPr>
      <w:r>
        <w:rPr>
          <w:rFonts w:ascii="Arial" w:hAnsi="Arial"/>
          <w:color w:val="000000"/>
        </w:rPr>
        <w:t>Figure 2 checks which predefined periods actually received usable observations.</w:t>
      </w:r>
    </w:p>
    <w:p>
      <w:pPr>
        <w:keepNext/>
        <w:jc w:val="center"/>
      </w:pPr>
      <w:r>
        <w:drawing>
          <wp:inline xmlns:a="http://schemas.openxmlformats.org/drawingml/2006/main" xmlns:pic="http://schemas.openxmlformats.org/drawingml/2006/picture">
            <wp:extent cx="5976000" cy="3172713"/>
            <wp:docPr id="2" name="Picture 2" descr="Usable observations classified by Asia/Almaty request time. Intervals include their start and exclude their end. A zero bar is observed absence, not a missing plot." title="Figure 2"/>
            <wp:cNvGraphicFramePr>
              <a:graphicFrameLocks noChangeAspect="1"/>
            </wp:cNvGraphicFramePr>
            <a:graphic>
              <a:graphicData uri="http://schemas.openxmlformats.org/drawingml/2006/picture">
                <pic:pic>
                  <pic:nvPicPr>
                    <pic:cNvPr id="0" name="analysis_period_coverage.png"/>
                    <pic:cNvPicPr/>
                  </pic:nvPicPr>
                  <pic:blipFill>
                    <a:blip r:embed="rId15"/>
                    <a:stretch>
                      <a:fillRect/>
                    </a:stretch>
                  </pic:blipFill>
                  <pic:spPr>
                    <a:xfrm>
                      <a:off x="0" y="0"/>
                      <a:ext cx="5976000" cy="3172713"/>
                    </a:xfrm>
                    <a:prstGeom prst="rect"/>
                  </pic:spPr>
                </pic:pic>
              </a:graphicData>
            </a:graphic>
          </wp:inline>
        </w:drawing>
      </w:r>
    </w:p>
    <w:p>
      <w:pPr>
        <w:pStyle w:val="Caption"/>
        <w:widowControl/>
      </w:pPr>
      <w:r>
        <w:rPr>
          <w:rFonts w:ascii="Arial" w:hAnsi="Arial"/>
          <w:color w:val="000000"/>
        </w:rPr>
        <w:t>Figure 2. Usable observations classified by Asia/Almaty request time. Intervals include their start and exclude their end. A zero bar is observed absence, not a missing plot. Source: results/observations.csv. © openrouteservice by HeiGIT | Data from OpenStreetMap.</w:t>
      </w:r>
    </w:p>
    <w:p>
      <w:pPr>
        <w:keepNext/>
        <w:widowControl/>
      </w:pPr>
      <w:r>
        <w:rPr>
          <w:rFonts w:ascii="Arial" w:hAnsi="Arial"/>
          <w:color w:val="000000"/>
        </w:rPr>
        <w:t>Figure 3 compares recorded control estimates across the fixed route identifiers.</w:t>
      </w:r>
    </w:p>
    <w:p>
      <w:pPr>
        <w:keepNext/>
        <w:jc w:val="center"/>
      </w:pPr>
      <w:r>
        <w:drawing>
          <wp:inline xmlns:a="http://schemas.openxmlformats.org/drawingml/2006/main" xmlns:pic="http://schemas.openxmlformats.org/drawingml/2006/picture">
            <wp:extent cx="5976000" cy="3080771"/>
            <wp:docPr id="3" name="Picture 3" descr="Median recorded duration per provider and fixed origin–destination route. ORS is a control without live traffic. This instrument summary cannot establish peak traffic disagreement or travel-time accuracy." title="Figure 3"/>
            <wp:cNvGraphicFramePr>
              <a:graphicFrameLocks noChangeAspect="1"/>
            </wp:cNvGraphicFramePr>
            <a:graphic>
              <a:graphicData uri="http://schemas.openxmlformats.org/drawingml/2006/picture">
                <pic:pic>
                  <pic:nvPicPr>
                    <pic:cNvPr id="0" name="analysis_provider_durations.png"/>
                    <pic:cNvPicPr/>
                  </pic:nvPicPr>
                  <pic:blipFill>
                    <a:blip r:embed="rId16"/>
                    <a:stretch>
                      <a:fillRect/>
                    </a:stretch>
                  </pic:blipFill>
                  <pic:spPr>
                    <a:xfrm>
                      <a:off x="0" y="0"/>
                      <a:ext cx="5976000" cy="3080771"/>
                    </a:xfrm>
                    <a:prstGeom prst="rect"/>
                  </pic:spPr>
                </pic:pic>
              </a:graphicData>
            </a:graphic>
          </wp:inline>
        </w:drawing>
      </w:r>
    </w:p>
    <w:p>
      <w:pPr>
        <w:pStyle w:val="Caption"/>
        <w:widowControl/>
      </w:pPr>
      <w:r>
        <w:rPr>
          <w:rFonts w:ascii="Arial" w:hAnsi="Arial"/>
          <w:color w:val="000000"/>
        </w:rPr>
        <w:t>Figure 3. Median recorded duration per provider and fixed origin–destination route. ORS is a control without live traffic. This instrument summary cannot establish peak traffic disagreement or travel-time accuracy. Source: results/observations.csv. © openrouteservice by HeiGIT | Data from OpenStreetMap.</w:t>
      </w:r>
    </w:p>
    <w:p>
      <w:pPr>
        <w:keepNext/>
        <w:widowControl/>
      </w:pPr>
      <w:r>
        <w:rPr>
          <w:rFonts w:ascii="Arial" w:hAnsi="Arial"/>
          <w:color w:val="000000"/>
        </w:rPr>
        <w:t>Figure 4 checks the relationship between returned distance and estimated duration.</w:t>
      </w:r>
    </w:p>
    <w:p>
      <w:pPr>
        <w:keepNext/>
        <w:jc w:val="center"/>
      </w:pPr>
      <w:r>
        <w:drawing>
          <wp:inline xmlns:a="http://schemas.openxmlformats.org/drawingml/2006/main" xmlns:pic="http://schemas.openxmlformats.org/drawingml/2006/picture">
            <wp:extent cx="5976000" cy="3318070"/>
            <wp:docPr id="4" name="Picture 4" descr="Recorded estimated durations plotted against returned route distances. Values are API outputs, not measured journeys. Repeated values may overlap; no jitter or artificial observations are added." title="Figure 4"/>
            <wp:cNvGraphicFramePr>
              <a:graphicFrameLocks noChangeAspect="1"/>
            </wp:cNvGraphicFramePr>
            <a:graphic>
              <a:graphicData uri="http://schemas.openxmlformats.org/drawingml/2006/picture">
                <pic:pic>
                  <pic:nvPicPr>
                    <pic:cNvPr id="0" name="analysis_distance_duration.png"/>
                    <pic:cNvPicPr/>
                  </pic:nvPicPr>
                  <pic:blipFill>
                    <a:blip r:embed="rId17"/>
                    <a:stretch>
                      <a:fillRect/>
                    </a:stretch>
                  </pic:blipFill>
                  <pic:spPr>
                    <a:xfrm>
                      <a:off x="0" y="0"/>
                      <a:ext cx="5976000" cy="3318070"/>
                    </a:xfrm>
                    <a:prstGeom prst="rect"/>
                  </pic:spPr>
                </pic:pic>
              </a:graphicData>
            </a:graphic>
          </wp:inline>
        </w:drawing>
      </w:r>
    </w:p>
    <w:p>
      <w:pPr>
        <w:pStyle w:val="Caption"/>
        <w:widowControl/>
      </w:pPr>
      <w:r>
        <w:rPr>
          <w:rFonts w:ascii="Arial" w:hAnsi="Arial"/>
          <w:color w:val="000000"/>
        </w:rPr>
        <w:t>Figure 4. Recorded estimated durations plotted against returned route distances. Values are API outputs, not measured journeys. Repeated values may overlap; no jitter or artificial observations are added. Source: results/observations.csv. © openrouteservice by HeiGIT | Data from OpenStreetMap.</w:t>
      </w:r>
    </w:p>
    <w:p>
      <w:pPr>
        <w:keepNext/>
        <w:widowControl/>
      </w:pPr>
      <w:r>
        <w:rPr>
          <w:rFonts w:ascii="Arial" w:hAnsi="Arial"/>
          <w:color w:val="000000"/>
        </w:rPr>
        <w:t>Figure 5 shows the request-time evidence used for the instrument latency expectation.</w:t>
      </w:r>
    </w:p>
    <w:p>
      <w:pPr>
        <w:keepNext/>
        <w:jc w:val="center"/>
      </w:pPr>
      <w:r>
        <w:drawing>
          <wp:inline xmlns:a="http://schemas.openxmlformats.org/drawingml/2006/main" xmlns:pic="http://schemas.openxmlformats.org/drawingml/2006/picture">
            <wp:extent cx="5976000" cy="3318070"/>
            <wp:docPr id="5" name="Picture 5" descr="Recorded API request latencies by request start time. Latency is instrument performance and is distinct from estimated journey duration. Failed requests remain eligible if their timing was recorded." title="Figure 5"/>
            <wp:cNvGraphicFramePr>
              <a:graphicFrameLocks noChangeAspect="1"/>
            </wp:cNvGraphicFramePr>
            <a:graphic>
              <a:graphicData uri="http://schemas.openxmlformats.org/drawingml/2006/picture">
                <pic:pic>
                  <pic:nvPicPr>
                    <pic:cNvPr id="0" name="analysis_request_latency.png"/>
                    <pic:cNvPicPr/>
                  </pic:nvPicPr>
                  <pic:blipFill>
                    <a:blip r:embed="rId18"/>
                    <a:stretch>
                      <a:fillRect/>
                    </a:stretch>
                  </pic:blipFill>
                  <pic:spPr>
                    <a:xfrm>
                      <a:off x="0" y="0"/>
                      <a:ext cx="5976000" cy="3318070"/>
                    </a:xfrm>
                    <a:prstGeom prst="rect"/>
                  </pic:spPr>
                </pic:pic>
              </a:graphicData>
            </a:graphic>
          </wp:inline>
        </w:drawing>
      </w:r>
    </w:p>
    <w:p>
      <w:pPr>
        <w:pStyle w:val="Caption"/>
        <w:widowControl/>
      </w:pPr>
      <w:r>
        <w:rPr>
          <w:rFonts w:ascii="Arial" w:hAnsi="Arial"/>
          <w:color w:val="000000"/>
        </w:rPr>
        <w:t>Figure 5. Recorded API request latencies by request start time. Latency is instrument performance and is distinct from estimated journey duration. Failed requests remain eligible if their timing was recorded. Source: results/observations.csv. © openrouteservice by HeiGIT | Data from OpenStreetMap.</w:t>
      </w:r>
    </w:p>
    <w:p>
      <w:pPr>
        <w:keepNext/>
        <w:widowControl/>
      </w:pPr>
      <w:r>
        <w:rPr>
          <w:rFonts w:ascii="Arial" w:hAnsi="Arial"/>
          <w:color w:val="000000"/>
        </w:rPr>
        <w:t>Figure 6 preserves a readable extract of the actual observation file.</w:t>
      </w:r>
    </w:p>
    <w:p>
      <w:pPr>
        <w:keepNext/>
        <w:jc w:val="center"/>
      </w:pPr>
      <w:r>
        <w:drawing>
          <wp:inline xmlns:a="http://schemas.openxmlformats.org/drawingml/2006/main" xmlns:pic="http://schemas.openxmlformats.org/drawingml/2006/picture">
            <wp:extent cx="5976000" cy="3636132"/>
            <wp:docPr id="6" name="Picture 6" descr="Verbatim selected raw fields from the first recorded CSV rows, retained in observations.csv with source filename and line number. The rendered table is an evidence view, not a screenshot of a separate application." title="Figure 6"/>
            <wp:cNvGraphicFramePr>
              <a:graphicFrameLocks noChangeAspect="1"/>
            </wp:cNvGraphicFramePr>
            <a:graphic>
              <a:graphicData uri="http://schemas.openxmlformats.org/drawingml/2006/picture">
                <pic:pic>
                  <pic:nvPicPr>
                    <pic:cNvPr id="0" name="analysis_recorded_extract.png"/>
                    <pic:cNvPicPr/>
                  </pic:nvPicPr>
                  <pic:blipFill>
                    <a:blip r:embed="rId19"/>
                    <a:stretch>
                      <a:fillRect/>
                    </a:stretch>
                  </pic:blipFill>
                  <pic:spPr>
                    <a:xfrm>
                      <a:off x="0" y="0"/>
                      <a:ext cx="5976000" cy="3636132"/>
                    </a:xfrm>
                    <a:prstGeom prst="rect"/>
                  </pic:spPr>
                </pic:pic>
              </a:graphicData>
            </a:graphic>
          </wp:inline>
        </w:drawing>
      </w:r>
    </w:p>
    <w:p>
      <w:pPr>
        <w:pStyle w:val="Caption"/>
        <w:widowControl/>
      </w:pPr>
      <w:r>
        <w:rPr>
          <w:rFonts w:ascii="Arial" w:hAnsi="Arial"/>
          <w:color w:val="000000"/>
        </w:rPr>
        <w:t>Figure 6. Verbatim selected raw fields from the first recorded CSV rows, retained in observations.csv with source filename and line number. The rendered table is an evidence view, not a screenshot of a separate application. Source: results/observations.csv. © openrouteservice by HeiGIT | Data from OpenStreetMap.</w:t>
      </w:r>
    </w:p>
    <w:p>
      <w:pPr>
        <w:keepNext/>
        <w:widowControl/>
      </w:pPr>
      <w:r>
        <w:rPr>
          <w:rFonts w:ascii="Arial" w:hAnsi="Arial"/>
          <w:color w:val="000000"/>
        </w:rPr>
        <w:t>Figure 7 maps saved ORS paths for the fixed endpoints; these are modeled routes rather than tracked journeys.</w:t>
      </w:r>
    </w:p>
    <w:p>
      <w:pPr>
        <w:keepNext/>
        <w:jc w:val="center"/>
      </w:pPr>
      <w:r>
        <w:drawing>
          <wp:inline xmlns:a="http://schemas.openxmlformats.org/drawingml/2006/main" xmlns:pic="http://schemas.openxmlformats.org/drawingml/2006/picture">
            <wp:extent cx="5976000" cy="4144645"/>
            <wp:docPr id="7" name="Picture 7" descr="ORS control route geometries for the complete pilot-1 cycle: 20 directed routes displayed as ten forward and ten reverse OD directions on identical scales. Lines are actual saved openrouteservice LineString responses, not live-traffic routes or observed GPS trajectories. Endpoint labels follow data/routes.csv; recommended routes are not constrained to specified arteries. Routing geometry attribution: openrouteservice.org by HeiGIT, CC BY-SA 4.0; map data and endpoints: OpenStreetMap contributors, ODbL 1.0." title="Figure 7"/>
            <wp:cNvGraphicFramePr>
              <a:graphicFrameLocks noChangeAspect="1"/>
            </wp:cNvGraphicFramePr>
            <a:graphic>
              <a:graphicData uri="http://schemas.openxmlformats.org/drawingml/2006/picture">
                <pic:pic>
                  <pic:nvPicPr>
                    <pic:cNvPr id="0" name="route_map.png"/>
                    <pic:cNvPicPr/>
                  </pic:nvPicPr>
                  <pic:blipFill>
                    <a:blip r:embed="rId20"/>
                    <a:stretch>
                      <a:fillRect/>
                    </a:stretch>
                  </pic:blipFill>
                  <pic:spPr>
                    <a:xfrm>
                      <a:off x="0" y="0"/>
                      <a:ext cx="5976000" cy="4144645"/>
                    </a:xfrm>
                    <a:prstGeom prst="rect"/>
                  </pic:spPr>
                </pic:pic>
              </a:graphicData>
            </a:graphic>
          </wp:inline>
        </w:drawing>
      </w:r>
    </w:p>
    <w:p>
      <w:pPr>
        <w:pStyle w:val="Caption"/>
        <w:widowControl/>
      </w:pPr>
      <w:r>
        <w:rPr>
          <w:rFonts w:ascii="Arial" w:hAnsi="Arial"/>
          <w:color w:val="000000"/>
        </w:rPr>
        <w:t>Figure 7. ORS control route geometries for the complete pilot-1 cycle: 20 directed routes displayed as ten forward and ten reverse OD directions on identical scales. Lines are actual saved openrouteservice LineString responses, not live-traffic routes or observed GPS trajectories. Endpoint labels follow data/routes.csv; recommended routes are not constrained to specified arteries. Routing geometry attribution: openrouteservice.org by HeiGIT, CC BY-SA 4.0; map data and endpoints: OpenStreetMap contributors, ODbL 1.0. Source: figures/route_map_manifest.json. © openrouteservice by HeiGIT | Data from OpenStreetMap.</w:t>
      </w:r>
    </w:p>
    <w:p>
      <w:pPr>
        <w:keepNext/>
        <w:widowControl/>
      </w:pPr>
      <w:r>
        <w:rPr>
          <w:rFonts w:ascii="Arial" w:hAnsi="Arial"/>
          <w:color w:val="000000"/>
        </w:rPr>
        <w:t>Figure 8 documents the team-operated instrument and its recorded execution.</w:t>
      </w:r>
    </w:p>
    <w:p>
      <w:pPr>
        <w:keepNext/>
        <w:jc w:val="center"/>
      </w:pPr>
      <w:r>
        <w:drawing>
          <wp:inline xmlns:a="http://schemas.openxmlformats.org/drawingml/2006/main" xmlns:pic="http://schemas.openxmlformats.org/drawingml/2006/picture">
            <wp:extent cx="5976000" cy="2928580"/>
            <wp:docPr id="8" name="Picture 8" descr="Actual PowerShell view of the saved collector console log, showing the completed first ORS pilot cycle and the start of the second. Captured with .NET CopyFromScreen; this is a viewport excerpt, not a fabricated console." title="Figure 8"/>
            <wp:cNvGraphicFramePr>
              <a:graphicFrameLocks noChangeAspect="1"/>
            </wp:cNvGraphicFramePr>
            <a:graphic>
              <a:graphicData uri="http://schemas.openxmlformats.org/drawingml/2006/picture">
                <pic:pic>
                  <pic:nvPicPr>
                    <pic:cNvPr id="0" name="pilot_console.png"/>
                    <pic:cNvPicPr/>
                  </pic:nvPicPr>
                  <pic:blipFill>
                    <a:blip r:embed="rId21"/>
                    <a:stretch>
                      <a:fillRect/>
                    </a:stretch>
                  </pic:blipFill>
                  <pic:spPr>
                    <a:xfrm>
                      <a:off x="0" y="0"/>
                      <a:ext cx="5976000" cy="2928580"/>
                    </a:xfrm>
                    <a:prstGeom prst="rect"/>
                  </pic:spPr>
                </pic:pic>
              </a:graphicData>
            </a:graphic>
          </wp:inline>
        </w:drawing>
      </w:r>
    </w:p>
    <w:p>
      <w:pPr>
        <w:pStyle w:val="Caption"/>
        <w:widowControl/>
      </w:pPr>
      <w:r>
        <w:rPr>
          <w:rFonts w:ascii="Arial" w:hAnsi="Arial"/>
          <w:color w:val="000000"/>
        </w:rPr>
        <w:t>Figure 8. Actual PowerShell view of the saved collector console log, showing the completed first ORS pilot cycle and the start of the second. Captured with .NET CopyFromScreen; this is a viewport excerpt, not a fabricated console. Source: docs/pilot_console.log. Team-produced execution evidence.</w:t>
      </w:r>
    </w:p>
    <w:p>
      <w:pPr>
        <w:keepNext/>
        <w:widowControl/>
      </w:pPr>
      <w:r>
        <w:rPr>
          <w:rFonts w:ascii="Arial" w:hAnsi="Arial"/>
          <w:color w:val="000000"/>
        </w:rPr>
        <w:t>Figure 9 documents the team-operated instrument and its recorded execution.</w:t>
      </w:r>
    </w:p>
    <w:p>
      <w:pPr>
        <w:keepNext/>
        <w:jc w:val="center"/>
      </w:pPr>
      <w:r>
        <w:drawing>
          <wp:inline xmlns:a="http://schemas.openxmlformats.org/drawingml/2006/main" xmlns:pic="http://schemas.openxmlformats.org/drawingml/2006/picture">
            <wp:extent cx="5976000" cy="1606919"/>
            <wp:docPr id="9" name="Picture 9" descr="Actual PowerShell display of the original raw CSV header and first three records. The viewport wraps and clips long lines; the linked CSV contains the complete unchanged records." title="Figure 9"/>
            <wp:cNvGraphicFramePr>
              <a:graphicFrameLocks noChangeAspect="1"/>
            </wp:cNvGraphicFramePr>
            <a:graphic>
              <a:graphicData uri="http://schemas.openxmlformats.org/drawingml/2006/picture">
                <pic:pic>
                  <pic:nvPicPr>
                    <pic:cNvPr id="0" name="raw_csv_screen.png"/>
                    <pic:cNvPicPr/>
                  </pic:nvPicPr>
                  <pic:blipFill>
                    <a:blip r:embed="rId22"/>
                    <a:stretch>
                      <a:fillRect/>
                    </a:stretch>
                  </pic:blipFill>
                  <pic:spPr>
                    <a:xfrm>
                      <a:off x="0" y="0"/>
                      <a:ext cx="5976000" cy="1606919"/>
                    </a:xfrm>
                    <a:prstGeom prst="rect"/>
                  </pic:spPr>
                </pic:pic>
              </a:graphicData>
            </a:graphic>
          </wp:inline>
        </w:drawing>
      </w:r>
    </w:p>
    <w:p>
      <w:pPr>
        <w:pStyle w:val="Caption"/>
        <w:widowControl/>
      </w:pPr>
      <w:r>
        <w:rPr>
          <w:rFonts w:ascii="Arial" w:hAnsi="Arial"/>
          <w:color w:val="000000"/>
        </w:rPr>
        <w:t>Figure 9. Actual PowerShell display of the original raw CSV header and first three records. The viewport wraps and clips long lines; the linked CSV contains the complete unchanged records. Source: data/raw/2026-10-24.csv. Team-produced execution evidence.</w:t>
      </w:r>
    </w:p>
    <w:p>
      <w:pPr>
        <w:keepNext/>
        <w:widowControl/>
      </w:pPr>
      <w:r>
        <w:rPr>
          <w:rFonts w:ascii="Arial" w:hAnsi="Arial"/>
          <w:color w:val="000000"/>
        </w:rPr>
        <w:t>Figure 10 documents the team-operated instrument and its recorded execution.</w:t>
      </w:r>
    </w:p>
    <w:p>
      <w:pPr>
        <w:keepNext/>
        <w:jc w:val="center"/>
      </w:pPr>
      <w:r>
        <w:drawing>
          <wp:inline xmlns:a="http://schemas.openxmlformats.org/drawingml/2006/main" xmlns:pic="http://schemas.openxmlformats.org/drawingml/2006/picture">
            <wp:extent cx="5976000" cy="2862848"/>
            <wp:docPr id="10" name="Picture 10" descr="Successful cloud collector run on GitHub-hosted infrastructure. The workflow was manually dispatched for verification; the same workflow has a fifteen-minute schedule and a fixed end time." title="Figure 10"/>
            <wp:cNvGraphicFramePr>
              <a:graphicFrameLocks noChangeAspect="1"/>
            </wp:cNvGraphicFramePr>
            <a:graphic>
              <a:graphicData uri="http://schemas.openxmlformats.org/drawingml/2006/picture">
                <pic:pic>
                  <pic:nvPicPr>
                    <pic:cNvPr id="0" name="github_actions_success.png"/>
                    <pic:cNvPicPr/>
                  </pic:nvPicPr>
                  <pic:blipFill>
                    <a:blip r:embed="rId23"/>
                    <a:stretch>
                      <a:fillRect/>
                    </a:stretch>
                  </pic:blipFill>
                  <pic:spPr>
                    <a:xfrm>
                      <a:off x="0" y="0"/>
                      <a:ext cx="5976000" cy="2862848"/>
                    </a:xfrm>
                    <a:prstGeom prst="rect"/>
                  </pic:spPr>
                </pic:pic>
              </a:graphicData>
            </a:graphic>
          </wp:inline>
        </w:drawing>
      </w:r>
    </w:p>
    <w:p>
      <w:pPr>
        <w:pStyle w:val="Caption"/>
        <w:widowControl/>
      </w:pPr>
      <w:r>
        <w:rPr>
          <w:rFonts w:ascii="Arial" w:hAnsi="Arial"/>
          <w:color w:val="000000"/>
        </w:rPr>
        <w:t>Figure 10. Successful cloud collector run on GitHub-hosted infrastructure. The workflow was manually dispatched for verification; the same workflow has a fifteen-minute schedule and a fixed end time. Source: docs/cloud_run.json, docs/cloud_run.log. Team-produced execution evidence.</w:t>
      </w:r>
    </w:p>
    <w:p>
      <w:pPr>
        <w:pStyle w:val="Heading2"/>
      </w:pPr>
      <w:r>
        <w:t>T8 Ethics, privacy and data handling</w:t>
      </w:r>
    </w:p>
    <w:p>
      <w:pPr>
        <w:widowControl/>
      </w:pPr>
      <w:r>
        <w:rPr>
          <w:rFonts w:ascii="Arial" w:hAnsi="Arial"/>
          <w:color w:val="000000"/>
        </w:rPr>
        <w:t>No human participant supplies a personal journey or identity, so participant consent is not applicable to this public-coordinate instrument. API access still has contractual conditions. Technical success was insufficient to authorize a public comparison: TomTom requires written approval for benchmarking, while the applicable 2GIS Kazakhstan demo redistribution terms remain unresolved. ORS results are shared under current CC BY-SA terms with attribution. Secrets remain outside version control. The team retains failed requests and exclusion reasons to make limitations visible, while avoiding account identifiers and credential-bearing URLs in public evidence.</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94"/>
        <w:gridCol w:w="7143"/>
      </w:tblGrid>
      <w:tr>
        <w:trPr>
          <w:tblHeader/>
          <w:cantSplit/>
        </w:trPr>
        <w:tc>
          <w:tcPr>
            <w:tcW w:type="dxa" w:w="2494"/>
            <w:vAlign w:val="center"/>
            <w:shd w:fill="EAEAEA"/>
          </w:tcPr>
          <w:p>
            <w:pPr>
              <w:keepNext/>
              <w:spacing w:after="40" w:line="240" w:lineRule="auto"/>
            </w:pPr>
            <w:r>
              <w:rPr>
                <w:rFonts w:ascii="Arial" w:hAnsi="Arial"/>
                <w:b/>
                <w:color w:val="000000"/>
                <w:sz w:val="18"/>
              </w:rPr>
              <w:t>Item</w:t>
            </w:r>
          </w:p>
        </w:tc>
        <w:tc>
          <w:tcPr>
            <w:tcW w:type="dxa" w:w="7143"/>
            <w:vAlign w:val="center"/>
            <w:shd w:fill="EAEAEA"/>
          </w:tcPr>
          <w:p>
            <w:pPr>
              <w:keepNext/>
              <w:spacing w:after="40" w:line="240" w:lineRule="auto"/>
            </w:pPr>
            <w:r>
              <w:rPr>
                <w:rFonts w:ascii="Arial" w:hAnsi="Arial"/>
                <w:b/>
                <w:color w:val="000000"/>
                <w:sz w:val="18"/>
              </w:rPr>
              <w:t>Entry</w:t>
            </w:r>
          </w:p>
        </w:tc>
      </w:tr>
      <w:tr>
        <w:trPr>
          <w:cantSplit/>
        </w:trPr>
        <w:tc>
          <w:tcPr>
            <w:tcW w:type="dxa" w:w="2494"/>
            <w:vAlign w:val="center"/>
          </w:tcPr>
          <w:p>
            <w:pPr>
              <w:keepNext/>
              <w:spacing w:after="40" w:line="240" w:lineRule="auto"/>
            </w:pPr>
            <w:r>
              <w:rPr>
                <w:rFonts w:ascii="Arial" w:hAnsi="Arial"/>
                <w:color w:val="000000"/>
                <w:sz w:val="18"/>
              </w:rPr>
              <w:t>Consent</w:t>
            </w:r>
          </w:p>
        </w:tc>
        <w:tc>
          <w:tcPr>
            <w:tcW w:type="dxa" w:w="7143"/>
            <w:vAlign w:val="center"/>
          </w:tcPr>
          <w:p>
            <w:pPr>
              <w:keepNext/>
              <w:spacing w:after="40" w:line="240" w:lineRule="auto"/>
            </w:pPr>
            <w:r>
              <w:rPr>
                <w:rFonts w:ascii="Arial" w:hAnsi="Arial"/>
                <w:color w:val="000000"/>
                <w:sz w:val="18"/>
              </w:rPr>
              <w:t>Not applicable: no recruited people or personal journeys</w:t>
            </w:r>
          </w:p>
        </w:tc>
      </w:tr>
      <w:tr>
        <w:trPr>
          <w:cantSplit/>
        </w:trPr>
        <w:tc>
          <w:tcPr>
            <w:tcW w:type="dxa" w:w="2494"/>
            <w:vAlign w:val="center"/>
          </w:tcPr>
          <w:p>
            <w:pPr>
              <w:keepNext/>
              <w:spacing w:after="40" w:line="240" w:lineRule="auto"/>
            </w:pPr>
            <w:r>
              <w:rPr>
                <w:rFonts w:ascii="Arial" w:hAnsi="Arial"/>
                <w:color w:val="000000"/>
                <w:sz w:val="18"/>
              </w:rPr>
              <w:t>Anonymization</w:t>
            </w:r>
          </w:p>
        </w:tc>
        <w:tc>
          <w:tcPr>
            <w:tcW w:type="dxa" w:w="7143"/>
            <w:vAlign w:val="center"/>
          </w:tcPr>
          <w:p>
            <w:pPr>
              <w:keepNext/>
              <w:spacing w:after="40" w:line="240" w:lineRule="auto"/>
            </w:pPr>
            <w:r>
              <w:rPr>
                <w:rFonts w:ascii="Arial" w:hAnsi="Arial"/>
                <w:color w:val="000000"/>
                <w:sz w:val="18"/>
              </w:rPr>
              <w:t>Public route identifiers only; no individual tracks</w:t>
            </w:r>
          </w:p>
        </w:tc>
      </w:tr>
      <w:tr>
        <w:trPr>
          <w:cantSplit/>
        </w:trPr>
        <w:tc>
          <w:tcPr>
            <w:tcW w:type="dxa" w:w="2494"/>
            <w:vAlign w:val="center"/>
          </w:tcPr>
          <w:p>
            <w:pPr>
              <w:keepNext/>
              <w:spacing w:after="40" w:line="240" w:lineRule="auto"/>
            </w:pPr>
            <w:r>
              <w:rPr>
                <w:rFonts w:ascii="Arial" w:hAnsi="Arial"/>
                <w:color w:val="000000"/>
                <w:sz w:val="18"/>
              </w:rPr>
              <w:t>Not collected</w:t>
            </w:r>
          </w:p>
        </w:tc>
        <w:tc>
          <w:tcPr>
            <w:tcW w:type="dxa" w:w="7143"/>
            <w:vAlign w:val="center"/>
          </w:tcPr>
          <w:p>
            <w:pPr>
              <w:keepNext/>
              <w:spacing w:after="40" w:line="240" w:lineRule="auto"/>
            </w:pPr>
            <w:r>
              <w:rPr>
                <w:rFonts w:ascii="Arial" w:hAnsi="Arial"/>
                <w:color w:val="000000"/>
                <w:sz w:val="18"/>
              </w:rPr>
              <w:t>Names of drivers, home addresses, device identifiers or actual travel histories</w:t>
            </w:r>
          </w:p>
        </w:tc>
      </w:tr>
      <w:tr>
        <w:trPr>
          <w:cantSplit/>
        </w:trPr>
        <w:tc>
          <w:tcPr>
            <w:tcW w:type="dxa" w:w="2494"/>
            <w:vAlign w:val="center"/>
          </w:tcPr>
          <w:p>
            <w:pPr>
              <w:keepNext/>
              <w:spacing w:after="40" w:line="240" w:lineRule="auto"/>
            </w:pPr>
            <w:r>
              <w:rPr>
                <w:rFonts w:ascii="Arial" w:hAnsi="Arial"/>
                <w:color w:val="000000"/>
                <w:sz w:val="18"/>
              </w:rPr>
              <w:t>Storage, access and retention</w:t>
            </w:r>
          </w:p>
        </w:tc>
        <w:tc>
          <w:tcPr>
            <w:tcW w:type="dxa" w:w="7143"/>
            <w:vAlign w:val="center"/>
          </w:tcPr>
          <w:p>
            <w:pPr>
              <w:keepNext/>
              <w:spacing w:after="40" w:line="240" w:lineRule="auto"/>
            </w:pPr>
            <w:r>
              <w:rPr>
                <w:rFonts w:ascii="Arial" w:hAnsi="Arial"/>
                <w:color w:val="000000"/>
                <w:sz w:val="18"/>
              </w:rPr>
              <w:t>Private local secrets; public licensed research files and code. Public links must remain available through exam weeks.</w:t>
            </w:r>
          </w:p>
        </w:tc>
      </w:tr>
      <w:tr>
        <w:trPr>
          <w:cantSplit/>
        </w:trPr>
        <w:tc>
          <w:tcPr>
            <w:tcW w:type="dxa" w:w="2494"/>
            <w:vAlign w:val="center"/>
          </w:tcPr>
          <w:p>
            <w:pPr>
              <w:keepNext w:val="0"/>
              <w:spacing w:after="40" w:line="240" w:lineRule="auto"/>
            </w:pPr>
            <w:r>
              <w:rPr>
                <w:rFonts w:ascii="Arial" w:hAnsi="Arial"/>
                <w:color w:val="000000"/>
                <w:sz w:val="18"/>
              </w:rPr>
              <w:t>Accepted risk</w:t>
            </w:r>
          </w:p>
        </w:tc>
        <w:tc>
          <w:tcPr>
            <w:tcW w:type="dxa" w:w="7143"/>
            <w:vAlign w:val="center"/>
          </w:tcPr>
          <w:p>
            <w:pPr>
              <w:keepNext w:val="0"/>
              <w:spacing w:after="40" w:line="240" w:lineRule="auto"/>
            </w:pPr>
            <w:r>
              <w:rPr>
                <w:rFonts w:ascii="Arial" w:hAnsi="Arial"/>
                <w:color w:val="000000"/>
                <w:sz w:val="18"/>
              </w:rPr>
              <w:t>Model estimates may be incomplete or inconsistent; records describe agreement and instrument behavior, not navigation advice</w:t>
            </w:r>
          </w:p>
        </w:tc>
      </w:tr>
    </w:tbl>
    <w:p>
      <w:pPr>
        <w:spacing w:after="20"/>
      </w:pPr>
    </w:p>
    <w:p>
      <w:pPr>
        <w:pStyle w:val="Heading2"/>
      </w:pPr>
      <w:r>
        <w:t>T9 Expected Results</w:t>
      </w:r>
    </w:p>
    <w:p>
      <w:pPr>
        <w:widowControl/>
      </w:pPr>
      <w:r>
        <w:rPr>
          <w:rFonts w:ascii="Arial" w:hAnsi="Arial"/>
          <w:color w:val="000000"/>
        </w:rPr>
        <w:t>The expectation record is fixed before the first research observation. Earlier credential checks established access only and did not supply Astana outcomes. Expectations about provider disagreement remain unchanged when collection becomes restricted. Instrument expectations are separately falsifiable through valid-response counts, latency and route coverage. The six scenarios describe possible outcomes rather than simulated findings. A later amendment must carry its own date and reason; it cannot silently replace the existing thresholds after results become visible. Objectives retain the earlier project sequence, which Assignment 2 did not separately renumber.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567"/>
        <w:gridCol w:w="3061"/>
        <w:gridCol w:w="1417"/>
        <w:gridCol w:w="2154"/>
        <w:gridCol w:w="2438"/>
      </w:tblGrid>
      <w:tr>
        <w:trPr>
          <w:tblHeader/>
          <w:cantSplit/>
        </w:trPr>
        <w:tc>
          <w:tcPr>
            <w:tcW w:type="dxa" w:w="567"/>
            <w:vAlign w:val="center"/>
            <w:shd w:fill="EAEAEA"/>
          </w:tcPr>
          <w:p>
            <w:pPr>
              <w:keepNext/>
              <w:spacing w:after="40" w:line="240" w:lineRule="auto"/>
            </w:pPr>
            <w:r>
              <w:rPr>
                <w:rFonts w:ascii="Arial" w:hAnsi="Arial"/>
                <w:b/>
                <w:color w:val="000000"/>
                <w:sz w:val="18"/>
              </w:rPr>
              <w:t>No.</w:t>
            </w:r>
          </w:p>
        </w:tc>
        <w:tc>
          <w:tcPr>
            <w:tcW w:type="dxa" w:w="3061"/>
            <w:vAlign w:val="center"/>
            <w:shd w:fill="EAEAEA"/>
          </w:tcPr>
          <w:p>
            <w:pPr>
              <w:keepNext/>
              <w:spacing w:after="40" w:line="240" w:lineRule="auto"/>
            </w:pPr>
            <w:r>
              <w:rPr>
                <w:rFonts w:ascii="Arial" w:hAnsi="Arial"/>
                <w:b/>
                <w:color w:val="000000"/>
                <w:sz w:val="18"/>
              </w:rPr>
              <w:t>Expected result</w:t>
            </w:r>
          </w:p>
        </w:tc>
        <w:tc>
          <w:tcPr>
            <w:tcW w:type="dxa" w:w="1417"/>
            <w:vAlign w:val="center"/>
            <w:shd w:fill="EAEAEA"/>
          </w:tcPr>
          <w:p>
            <w:pPr>
              <w:keepNext/>
              <w:spacing w:after="40" w:line="240" w:lineRule="auto"/>
            </w:pPr>
            <w:r>
              <w:rPr>
                <w:rFonts w:ascii="Arial" w:hAnsi="Arial"/>
                <w:b/>
                <w:color w:val="000000"/>
                <w:sz w:val="18"/>
              </w:rPr>
              <w:t>Objective</w:t>
            </w:r>
          </w:p>
        </w:tc>
        <w:tc>
          <w:tcPr>
            <w:tcW w:type="dxa" w:w="2154"/>
            <w:vAlign w:val="center"/>
            <w:shd w:fill="EAEAEA"/>
          </w:tcPr>
          <w:p>
            <w:pPr>
              <w:keepNext/>
              <w:spacing w:after="40" w:line="240" w:lineRule="auto"/>
            </w:pPr>
            <w:r>
              <w:rPr>
                <w:rFonts w:ascii="Arial" w:hAnsi="Arial"/>
                <w:b/>
                <w:color w:val="000000"/>
                <w:sz w:val="18"/>
              </w:rPr>
              <w:t>Falsification</w:t>
            </w:r>
          </w:p>
        </w:tc>
        <w:tc>
          <w:tcPr>
            <w:tcW w:type="dxa" w:w="2438"/>
            <w:vAlign w:val="center"/>
            <w:shd w:fill="EAEAEA"/>
          </w:tcPr>
          <w:p>
            <w:pPr>
              <w:keepNext/>
              <w:spacing w:after="40" w:line="240" w:lineRule="auto"/>
            </w:pPr>
            <w:r>
              <w:rPr>
                <w:rFonts w:ascii="Arial" w:hAnsi="Arial"/>
                <w:b/>
                <w:color w:val="000000"/>
                <w:sz w:val="18"/>
              </w:rPr>
              <w:t>Confidence and reason</w:t>
            </w:r>
          </w:p>
        </w:tc>
      </w:tr>
      <w:tr>
        <w:trPr>
          <w:cantSplit/>
        </w:trPr>
        <w:tc>
          <w:tcPr>
            <w:tcW w:type="dxa" w:w="567"/>
            <w:vAlign w:val="center"/>
          </w:tcPr>
          <w:p>
            <w:pPr>
              <w:keepNext/>
              <w:spacing w:after="40" w:line="240" w:lineRule="auto"/>
            </w:pPr>
            <w:r>
              <w:rPr>
                <w:rFonts w:ascii="Arial" w:hAnsi="Arial"/>
                <w:color w:val="000000"/>
                <w:sz w:val="18"/>
              </w:rPr>
              <w:t>ER1</w:t>
            </w:r>
          </w:p>
        </w:tc>
        <w:tc>
          <w:tcPr>
            <w:tcW w:type="dxa" w:w="3061"/>
            <w:vAlign w:val="center"/>
          </w:tcPr>
          <w:p>
            <w:pPr>
              <w:keepNext/>
              <w:spacing w:after="40" w:line="240" w:lineRule="auto"/>
            </w:pPr>
            <w:r>
              <w:rPr>
                <w:rFonts w:ascii="Arial" w:hAnsi="Arial"/>
                <w:color w:val="000000"/>
                <w:sz w:val="18"/>
              </w:rPr>
              <w:t>The peak to off-peak ratio of median absolute TomTom-2GIS difference is at least 1.5.</w:t>
            </w:r>
          </w:p>
        </w:tc>
        <w:tc>
          <w:tcPr>
            <w:tcW w:type="dxa" w:w="1417"/>
            <w:vAlign w:val="center"/>
          </w:tcPr>
          <w:p>
            <w:pPr>
              <w:keepNext/>
              <w:spacing w:after="40" w:line="240" w:lineRule="auto"/>
            </w:pPr>
            <w:r>
              <w:rPr>
                <w:rFonts w:ascii="Arial" w:hAnsi="Arial"/>
                <w:color w:val="000000"/>
                <w:sz w:val="18"/>
              </w:rPr>
              <w:t>O4 Compare periods</w:t>
            </w:r>
          </w:p>
        </w:tc>
        <w:tc>
          <w:tcPr>
            <w:tcW w:type="dxa" w:w="2154"/>
            <w:vAlign w:val="center"/>
          </w:tcPr>
          <w:p>
            <w:pPr>
              <w:keepNext/>
              <w:spacing w:after="40" w:line="240" w:lineRule="auto"/>
            </w:pPr>
            <w:r>
              <w:rPr>
                <w:rFonts w:ascii="Arial" w:hAnsi="Arial"/>
                <w:color w:val="000000"/>
                <w:sz w:val="18"/>
              </w:rPr>
              <w:t>Ratio below 1.5 after both periods exist</w:t>
            </w:r>
          </w:p>
        </w:tc>
        <w:tc>
          <w:tcPr>
            <w:tcW w:type="dxa" w:w="2438"/>
            <w:vAlign w:val="center"/>
          </w:tcPr>
          <w:p>
            <w:pPr>
              <w:keepNext/>
              <w:spacing w:after="40" w:line="240" w:lineRule="auto"/>
            </w:pPr>
            <w:r>
              <w:rPr>
                <w:rFonts w:ascii="Arial" w:hAnsi="Arial"/>
                <w:color w:val="000000"/>
                <w:sz w:val="18"/>
              </w:rPr>
              <w:t>Low; directional H1 has no local pilot evidence</w:t>
            </w:r>
          </w:p>
        </w:tc>
      </w:tr>
      <w:tr>
        <w:trPr>
          <w:cantSplit/>
        </w:trPr>
        <w:tc>
          <w:tcPr>
            <w:tcW w:type="dxa" w:w="567"/>
            <w:vAlign w:val="center"/>
          </w:tcPr>
          <w:p>
            <w:pPr>
              <w:keepNext/>
              <w:spacing w:after="40" w:line="240" w:lineRule="auto"/>
            </w:pPr>
            <w:r>
              <w:rPr>
                <w:rFonts w:ascii="Arial" w:hAnsi="Arial"/>
                <w:color w:val="000000"/>
                <w:sz w:val="18"/>
              </w:rPr>
              <w:t>ER2</w:t>
            </w:r>
          </w:p>
        </w:tc>
        <w:tc>
          <w:tcPr>
            <w:tcW w:type="dxa" w:w="3061"/>
            <w:vAlign w:val="center"/>
          </w:tcPr>
          <w:p>
            <w:pPr>
              <w:keepNext/>
              <w:spacing w:after="40" w:line="240" w:lineRule="auto"/>
            </w:pPr>
            <w:r>
              <w:rPr>
                <w:rFonts w:ascii="Arial" w:hAnsi="Arial"/>
                <w:color w:val="000000"/>
                <w:sz w:val="18"/>
              </w:rPr>
              <w:t>At least 70% of eligible primary pairs have lengths within 5% of their pair mean.</w:t>
            </w:r>
          </w:p>
        </w:tc>
        <w:tc>
          <w:tcPr>
            <w:tcW w:type="dxa" w:w="1417"/>
            <w:vAlign w:val="center"/>
          </w:tcPr>
          <w:p>
            <w:pPr>
              <w:keepNext/>
              <w:spacing w:after="40" w:line="240" w:lineRule="auto"/>
            </w:pPr>
            <w:r>
              <w:rPr>
                <w:rFonts w:ascii="Arial" w:hAnsi="Arial"/>
                <w:color w:val="000000"/>
                <w:sz w:val="18"/>
              </w:rPr>
              <w:t>O3 Quantify disagreement</w:t>
            </w:r>
          </w:p>
        </w:tc>
        <w:tc>
          <w:tcPr>
            <w:tcW w:type="dxa" w:w="2154"/>
            <w:vAlign w:val="center"/>
          </w:tcPr>
          <w:p>
            <w:pPr>
              <w:keepNext/>
              <w:spacing w:after="40" w:line="240" w:lineRule="auto"/>
            </w:pPr>
            <w:r>
              <w:rPr>
                <w:rFonts w:ascii="Arial" w:hAnsi="Arial"/>
                <w:color w:val="000000"/>
                <w:sz w:val="18"/>
              </w:rPr>
              <w:t>Proportion below 70%</w:t>
            </w:r>
          </w:p>
        </w:tc>
        <w:tc>
          <w:tcPr>
            <w:tcW w:type="dxa" w:w="2438"/>
            <w:vAlign w:val="center"/>
          </w:tcPr>
          <w:p>
            <w:pPr>
              <w:keepNext/>
              <w:spacing w:after="40" w:line="240" w:lineRule="auto"/>
            </w:pPr>
            <w:r>
              <w:rPr>
                <w:rFonts w:ascii="Arial" w:hAnsi="Arial"/>
                <w:color w:val="000000"/>
                <w:sz w:val="18"/>
              </w:rPr>
              <w:t>Low; endpoint equality need not produce the same path</w:t>
            </w:r>
          </w:p>
        </w:tc>
      </w:tr>
      <w:tr>
        <w:trPr>
          <w:cantSplit/>
        </w:trPr>
        <w:tc>
          <w:tcPr>
            <w:tcW w:type="dxa" w:w="567"/>
            <w:vAlign w:val="center"/>
          </w:tcPr>
          <w:p>
            <w:pPr>
              <w:keepNext/>
              <w:spacing w:after="40" w:line="240" w:lineRule="auto"/>
            </w:pPr>
            <w:r>
              <w:rPr>
                <w:rFonts w:ascii="Arial" w:hAnsi="Arial"/>
                <w:color w:val="000000"/>
                <w:sz w:val="18"/>
              </w:rPr>
              <w:t>ER3</w:t>
            </w:r>
          </w:p>
        </w:tc>
        <w:tc>
          <w:tcPr>
            <w:tcW w:type="dxa" w:w="3061"/>
            <w:vAlign w:val="center"/>
          </w:tcPr>
          <w:p>
            <w:pPr>
              <w:keepNext/>
              <w:spacing w:after="40" w:line="240" w:lineRule="auto"/>
            </w:pPr>
            <w:r>
              <w:rPr>
                <w:rFonts w:ascii="Arial" w:hAnsi="Arial"/>
                <w:color w:val="000000"/>
                <w:sz w:val="18"/>
              </w:rPr>
              <w:t>Median signed difference TomTom minus 2GIS is positive in the completed sample.</w:t>
            </w:r>
          </w:p>
        </w:tc>
        <w:tc>
          <w:tcPr>
            <w:tcW w:type="dxa" w:w="1417"/>
            <w:vAlign w:val="center"/>
          </w:tcPr>
          <w:p>
            <w:pPr>
              <w:keepNext/>
              <w:spacing w:after="40" w:line="240" w:lineRule="auto"/>
            </w:pPr>
            <w:r>
              <w:rPr>
                <w:rFonts w:ascii="Arial" w:hAnsi="Arial"/>
                <w:color w:val="000000"/>
                <w:sz w:val="18"/>
              </w:rPr>
              <w:t>O3 Quantify disagreement</w:t>
            </w:r>
          </w:p>
        </w:tc>
        <w:tc>
          <w:tcPr>
            <w:tcW w:type="dxa" w:w="2154"/>
            <w:vAlign w:val="center"/>
          </w:tcPr>
          <w:p>
            <w:pPr>
              <w:keepNext/>
              <w:spacing w:after="40" w:line="240" w:lineRule="auto"/>
            </w:pPr>
            <w:r>
              <w:rPr>
                <w:rFonts w:ascii="Arial" w:hAnsi="Arial"/>
                <w:color w:val="000000"/>
                <w:sz w:val="18"/>
              </w:rPr>
              <w:t>Median at most zero</w:t>
            </w:r>
          </w:p>
        </w:tc>
        <w:tc>
          <w:tcPr>
            <w:tcW w:type="dxa" w:w="2438"/>
            <w:vAlign w:val="center"/>
          </w:tcPr>
          <w:p>
            <w:pPr>
              <w:keepNext/>
              <w:spacing w:after="40" w:line="240" w:lineRule="auto"/>
            </w:pPr>
            <w:r>
              <w:rPr>
                <w:rFonts w:ascii="Arial" w:hAnsi="Arial"/>
                <w:color w:val="000000"/>
                <w:sz w:val="18"/>
              </w:rPr>
              <w:t>Low; exploratory directional expectation, not prior fact</w:t>
            </w:r>
          </w:p>
        </w:tc>
      </w:tr>
      <w:tr>
        <w:trPr>
          <w:cantSplit/>
        </w:trPr>
        <w:tc>
          <w:tcPr>
            <w:tcW w:type="dxa" w:w="567"/>
            <w:vAlign w:val="center"/>
          </w:tcPr>
          <w:p>
            <w:pPr>
              <w:keepNext/>
              <w:spacing w:after="40" w:line="240" w:lineRule="auto"/>
            </w:pPr>
            <w:r>
              <w:rPr>
                <w:rFonts w:ascii="Arial" w:hAnsi="Arial"/>
                <w:color w:val="000000"/>
                <w:sz w:val="18"/>
              </w:rPr>
              <w:t>ER4</w:t>
            </w:r>
          </w:p>
        </w:tc>
        <w:tc>
          <w:tcPr>
            <w:tcW w:type="dxa" w:w="3061"/>
            <w:vAlign w:val="center"/>
          </w:tcPr>
          <w:p>
            <w:pPr>
              <w:keepNext/>
              <w:spacing w:after="40" w:line="240" w:lineRule="auto"/>
            </w:pPr>
            <w:r>
              <w:rPr>
                <w:rFonts w:ascii="Arial" w:hAnsi="Arial"/>
                <w:color w:val="000000"/>
                <w:sz w:val="18"/>
              </w:rPr>
              <w:t>The peak IQR of signed differences exceeds the off-peak IQR.</w:t>
            </w:r>
          </w:p>
        </w:tc>
        <w:tc>
          <w:tcPr>
            <w:tcW w:type="dxa" w:w="1417"/>
            <w:vAlign w:val="center"/>
          </w:tcPr>
          <w:p>
            <w:pPr>
              <w:keepNext/>
              <w:spacing w:after="40" w:line="240" w:lineRule="auto"/>
            </w:pPr>
            <w:r>
              <w:rPr>
                <w:rFonts w:ascii="Arial" w:hAnsi="Arial"/>
                <w:color w:val="000000"/>
                <w:sz w:val="18"/>
              </w:rPr>
              <w:t>O5 Describe route and time variation</w:t>
            </w:r>
          </w:p>
        </w:tc>
        <w:tc>
          <w:tcPr>
            <w:tcW w:type="dxa" w:w="2154"/>
            <w:vAlign w:val="center"/>
          </w:tcPr>
          <w:p>
            <w:pPr>
              <w:keepNext/>
              <w:spacing w:after="40" w:line="240" w:lineRule="auto"/>
            </w:pPr>
            <w:r>
              <w:rPr>
                <w:rFonts w:ascii="Arial" w:hAnsi="Arial"/>
                <w:color w:val="000000"/>
                <w:sz w:val="18"/>
              </w:rPr>
              <w:t>Peak IQR at most the off-peak IQR</w:t>
            </w:r>
          </w:p>
        </w:tc>
        <w:tc>
          <w:tcPr>
            <w:tcW w:type="dxa" w:w="2438"/>
            <w:vAlign w:val="center"/>
          </w:tcPr>
          <w:p>
            <w:pPr>
              <w:keepNext/>
              <w:spacing w:after="40" w:line="240" w:lineRule="auto"/>
            </w:pPr>
            <w:r>
              <w:rPr>
                <w:rFonts w:ascii="Arial" w:hAnsi="Arial"/>
                <w:color w:val="000000"/>
                <w:sz w:val="18"/>
              </w:rPr>
              <w:t>Low; hypothesis about variation is unverified</w:t>
            </w:r>
          </w:p>
        </w:tc>
      </w:tr>
      <w:tr>
        <w:trPr>
          <w:cantSplit/>
        </w:trPr>
        <w:tc>
          <w:tcPr>
            <w:tcW w:type="dxa" w:w="567"/>
            <w:vAlign w:val="center"/>
          </w:tcPr>
          <w:p>
            <w:pPr>
              <w:keepNext/>
              <w:spacing w:after="40" w:line="240" w:lineRule="auto"/>
            </w:pPr>
            <w:r>
              <w:rPr>
                <w:rFonts w:ascii="Arial" w:hAnsi="Arial"/>
                <w:color w:val="000000"/>
                <w:sz w:val="18"/>
              </w:rPr>
              <w:t>ER5</w:t>
            </w:r>
          </w:p>
        </w:tc>
        <w:tc>
          <w:tcPr>
            <w:tcW w:type="dxa" w:w="3061"/>
            <w:vAlign w:val="center"/>
          </w:tcPr>
          <w:p>
            <w:pPr>
              <w:keepNext/>
              <w:spacing w:after="40" w:line="240" w:lineRule="auto"/>
            </w:pPr>
            <w:r>
              <w:rPr>
                <w:rFonts w:ascii="Arial" w:hAnsi="Arial"/>
                <w:color w:val="000000"/>
                <w:sz w:val="18"/>
              </w:rPr>
              <w:t>Fewer than 2% of ORS instrument requests fail to return a valid route.</w:t>
            </w:r>
          </w:p>
        </w:tc>
        <w:tc>
          <w:tcPr>
            <w:tcW w:type="dxa" w:w="1417"/>
            <w:vAlign w:val="center"/>
          </w:tcPr>
          <w:p>
            <w:pPr>
              <w:keepNext/>
              <w:spacing w:after="40" w:line="240" w:lineRule="auto"/>
            </w:pPr>
            <w:r>
              <w:rPr>
                <w:rFonts w:ascii="Arial" w:hAnsi="Arial"/>
                <w:color w:val="000000"/>
                <w:sz w:val="18"/>
              </w:rPr>
              <w:t>O2 Collect auditable observations</w:t>
            </w:r>
          </w:p>
        </w:tc>
        <w:tc>
          <w:tcPr>
            <w:tcW w:type="dxa" w:w="2154"/>
            <w:vAlign w:val="center"/>
          </w:tcPr>
          <w:p>
            <w:pPr>
              <w:keepNext/>
              <w:spacing w:after="40" w:line="240" w:lineRule="auto"/>
            </w:pPr>
            <w:r>
              <w:rPr>
                <w:rFonts w:ascii="Arial" w:hAnsi="Arial"/>
                <w:color w:val="000000"/>
                <w:sz w:val="18"/>
              </w:rPr>
              <w:t>Failure proportion at least 2%</w:t>
            </w:r>
          </w:p>
        </w:tc>
        <w:tc>
          <w:tcPr>
            <w:tcW w:type="dxa" w:w="2438"/>
            <w:vAlign w:val="center"/>
          </w:tcPr>
          <w:p>
            <w:pPr>
              <w:keepNext/>
              <w:spacing w:after="40" w:line="240" w:lineRule="auto"/>
            </w:pPr>
            <w:r>
              <w:rPr>
                <w:rFonts w:ascii="Arial" w:hAnsi="Arial"/>
                <w:color w:val="000000"/>
                <w:sz w:val="18"/>
              </w:rPr>
              <w:t>Medium; one previous technical check succeeded</w:t>
            </w:r>
          </w:p>
        </w:tc>
      </w:tr>
      <w:tr>
        <w:trPr>
          <w:cantSplit/>
        </w:trPr>
        <w:tc>
          <w:tcPr>
            <w:tcW w:type="dxa" w:w="567"/>
            <w:vAlign w:val="center"/>
          </w:tcPr>
          <w:p>
            <w:pPr>
              <w:keepNext/>
              <w:spacing w:after="40" w:line="240" w:lineRule="auto"/>
            </w:pPr>
            <w:r>
              <w:rPr>
                <w:rFonts w:ascii="Arial" w:hAnsi="Arial"/>
                <w:color w:val="000000"/>
                <w:sz w:val="18"/>
              </w:rPr>
              <w:t>ER6</w:t>
            </w:r>
          </w:p>
        </w:tc>
        <w:tc>
          <w:tcPr>
            <w:tcW w:type="dxa" w:w="3061"/>
            <w:vAlign w:val="center"/>
          </w:tcPr>
          <w:p>
            <w:pPr>
              <w:keepNext/>
              <w:spacing w:after="40" w:line="240" w:lineRule="auto"/>
            </w:pPr>
            <w:r>
              <w:rPr>
                <w:rFonts w:ascii="Arial" w:hAnsi="Arial"/>
                <w:color w:val="000000"/>
                <w:sz w:val="18"/>
              </w:rPr>
              <w:t>At least 95% of ORS instrument requests finish within 10 seconds.</w:t>
            </w:r>
          </w:p>
        </w:tc>
        <w:tc>
          <w:tcPr>
            <w:tcW w:type="dxa" w:w="1417"/>
            <w:vAlign w:val="center"/>
          </w:tcPr>
          <w:p>
            <w:pPr>
              <w:keepNext/>
              <w:spacing w:after="40" w:line="240" w:lineRule="auto"/>
            </w:pPr>
            <w:r>
              <w:rPr>
                <w:rFonts w:ascii="Arial" w:hAnsi="Arial"/>
                <w:color w:val="000000"/>
                <w:sz w:val="18"/>
              </w:rPr>
              <w:t>O2 Collect auditable observations</w:t>
            </w:r>
          </w:p>
        </w:tc>
        <w:tc>
          <w:tcPr>
            <w:tcW w:type="dxa" w:w="2154"/>
            <w:vAlign w:val="center"/>
          </w:tcPr>
          <w:p>
            <w:pPr>
              <w:keepNext/>
              <w:spacing w:after="40" w:line="240" w:lineRule="auto"/>
            </w:pPr>
            <w:r>
              <w:rPr>
                <w:rFonts w:ascii="Arial" w:hAnsi="Arial"/>
                <w:color w:val="000000"/>
                <w:sz w:val="18"/>
              </w:rPr>
              <w:t>Proportion below 95%</w:t>
            </w:r>
          </w:p>
        </w:tc>
        <w:tc>
          <w:tcPr>
            <w:tcW w:type="dxa" w:w="2438"/>
            <w:vAlign w:val="center"/>
          </w:tcPr>
          <w:p>
            <w:pPr>
              <w:keepNext/>
              <w:spacing w:after="40" w:line="240" w:lineRule="auto"/>
            </w:pPr>
            <w:r>
              <w:rPr>
                <w:rFonts w:ascii="Arial" w:hAnsi="Arial"/>
                <w:color w:val="000000"/>
                <w:sz w:val="18"/>
              </w:rPr>
              <w:t>Medium; network and service delays can defeat it</w:t>
            </w:r>
          </w:p>
        </w:tc>
      </w:tr>
      <w:tr>
        <w:trPr>
          <w:cantSplit/>
        </w:trPr>
        <w:tc>
          <w:tcPr>
            <w:tcW w:type="dxa" w:w="567"/>
            <w:vAlign w:val="center"/>
          </w:tcPr>
          <w:p>
            <w:pPr>
              <w:keepNext/>
              <w:spacing w:after="40" w:line="240" w:lineRule="auto"/>
            </w:pPr>
            <w:r>
              <w:rPr>
                <w:rFonts w:ascii="Arial" w:hAnsi="Arial"/>
                <w:color w:val="000000"/>
                <w:sz w:val="18"/>
              </w:rPr>
              <w:t>ER7</w:t>
            </w:r>
          </w:p>
        </w:tc>
        <w:tc>
          <w:tcPr>
            <w:tcW w:type="dxa" w:w="3061"/>
            <w:vAlign w:val="center"/>
          </w:tcPr>
          <w:p>
            <w:pPr>
              <w:keepNext/>
              <w:spacing w:after="40" w:line="240" w:lineRule="auto"/>
            </w:pPr>
            <w:r>
              <w:rPr>
                <w:rFonts w:ascii="Arial" w:hAnsi="Arial"/>
                <w:color w:val="000000"/>
                <w:sz w:val="18"/>
              </w:rPr>
              <w:t>All 20 routes produce at least one valid ORS result during the three pilot cycles.</w:t>
            </w:r>
          </w:p>
        </w:tc>
        <w:tc>
          <w:tcPr>
            <w:tcW w:type="dxa" w:w="1417"/>
            <w:vAlign w:val="center"/>
          </w:tcPr>
          <w:p>
            <w:pPr>
              <w:keepNext/>
              <w:spacing w:after="40" w:line="240" w:lineRule="auto"/>
            </w:pPr>
            <w:r>
              <w:rPr>
                <w:rFonts w:ascii="Arial" w:hAnsi="Arial"/>
                <w:color w:val="000000"/>
                <w:sz w:val="18"/>
              </w:rPr>
              <w:t>O1 Fix routes and periods</w:t>
            </w:r>
          </w:p>
        </w:tc>
        <w:tc>
          <w:tcPr>
            <w:tcW w:type="dxa" w:w="2154"/>
            <w:vAlign w:val="center"/>
          </w:tcPr>
          <w:p>
            <w:pPr>
              <w:keepNext/>
              <w:spacing w:after="40" w:line="240" w:lineRule="auto"/>
            </w:pPr>
            <w:r>
              <w:rPr>
                <w:rFonts w:ascii="Arial" w:hAnsi="Arial"/>
                <w:color w:val="000000"/>
                <w:sz w:val="18"/>
              </w:rPr>
              <w:t>Fewer than 20 routes have any valid pilot observation</w:t>
            </w:r>
          </w:p>
        </w:tc>
        <w:tc>
          <w:tcPr>
            <w:tcW w:type="dxa" w:w="2438"/>
            <w:vAlign w:val="center"/>
          </w:tcPr>
          <w:p>
            <w:pPr>
              <w:keepNext/>
              <w:spacing w:after="40" w:line="240" w:lineRule="auto"/>
            </w:pPr>
            <w:r>
              <w:rPr>
                <w:rFonts w:ascii="Arial" w:hAnsi="Arial"/>
                <w:color w:val="000000"/>
                <w:sz w:val="18"/>
              </w:rPr>
              <w:t>Medium; public road endpoints still require routing verification</w:t>
            </w:r>
          </w:p>
        </w:tc>
      </w:tr>
      <w:tr>
        <w:trPr>
          <w:cantSplit/>
        </w:trPr>
        <w:tc>
          <w:tcPr>
            <w:tcW w:type="dxa" w:w="567"/>
            <w:vAlign w:val="center"/>
          </w:tcPr>
          <w:p>
            <w:pPr>
              <w:keepNext w:val="0"/>
              <w:spacing w:after="40" w:line="240" w:lineRule="auto"/>
            </w:pPr>
            <w:r>
              <w:rPr>
                <w:rFonts w:ascii="Arial" w:hAnsi="Arial"/>
                <w:color w:val="000000"/>
                <w:sz w:val="18"/>
              </w:rPr>
              <w:t>ER8</w:t>
            </w:r>
          </w:p>
        </w:tc>
        <w:tc>
          <w:tcPr>
            <w:tcW w:type="dxa" w:w="3061"/>
            <w:vAlign w:val="center"/>
          </w:tcPr>
          <w:p>
            <w:pPr>
              <w:keepNext w:val="0"/>
              <w:spacing w:after="40" w:line="240" w:lineRule="auto"/>
            </w:pPr>
            <w:r>
              <w:rPr>
                <w:rFonts w:ascii="Arial" w:hAnsi="Arial"/>
                <w:color w:val="000000"/>
                <w:sz w:val="18"/>
              </w:rPr>
              <w:t>At least 90% of the 768 nominal ORS scheduled requests are recorded in the 48-hour window.</w:t>
            </w:r>
          </w:p>
        </w:tc>
        <w:tc>
          <w:tcPr>
            <w:tcW w:type="dxa" w:w="1417"/>
            <w:vAlign w:val="center"/>
          </w:tcPr>
          <w:p>
            <w:pPr>
              <w:keepNext w:val="0"/>
              <w:spacing w:after="40" w:line="240" w:lineRule="auto"/>
            </w:pPr>
            <w:r>
              <w:rPr>
                <w:rFonts w:ascii="Arial" w:hAnsi="Arial"/>
                <w:color w:val="000000"/>
                <w:sz w:val="18"/>
              </w:rPr>
              <w:t>O2 Collect auditable observations</w:t>
            </w:r>
          </w:p>
        </w:tc>
        <w:tc>
          <w:tcPr>
            <w:tcW w:type="dxa" w:w="2154"/>
            <w:vAlign w:val="center"/>
          </w:tcPr>
          <w:p>
            <w:pPr>
              <w:keepNext w:val="0"/>
              <w:spacing w:after="40" w:line="240" w:lineRule="auto"/>
            </w:pPr>
            <w:r>
              <w:rPr>
                <w:rFonts w:ascii="Arial" w:hAnsi="Arial"/>
                <w:color w:val="000000"/>
                <w:sz w:val="18"/>
              </w:rPr>
              <w:t>Fewer than 692 attempts after the window ends</w:t>
            </w:r>
          </w:p>
        </w:tc>
        <w:tc>
          <w:tcPr>
            <w:tcW w:type="dxa" w:w="2438"/>
            <w:vAlign w:val="center"/>
          </w:tcPr>
          <w:p>
            <w:pPr>
              <w:keepNext w:val="0"/>
              <w:spacing w:after="40" w:line="240" w:lineRule="auto"/>
            </w:pPr>
            <w:r>
              <w:rPr>
                <w:rFonts w:ascii="Arial" w:hAnsi="Arial"/>
                <w:color w:val="000000"/>
                <w:sz w:val="18"/>
              </w:rPr>
              <w:t>Medium; Actions scheduling may delay or skip runs</w:t>
            </w:r>
          </w:p>
        </w:tc>
      </w:tr>
    </w:tbl>
    <w:p>
      <w:pPr>
        <w:spacing w:after="20"/>
      </w:pP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417"/>
        <w:gridCol w:w="8220"/>
      </w:tblGrid>
      <w:tr>
        <w:trPr>
          <w:tblHeader/>
          <w:cantSplit/>
        </w:trPr>
        <w:tc>
          <w:tcPr>
            <w:tcW w:type="dxa" w:w="1417"/>
            <w:vAlign w:val="center"/>
            <w:shd w:fill="EAEAEA"/>
          </w:tcPr>
          <w:p>
            <w:pPr>
              <w:keepNext/>
              <w:spacing w:after="40" w:line="240" w:lineRule="auto"/>
            </w:pPr>
            <w:r>
              <w:rPr>
                <w:rFonts w:ascii="Arial" w:hAnsi="Arial"/>
                <w:b/>
                <w:color w:val="000000"/>
                <w:sz w:val="18"/>
              </w:rPr>
              <w:t>Outcome</w:t>
            </w:r>
          </w:p>
        </w:tc>
        <w:tc>
          <w:tcPr>
            <w:tcW w:type="dxa" w:w="8220"/>
            <w:vAlign w:val="center"/>
            <w:shd w:fill="EAEAEA"/>
          </w:tcPr>
          <w:p>
            <w:pPr>
              <w:keepNext/>
              <w:spacing w:after="40" w:line="240" w:lineRule="auto"/>
            </w:pPr>
            <w:r>
              <w:rPr>
                <w:rFonts w:ascii="Arial" w:hAnsi="Arial"/>
                <w:b/>
                <w:color w:val="000000"/>
                <w:sz w:val="18"/>
              </w:rPr>
              <w:t>Possible scenario</w:t>
            </w:r>
          </w:p>
        </w:tc>
      </w:tr>
      <w:tr>
        <w:trPr>
          <w:cantSplit/>
        </w:trPr>
        <w:tc>
          <w:tcPr>
            <w:tcW w:type="dxa" w:w="1417"/>
            <w:vAlign w:val="center"/>
          </w:tcPr>
          <w:p>
            <w:pPr>
              <w:keepNext/>
              <w:spacing w:after="40" w:line="240" w:lineRule="auto"/>
            </w:pPr>
            <w:r>
              <w:rPr>
                <w:rFonts w:ascii="Arial" w:hAnsi="Arial"/>
                <w:color w:val="000000"/>
                <w:sz w:val="18"/>
              </w:rPr>
              <w:t>bad</w:t>
            </w:r>
          </w:p>
        </w:tc>
        <w:tc>
          <w:tcPr>
            <w:tcW w:type="dxa" w:w="8220"/>
            <w:vAlign w:val="center"/>
          </w:tcPr>
          <w:p>
            <w:pPr>
              <w:keepNext/>
              <w:spacing w:after="40" w:line="240" w:lineRule="auto"/>
            </w:pPr>
            <w:r>
              <w:rPr>
                <w:rFonts w:ascii="Arial" w:hAnsi="Arial"/>
                <w:color w:val="000000"/>
                <w:sz w:val="18"/>
              </w:rPr>
              <w:t>Traffic-provider permissions remain unavailable; only control-instrument evidence exists and H1 cannot be tested.</w:t>
            </w:r>
          </w:p>
        </w:tc>
      </w:tr>
      <w:tr>
        <w:trPr>
          <w:cantSplit/>
        </w:trPr>
        <w:tc>
          <w:tcPr>
            <w:tcW w:type="dxa" w:w="1417"/>
            <w:vAlign w:val="center"/>
          </w:tcPr>
          <w:p>
            <w:pPr>
              <w:keepNext/>
              <w:spacing w:after="40" w:line="240" w:lineRule="auto"/>
            </w:pPr>
            <w:r>
              <w:rPr>
                <w:rFonts w:ascii="Arial" w:hAnsi="Arial"/>
                <w:color w:val="000000"/>
                <w:sz w:val="18"/>
              </w:rPr>
              <w:t>bad</w:t>
            </w:r>
          </w:p>
        </w:tc>
        <w:tc>
          <w:tcPr>
            <w:tcW w:type="dxa" w:w="8220"/>
            <w:vAlign w:val="center"/>
          </w:tcPr>
          <w:p>
            <w:pPr>
              <w:keepNext/>
              <w:spacing w:after="40" w:line="240" w:lineRule="auto"/>
            </w:pPr>
            <w:r>
              <w:rPr>
                <w:rFonts w:ascii="Arial" w:hAnsi="Arial"/>
                <w:color w:val="000000"/>
                <w:sz w:val="18"/>
              </w:rPr>
              <w:t>At least 2% of ORS requests fail or fewer than 20 routes work; revise the instrument in a dated amendment.</w:t>
            </w:r>
          </w:p>
        </w:tc>
      </w:tr>
      <w:tr>
        <w:trPr>
          <w:cantSplit/>
        </w:trPr>
        <w:tc>
          <w:tcPr>
            <w:tcW w:type="dxa" w:w="1417"/>
            <w:vAlign w:val="center"/>
          </w:tcPr>
          <w:p>
            <w:pPr>
              <w:keepNext/>
              <w:spacing w:after="40" w:line="240" w:lineRule="auto"/>
            </w:pPr>
            <w:r>
              <w:rPr>
                <w:rFonts w:ascii="Arial" w:hAnsi="Arial"/>
                <w:color w:val="000000"/>
                <w:sz w:val="18"/>
              </w:rPr>
              <w:t>medium</w:t>
            </w:r>
          </w:p>
        </w:tc>
        <w:tc>
          <w:tcPr>
            <w:tcW w:type="dxa" w:w="8220"/>
            <w:vAlign w:val="center"/>
          </w:tcPr>
          <w:p>
            <w:pPr>
              <w:keepNext/>
              <w:spacing w:after="40" w:line="240" w:lineRule="auto"/>
            </w:pPr>
            <w:r>
              <w:rPr>
                <w:rFonts w:ascii="Arial" w:hAnsi="Arial"/>
                <w:color w:val="000000"/>
                <w:sz w:val="18"/>
              </w:rPr>
              <w:t>All routes work but fewer than 90% of scheduled attempts are recorded; retain actual times and describe incomplete coverage.</w:t>
            </w:r>
          </w:p>
        </w:tc>
      </w:tr>
      <w:tr>
        <w:trPr>
          <w:cantSplit/>
        </w:trPr>
        <w:tc>
          <w:tcPr>
            <w:tcW w:type="dxa" w:w="1417"/>
            <w:vAlign w:val="center"/>
          </w:tcPr>
          <w:p>
            <w:pPr>
              <w:keepNext/>
              <w:spacing w:after="40" w:line="240" w:lineRule="auto"/>
            </w:pPr>
            <w:r>
              <w:rPr>
                <w:rFonts w:ascii="Arial" w:hAnsi="Arial"/>
                <w:color w:val="000000"/>
                <w:sz w:val="18"/>
              </w:rPr>
              <w:t>medium</w:t>
            </w:r>
          </w:p>
        </w:tc>
        <w:tc>
          <w:tcPr>
            <w:tcW w:type="dxa" w:w="8220"/>
            <w:vAlign w:val="center"/>
          </w:tcPr>
          <w:p>
            <w:pPr>
              <w:keepNext/>
              <w:spacing w:after="40" w:line="240" w:lineRule="auto"/>
            </w:pPr>
            <w:r>
              <w:rPr>
                <w:rFonts w:ascii="Arial" w:hAnsi="Arial"/>
                <w:color w:val="000000"/>
                <w:sz w:val="18"/>
              </w:rPr>
              <w:t>Primary collection later becomes permitted but period contrast is below 1.5; report evidence against ER1 without editing it.</w:t>
            </w:r>
          </w:p>
        </w:tc>
      </w:tr>
      <w:tr>
        <w:trPr>
          <w:cantSplit/>
        </w:trPr>
        <w:tc>
          <w:tcPr>
            <w:tcW w:type="dxa" w:w="1417"/>
            <w:vAlign w:val="center"/>
          </w:tcPr>
          <w:p>
            <w:pPr>
              <w:keepNext/>
              <w:spacing w:after="40" w:line="240" w:lineRule="auto"/>
            </w:pPr>
            <w:r>
              <w:rPr>
                <w:rFonts w:ascii="Arial" w:hAnsi="Arial"/>
                <w:color w:val="000000"/>
                <w:sz w:val="18"/>
              </w:rPr>
              <w:t>good</w:t>
            </w:r>
          </w:p>
        </w:tc>
        <w:tc>
          <w:tcPr>
            <w:tcW w:type="dxa" w:w="8220"/>
            <w:vAlign w:val="center"/>
          </w:tcPr>
          <w:p>
            <w:pPr>
              <w:keepNext/>
              <w:spacing w:after="40" w:line="240" w:lineRule="auto"/>
            </w:pPr>
            <w:r>
              <w:rPr>
                <w:rFonts w:ascii="Arial" w:hAnsi="Arial"/>
                <w:color w:val="000000"/>
                <w:sz w:val="18"/>
              </w:rPr>
              <w:t>The ORS pilot covers all routes and fewer than 2% of requests fail; the data pipeline is ready for a permitted primary comparison.</w:t>
            </w:r>
          </w:p>
        </w:tc>
      </w:tr>
      <w:tr>
        <w:trPr>
          <w:cantSplit/>
        </w:trPr>
        <w:tc>
          <w:tcPr>
            <w:tcW w:type="dxa" w:w="1417"/>
            <w:vAlign w:val="center"/>
          </w:tcPr>
          <w:p>
            <w:pPr>
              <w:keepNext w:val="0"/>
              <w:spacing w:after="40" w:line="240" w:lineRule="auto"/>
            </w:pPr>
            <w:r>
              <w:rPr>
                <w:rFonts w:ascii="Arial" w:hAnsi="Arial"/>
                <w:color w:val="000000"/>
                <w:sz w:val="18"/>
              </w:rPr>
              <w:t>good</w:t>
            </w:r>
          </w:p>
        </w:tc>
        <w:tc>
          <w:tcPr>
            <w:tcW w:type="dxa" w:w="8220"/>
            <w:vAlign w:val="center"/>
          </w:tcPr>
          <w:p>
            <w:pPr>
              <w:keepNext w:val="0"/>
              <w:spacing w:after="40" w:line="240" w:lineRule="auto"/>
            </w:pPr>
            <w:r>
              <w:rPr>
                <w:rFonts w:ascii="Arial" w:hAnsi="Arial"/>
                <w:color w:val="000000"/>
                <w:sz w:val="18"/>
              </w:rPr>
              <w:t>A later permitted primary sample spans both periods and reaches the ER1 threshold with interpretable route-aware uncertainty.</w:t>
            </w:r>
          </w:p>
        </w:tc>
      </w:tr>
    </w:tbl>
    <w:p>
      <w:pPr>
        <w:spacing w:after="20"/>
      </w:pPr>
    </w:p>
    <w:p>
      <w:pPr>
        <w:widowControl/>
      </w:pPr>
      <w:r>
        <w:rPr>
          <w:rFonts w:ascii="Arial" w:hAnsi="Arial"/>
          <w:color w:val="000000"/>
        </w:rPr>
        <w:t>Fixed date: 24.10.2026. Timestamp: 2026-10-24T02:32:16.123968+00:00. Expected-results file SHA-256: e1a7ad664d3f3a6caa524098fc4073812d29de0a88239a87f4e10181fec27d1a. Preregistration commit: b4614355903efdc800f870d2678d2416e0490f81.</w:t>
      </w:r>
    </w:p>
    <w:p>
      <w:pPr>
        <w:pStyle w:val="Heading2"/>
      </w:pPr>
      <w:r>
        <w:t>T10 State your method-related expectations</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38"/>
        <w:gridCol w:w="7200"/>
      </w:tblGrid>
      <w:tr>
        <w:trPr>
          <w:tblHeader/>
          <w:cantSplit/>
        </w:trPr>
        <w:tc>
          <w:tcPr>
            <w:tcW w:type="dxa" w:w="2438"/>
            <w:vAlign w:val="center"/>
            <w:shd w:fill="EAEAEA"/>
          </w:tcPr>
          <w:p>
            <w:pPr>
              <w:keepNext/>
              <w:spacing w:after="40" w:line="240" w:lineRule="auto"/>
            </w:pPr>
            <w:r>
              <w:rPr>
                <w:rFonts w:ascii="Arial" w:hAnsi="Arial"/>
                <w:b/>
                <w:color w:val="000000"/>
                <w:sz w:val="18"/>
              </w:rPr>
              <w:t>Method</w:t>
            </w:r>
          </w:p>
        </w:tc>
        <w:tc>
          <w:tcPr>
            <w:tcW w:type="dxa" w:w="7200"/>
            <w:vAlign w:val="center"/>
            <w:shd w:fill="EAEAEA"/>
          </w:tcPr>
          <w:p>
            <w:pPr>
              <w:keepNext/>
              <w:spacing w:after="40" w:line="240" w:lineRule="auto"/>
            </w:pPr>
            <w:r>
              <w:rPr>
                <w:rFonts w:ascii="Arial" w:hAnsi="Arial"/>
                <w:b/>
                <w:color w:val="000000"/>
                <w:sz w:val="18"/>
              </w:rPr>
              <w:t>Declaration before analysis</w:t>
            </w:r>
          </w:p>
        </w:tc>
      </w:tr>
      <w:tr>
        <w:trPr>
          <w:cantSplit/>
        </w:trPr>
        <w:tc>
          <w:tcPr>
            <w:tcW w:type="dxa" w:w="2438"/>
            <w:vAlign w:val="center"/>
          </w:tcPr>
          <w:p>
            <w:pPr>
              <w:keepNext w:val="0"/>
              <w:spacing w:after="40" w:line="240" w:lineRule="auto"/>
            </w:pPr>
            <w:r>
              <w:rPr>
                <w:rFonts w:ascii="Arial" w:hAnsi="Arial"/>
                <w:color w:val="000000"/>
                <w:sz w:val="18"/>
              </w:rPr>
              <w:t>Data analytics / secondary data</w:t>
            </w:r>
          </w:p>
        </w:tc>
        <w:tc>
          <w:tcPr>
            <w:tcW w:type="dxa" w:w="7200"/>
            <w:vAlign w:val="center"/>
          </w:tcPr>
          <w:p>
            <w:pPr>
              <w:keepNext w:val="0"/>
              <w:spacing w:after="40" w:line="240" w:lineRule="auto"/>
            </w:pPr>
            <w:r>
              <w:rPr>
                <w:rFonts w:ascii="Arial" w:hAnsi="Arial"/>
                <w:color w:val="000000"/>
                <w:sz w:val="18"/>
              </w:rPr>
              <w:t>Primary expectation: larger median absolute disagreement during evening peak. Instrument expectations: &lt;2% invalid routes, ≥95% requests within 10 s, all 20 pilot routes represented. Missing optional baselines, failed responses, duplicates and implausible implied speeds are recorded. API agreement cannot establish actual travel-time accuracy.</w:t>
            </w:r>
          </w:p>
        </w:tc>
      </w:tr>
    </w:tbl>
    <w:p>
      <w:pPr>
        <w:spacing w:after="20"/>
      </w:pPr>
    </w:p>
    <w:p>
      <w:pPr>
        <w:pStyle w:val="Heading1"/>
      </w:pPr>
      <w:r>
        <w:t>Segment 2. Data Collection Instrument</w:t>
      </w:r>
    </w:p>
    <w:p>
      <w:pPr>
        <w:pStyle w:val="Heading2"/>
      </w:pPr>
      <w:r>
        <w:t>T1 Provenance information</w:t>
      </w:r>
    </w:p>
    <w:p>
      <w:pPr>
        <w:widowControl/>
      </w:pPr>
      <w:r>
        <w:rPr>
          <w:rFonts w:ascii="Arial" w:hAnsi="Arial"/>
          <w:color w:val="000000"/>
        </w:rPr>
        <w:t>The design adapts repeated route and time sampling from Elnaggar et al. (2025) and fixed OD comparison from Fu et al. (2023). It does not reproduce their cities, datasets or validation claims. Hodson (2022) motivates giving each difference measure a defined role. The collector is self-developed because synchronized requests, explicit failures, route identifiers and permission controls must share one audit trail. Its command-line interface writes CSV and licensed response files; it has no participant frontend or personal-data database. Confidence comes from recorded pilot outputs and deterministic validation, not from calling the software a methodology.</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191"/>
        <w:gridCol w:w="1984"/>
        <w:gridCol w:w="1191"/>
        <w:gridCol w:w="2438"/>
        <w:gridCol w:w="2835"/>
      </w:tblGrid>
      <w:tr>
        <w:trPr>
          <w:tblHeader/>
          <w:cantSplit/>
        </w:trPr>
        <w:tc>
          <w:tcPr>
            <w:tcW w:type="dxa" w:w="1191"/>
            <w:vAlign w:val="center"/>
            <w:shd w:fill="EAEAEA"/>
          </w:tcPr>
          <w:p>
            <w:pPr>
              <w:keepNext/>
              <w:spacing w:after="40" w:line="240" w:lineRule="auto"/>
            </w:pPr>
            <w:r>
              <w:rPr>
                <w:rFonts w:ascii="Arial" w:hAnsi="Arial"/>
                <w:b/>
                <w:color w:val="000000"/>
                <w:sz w:val="18"/>
              </w:rPr>
              <w:t>Element</w:t>
            </w:r>
          </w:p>
        </w:tc>
        <w:tc>
          <w:tcPr>
            <w:tcW w:type="dxa" w:w="1984"/>
            <w:vAlign w:val="center"/>
            <w:shd w:fill="EAEAEA"/>
          </w:tcPr>
          <w:p>
            <w:pPr>
              <w:keepNext/>
              <w:spacing w:after="40" w:line="240" w:lineRule="auto"/>
            </w:pPr>
            <w:r>
              <w:rPr>
                <w:rFonts w:ascii="Arial" w:hAnsi="Arial"/>
                <w:b/>
                <w:color w:val="000000"/>
                <w:sz w:val="18"/>
              </w:rPr>
              <w:t>Source</w:t>
            </w:r>
          </w:p>
        </w:tc>
        <w:tc>
          <w:tcPr>
            <w:tcW w:type="dxa" w:w="1191"/>
            <w:vAlign w:val="center"/>
            <w:shd w:fill="EAEAEA"/>
          </w:tcPr>
          <w:p>
            <w:pPr>
              <w:keepNext/>
              <w:spacing w:after="40" w:line="240" w:lineRule="auto"/>
            </w:pPr>
            <w:r>
              <w:rPr>
                <w:rFonts w:ascii="Arial" w:hAnsi="Arial"/>
                <w:b/>
                <w:color w:val="000000"/>
                <w:sz w:val="18"/>
              </w:rPr>
              <w:t>Status</w:t>
            </w:r>
          </w:p>
        </w:tc>
        <w:tc>
          <w:tcPr>
            <w:tcW w:type="dxa" w:w="2438"/>
            <w:vAlign w:val="center"/>
            <w:shd w:fill="EAEAEA"/>
          </w:tcPr>
          <w:p>
            <w:pPr>
              <w:keepNext/>
              <w:spacing w:after="40" w:line="240" w:lineRule="auto"/>
            </w:pPr>
            <w:r>
              <w:rPr>
                <w:rFonts w:ascii="Arial" w:hAnsi="Arial"/>
                <w:b/>
                <w:color w:val="000000"/>
                <w:sz w:val="18"/>
              </w:rPr>
              <w:t>Taken</w:t>
            </w:r>
          </w:p>
        </w:tc>
        <w:tc>
          <w:tcPr>
            <w:tcW w:type="dxa" w:w="2835"/>
            <w:vAlign w:val="center"/>
            <w:shd w:fill="EAEAEA"/>
          </w:tcPr>
          <w:p>
            <w:pPr>
              <w:keepNext/>
              <w:spacing w:after="40" w:line="240" w:lineRule="auto"/>
            </w:pPr>
            <w:r>
              <w:rPr>
                <w:rFonts w:ascii="Arial" w:hAnsi="Arial"/>
                <w:b/>
                <w:color w:val="000000"/>
                <w:sz w:val="18"/>
              </w:rPr>
              <w:t>Changed or justified</w:t>
            </w:r>
          </w:p>
        </w:tc>
      </w:tr>
      <w:tr>
        <w:trPr>
          <w:cantSplit/>
        </w:trPr>
        <w:tc>
          <w:tcPr>
            <w:tcW w:type="dxa" w:w="1191"/>
            <w:vAlign w:val="center"/>
          </w:tcPr>
          <w:p>
            <w:pPr>
              <w:keepNext/>
              <w:spacing w:after="40" w:line="240" w:lineRule="auto"/>
            </w:pPr>
            <w:r>
              <w:rPr>
                <w:rFonts w:ascii="Arial" w:hAnsi="Arial"/>
                <w:color w:val="000000"/>
                <w:sz w:val="18"/>
              </w:rPr>
              <w:t>Overall design</w:t>
            </w:r>
          </w:p>
        </w:tc>
        <w:tc>
          <w:tcPr>
            <w:tcW w:type="dxa" w:w="1984"/>
            <w:vAlign w:val="center"/>
          </w:tcPr>
          <w:p>
            <w:pPr>
              <w:keepNext/>
              <w:spacing w:after="40" w:line="240" w:lineRule="auto"/>
            </w:pPr>
            <w:r>
              <w:rPr>
                <w:rFonts w:ascii="Arial" w:hAnsi="Arial"/>
                <w:color w:val="000000"/>
                <w:sz w:val="18"/>
              </w:rPr>
              <w:t>Elnaggar et al. (2025); Fu et al. (2023)</w:t>
            </w:r>
          </w:p>
        </w:tc>
        <w:tc>
          <w:tcPr>
            <w:tcW w:type="dxa" w:w="1191"/>
            <w:vAlign w:val="center"/>
          </w:tcPr>
          <w:p>
            <w:pPr>
              <w:keepNext/>
              <w:spacing w:after="40" w:line="240" w:lineRule="auto"/>
            </w:pPr>
            <w:r>
              <w:rPr>
                <w:rFonts w:ascii="Arial" w:hAnsi="Arial"/>
                <w:color w:val="000000"/>
                <w:sz w:val="18"/>
              </w:rPr>
              <w:t>Adapted</w:t>
            </w:r>
          </w:p>
        </w:tc>
        <w:tc>
          <w:tcPr>
            <w:tcW w:type="dxa" w:w="2438"/>
            <w:vAlign w:val="center"/>
          </w:tcPr>
          <w:p>
            <w:pPr>
              <w:keepNext/>
              <w:spacing w:after="40" w:line="240" w:lineRule="auto"/>
            </w:pPr>
            <w:r>
              <w:rPr>
                <w:rFonts w:ascii="Arial" w:hAnsi="Arial"/>
                <w:color w:val="000000"/>
                <w:sz w:val="18"/>
              </w:rPr>
              <w:t>Repeated route/time observations; common OD comparisons</w:t>
            </w:r>
          </w:p>
        </w:tc>
        <w:tc>
          <w:tcPr>
            <w:tcW w:type="dxa" w:w="2835"/>
            <w:vAlign w:val="center"/>
          </w:tcPr>
          <w:p>
            <w:pPr>
              <w:keepNext/>
              <w:spacing w:after="40" w:line="240" w:lineRule="auto"/>
            </w:pPr>
            <w:r>
              <w:rPr>
                <w:rFonts w:ascii="Arial" w:hAnsi="Arial"/>
                <w:color w:val="000000"/>
                <w:sz w:val="18"/>
              </w:rPr>
              <w:t>Astana cases; explicit disagreement target; ORS-only pilot</w:t>
            </w:r>
          </w:p>
        </w:tc>
      </w:tr>
      <w:tr>
        <w:trPr>
          <w:cantSplit/>
        </w:trPr>
        <w:tc>
          <w:tcPr>
            <w:tcW w:type="dxa" w:w="1191"/>
            <w:vAlign w:val="center"/>
          </w:tcPr>
          <w:p>
            <w:pPr>
              <w:keepNext/>
              <w:spacing w:after="40" w:line="240" w:lineRule="auto"/>
            </w:pPr>
            <w:r>
              <w:rPr>
                <w:rFonts w:ascii="Arial" w:hAnsi="Arial"/>
                <w:color w:val="000000"/>
                <w:sz w:val="18"/>
              </w:rPr>
              <w:t>Sampling</w:t>
            </w:r>
          </w:p>
        </w:tc>
        <w:tc>
          <w:tcPr>
            <w:tcW w:type="dxa" w:w="1984"/>
            <w:vAlign w:val="center"/>
          </w:tcPr>
          <w:p>
            <w:pPr>
              <w:keepNext/>
              <w:spacing w:after="40" w:line="240" w:lineRule="auto"/>
            </w:pPr>
            <w:r>
              <w:rPr>
                <w:rFonts w:ascii="Arial" w:hAnsi="Arial"/>
                <w:color w:val="000000"/>
                <w:sz w:val="18"/>
              </w:rPr>
              <w:t>Elnaggar et al. (2025)</w:t>
            </w:r>
          </w:p>
        </w:tc>
        <w:tc>
          <w:tcPr>
            <w:tcW w:type="dxa" w:w="1191"/>
            <w:vAlign w:val="center"/>
          </w:tcPr>
          <w:p>
            <w:pPr>
              <w:keepNext/>
              <w:spacing w:after="40" w:line="240" w:lineRule="auto"/>
            </w:pPr>
            <w:r>
              <w:rPr>
                <w:rFonts w:ascii="Arial" w:hAnsi="Arial"/>
                <w:color w:val="000000"/>
                <w:sz w:val="18"/>
              </w:rPr>
              <w:t>Adapted</w:t>
            </w:r>
          </w:p>
        </w:tc>
        <w:tc>
          <w:tcPr>
            <w:tcW w:type="dxa" w:w="2438"/>
            <w:vAlign w:val="center"/>
          </w:tcPr>
          <w:p>
            <w:pPr>
              <w:keepNext/>
              <w:spacing w:after="40" w:line="240" w:lineRule="auto"/>
            </w:pPr>
            <w:r>
              <w:rPr>
                <w:rFonts w:ascii="Arial" w:hAnsi="Arial"/>
                <w:color w:val="000000"/>
                <w:sz w:val="18"/>
              </w:rPr>
              <w:t>Defined urban corridors and departure periods</w:t>
            </w:r>
          </w:p>
        </w:tc>
        <w:tc>
          <w:tcPr>
            <w:tcW w:type="dxa" w:w="2835"/>
            <w:vAlign w:val="center"/>
          </w:tcPr>
          <w:p>
            <w:pPr>
              <w:keepNext/>
              <w:spacing w:after="40" w:line="240" w:lineRule="auto"/>
            </w:pPr>
            <w:r>
              <w:rPr>
                <w:rFonts w:ascii="Arial" w:hAnsi="Arial"/>
                <w:color w:val="000000"/>
                <w:sz w:val="18"/>
              </w:rPr>
              <w:t>Public endpoints; rotating bounded schedule</w:t>
            </w:r>
          </w:p>
        </w:tc>
      </w:tr>
      <w:tr>
        <w:trPr>
          <w:cantSplit/>
        </w:trPr>
        <w:tc>
          <w:tcPr>
            <w:tcW w:type="dxa" w:w="1191"/>
            <w:vAlign w:val="center"/>
          </w:tcPr>
          <w:p>
            <w:pPr>
              <w:keepNext/>
              <w:spacing w:after="40" w:line="240" w:lineRule="auto"/>
            </w:pPr>
            <w:r>
              <w:rPr>
                <w:rFonts w:ascii="Arial" w:hAnsi="Arial"/>
                <w:color w:val="000000"/>
                <w:sz w:val="18"/>
              </w:rPr>
              <w:t>Instrument</w:t>
            </w:r>
          </w:p>
        </w:tc>
        <w:tc>
          <w:tcPr>
            <w:tcW w:type="dxa" w:w="1984"/>
            <w:vAlign w:val="center"/>
          </w:tcPr>
          <w:p>
            <w:pPr>
              <w:keepNext/>
              <w:spacing w:after="40" w:line="240" w:lineRule="auto"/>
            </w:pPr>
            <w:r>
              <w:rPr>
                <w:rFonts w:ascii="Arial" w:hAnsi="Arial"/>
                <w:color w:val="000000"/>
                <w:sz w:val="18"/>
              </w:rPr>
              <w:t>Team; informed by Fu et al. (2023)</w:t>
            </w:r>
          </w:p>
        </w:tc>
        <w:tc>
          <w:tcPr>
            <w:tcW w:type="dxa" w:w="1191"/>
            <w:vAlign w:val="center"/>
          </w:tcPr>
          <w:p>
            <w:pPr>
              <w:keepNext/>
              <w:spacing w:after="40" w:line="240" w:lineRule="auto"/>
            </w:pPr>
            <w:r>
              <w:rPr>
                <w:rFonts w:ascii="Arial" w:hAnsi="Arial"/>
                <w:color w:val="000000"/>
                <w:sz w:val="18"/>
              </w:rPr>
              <w:t>Self-developed</w:t>
            </w:r>
          </w:p>
        </w:tc>
        <w:tc>
          <w:tcPr>
            <w:tcW w:type="dxa" w:w="2438"/>
            <w:vAlign w:val="center"/>
          </w:tcPr>
          <w:p>
            <w:pPr>
              <w:keepNext/>
              <w:spacing w:after="40" w:line="240" w:lineRule="auto"/>
            </w:pPr>
            <w:r>
              <w:rPr>
                <w:rFonts w:ascii="Arial" w:hAnsi="Arial"/>
                <w:color w:val="000000"/>
                <w:sz w:val="18"/>
              </w:rPr>
              <w:t>Programmatic route estimates</w:t>
            </w:r>
          </w:p>
        </w:tc>
        <w:tc>
          <w:tcPr>
            <w:tcW w:type="dxa" w:w="2835"/>
            <w:vAlign w:val="center"/>
          </w:tcPr>
          <w:p>
            <w:pPr>
              <w:keepNext/>
              <w:spacing w:after="40" w:line="240" w:lineRule="auto"/>
            </w:pPr>
            <w:r>
              <w:rPr>
                <w:rFonts w:ascii="Arial" w:hAnsi="Arial"/>
                <w:color w:val="000000"/>
                <w:sz w:val="18"/>
              </w:rPr>
              <w:t>Schema audit, failures, quotas and publication gate</w:t>
            </w:r>
          </w:p>
        </w:tc>
      </w:tr>
      <w:tr>
        <w:trPr>
          <w:cantSplit/>
        </w:trPr>
        <w:tc>
          <w:tcPr>
            <w:tcW w:type="dxa" w:w="1191"/>
            <w:vAlign w:val="center"/>
          </w:tcPr>
          <w:p>
            <w:pPr>
              <w:keepNext/>
              <w:spacing w:after="40" w:line="240" w:lineRule="auto"/>
            </w:pPr>
            <w:r>
              <w:rPr>
                <w:rFonts w:ascii="Arial" w:hAnsi="Arial"/>
                <w:color w:val="000000"/>
                <w:sz w:val="18"/>
              </w:rPr>
              <w:t>Scales or items</w:t>
            </w:r>
          </w:p>
        </w:tc>
        <w:tc>
          <w:tcPr>
            <w:tcW w:type="dxa" w:w="1984"/>
            <w:vAlign w:val="center"/>
          </w:tcPr>
          <w:p>
            <w:pPr>
              <w:keepNext/>
              <w:spacing w:after="40" w:line="240" w:lineRule="auto"/>
            </w:pPr>
            <w:r>
              <w:rPr>
                <w:rFonts w:ascii="Arial" w:hAnsi="Arial"/>
                <w:color w:val="000000"/>
                <w:sz w:val="18"/>
              </w:rPr>
              <w:t>Not applicable</w:t>
            </w:r>
          </w:p>
        </w:tc>
        <w:tc>
          <w:tcPr>
            <w:tcW w:type="dxa" w:w="1191"/>
            <w:vAlign w:val="center"/>
          </w:tcPr>
          <w:p>
            <w:pPr>
              <w:keepNext/>
              <w:spacing w:after="40" w:line="240" w:lineRule="auto"/>
            </w:pPr>
            <w:r>
              <w:rPr>
                <w:rFonts w:ascii="Arial" w:hAnsi="Arial"/>
                <w:color w:val="000000"/>
                <w:sz w:val="18"/>
              </w:rPr>
              <w:t>Not applicable</w:t>
            </w:r>
          </w:p>
        </w:tc>
        <w:tc>
          <w:tcPr>
            <w:tcW w:type="dxa" w:w="2438"/>
            <w:vAlign w:val="center"/>
          </w:tcPr>
          <w:p>
            <w:pPr>
              <w:keepNext/>
              <w:spacing w:after="40" w:line="240" w:lineRule="auto"/>
            </w:pPr>
            <w:r>
              <w:rPr>
                <w:rFonts w:ascii="Arial" w:hAnsi="Arial"/>
                <w:color w:val="000000"/>
                <w:sz w:val="18"/>
              </w:rPr>
              <w:t>No questionnaire or psychometric scale</w:t>
            </w:r>
          </w:p>
        </w:tc>
        <w:tc>
          <w:tcPr>
            <w:tcW w:type="dxa" w:w="2835"/>
            <w:vAlign w:val="center"/>
          </w:tcPr>
          <w:p>
            <w:pPr>
              <w:keepNext/>
              <w:spacing w:after="40" w:line="240" w:lineRule="auto"/>
            </w:pPr>
            <w:r>
              <w:rPr>
                <w:rFonts w:ascii="Arial" w:hAnsi="Arial"/>
                <w:color w:val="000000"/>
                <w:sz w:val="18"/>
              </w:rPr>
              <w:t>Numerical measures operationalized in Segment 1</w:t>
            </w:r>
          </w:p>
        </w:tc>
      </w:tr>
      <w:tr>
        <w:trPr>
          <w:cantSplit/>
        </w:trPr>
        <w:tc>
          <w:tcPr>
            <w:tcW w:type="dxa" w:w="1191"/>
            <w:vAlign w:val="center"/>
          </w:tcPr>
          <w:p>
            <w:pPr>
              <w:keepNext/>
              <w:spacing w:after="40" w:line="240" w:lineRule="auto"/>
            </w:pPr>
            <w:r>
              <w:rPr>
                <w:rFonts w:ascii="Arial" w:hAnsi="Arial"/>
                <w:color w:val="000000"/>
                <w:sz w:val="18"/>
              </w:rPr>
              <w:t>Metrics</w:t>
            </w:r>
          </w:p>
        </w:tc>
        <w:tc>
          <w:tcPr>
            <w:tcW w:type="dxa" w:w="1984"/>
            <w:vAlign w:val="center"/>
          </w:tcPr>
          <w:p>
            <w:pPr>
              <w:keepNext/>
              <w:spacing w:after="40" w:line="240" w:lineRule="auto"/>
            </w:pPr>
            <w:r>
              <w:rPr>
                <w:rFonts w:ascii="Arial" w:hAnsi="Arial"/>
                <w:color w:val="000000"/>
                <w:sz w:val="18"/>
              </w:rPr>
              <w:t>Hodson (2022)</w:t>
            </w:r>
          </w:p>
        </w:tc>
        <w:tc>
          <w:tcPr>
            <w:tcW w:type="dxa" w:w="1191"/>
            <w:vAlign w:val="center"/>
          </w:tcPr>
          <w:p>
            <w:pPr>
              <w:keepNext/>
              <w:spacing w:after="40" w:line="240" w:lineRule="auto"/>
            </w:pPr>
            <w:r>
              <w:rPr>
                <w:rFonts w:ascii="Arial" w:hAnsi="Arial"/>
                <w:color w:val="000000"/>
                <w:sz w:val="18"/>
              </w:rPr>
              <w:t>Adapted</w:t>
            </w:r>
          </w:p>
        </w:tc>
        <w:tc>
          <w:tcPr>
            <w:tcW w:type="dxa" w:w="2438"/>
            <w:vAlign w:val="center"/>
          </w:tcPr>
          <w:p>
            <w:pPr>
              <w:keepNext/>
              <w:spacing w:after="40" w:line="240" w:lineRule="auto"/>
            </w:pPr>
            <w:r>
              <w:rPr>
                <w:rFonts w:ascii="Arial" w:hAnsi="Arial"/>
                <w:color w:val="000000"/>
                <w:sz w:val="18"/>
              </w:rPr>
              <w:t>Absolute and squared difference summaries</w:t>
            </w:r>
          </w:p>
        </w:tc>
        <w:tc>
          <w:tcPr>
            <w:tcW w:type="dxa" w:w="2835"/>
            <w:vAlign w:val="center"/>
          </w:tcPr>
          <w:p>
            <w:pPr>
              <w:keepNext/>
              <w:spacing w:after="40" w:line="240" w:lineRule="auto"/>
            </w:pPr>
            <w:r>
              <w:rPr>
                <w:rFonts w:ascii="Arial" w:hAnsi="Arial"/>
                <w:color w:val="000000"/>
                <w:sz w:val="18"/>
              </w:rPr>
              <w:t>Agreement interpretation; neither provider is truth</w:t>
            </w:r>
          </w:p>
        </w:tc>
      </w:tr>
      <w:tr>
        <w:trPr>
          <w:cantSplit/>
        </w:trPr>
        <w:tc>
          <w:tcPr>
            <w:tcW w:type="dxa" w:w="1191"/>
            <w:vAlign w:val="center"/>
          </w:tcPr>
          <w:p>
            <w:pPr>
              <w:keepNext w:val="0"/>
              <w:spacing w:after="40" w:line="240" w:lineRule="auto"/>
            </w:pPr>
            <w:r>
              <w:rPr>
                <w:rFonts w:ascii="Arial" w:hAnsi="Arial"/>
                <w:color w:val="000000"/>
                <w:sz w:val="18"/>
              </w:rPr>
              <w:t>Dataset</w:t>
            </w:r>
          </w:p>
        </w:tc>
        <w:tc>
          <w:tcPr>
            <w:tcW w:type="dxa" w:w="1984"/>
            <w:vAlign w:val="center"/>
          </w:tcPr>
          <w:p>
            <w:pPr>
              <w:keepNext w:val="0"/>
              <w:spacing w:after="40" w:line="240" w:lineRule="auto"/>
            </w:pPr>
            <w:r>
              <w:rPr>
                <w:rFonts w:ascii="Arial" w:hAnsi="Arial"/>
                <w:color w:val="000000"/>
                <w:sz w:val="18"/>
              </w:rPr>
              <w:t>Team collection</w:t>
            </w:r>
          </w:p>
        </w:tc>
        <w:tc>
          <w:tcPr>
            <w:tcW w:type="dxa" w:w="1191"/>
            <w:vAlign w:val="center"/>
          </w:tcPr>
          <w:p>
            <w:pPr>
              <w:keepNext w:val="0"/>
              <w:spacing w:after="40" w:line="240" w:lineRule="auto"/>
            </w:pPr>
            <w:r>
              <w:rPr>
                <w:rFonts w:ascii="Arial" w:hAnsi="Arial"/>
                <w:color w:val="000000"/>
                <w:sz w:val="18"/>
              </w:rPr>
              <w:t>Self-developed</w:t>
            </w:r>
          </w:p>
        </w:tc>
        <w:tc>
          <w:tcPr>
            <w:tcW w:type="dxa" w:w="2438"/>
            <w:vAlign w:val="center"/>
          </w:tcPr>
          <w:p>
            <w:pPr>
              <w:keepNext w:val="0"/>
              <w:spacing w:after="40" w:line="240" w:lineRule="auto"/>
            </w:pPr>
            <w:r>
              <w:rPr>
                <w:rFonts w:ascii="Arial" w:hAnsi="Arial"/>
                <w:color w:val="000000"/>
                <w:sz w:val="18"/>
              </w:rPr>
              <w:t>No published dataset copied</w:t>
            </w:r>
          </w:p>
        </w:tc>
        <w:tc>
          <w:tcPr>
            <w:tcW w:type="dxa" w:w="2835"/>
            <w:vAlign w:val="center"/>
          </w:tcPr>
          <w:p>
            <w:pPr>
              <w:keepNext w:val="0"/>
              <w:spacing w:after="40" w:line="240" w:lineRule="auto"/>
            </w:pPr>
            <w:r>
              <w:rPr>
                <w:rFonts w:ascii="Arial" w:hAnsi="Arial"/>
                <w:color w:val="000000"/>
                <w:sz w:val="18"/>
              </w:rPr>
              <w:t>Public-coordinate ORS estimates with recorded provenance</w:t>
            </w:r>
          </w:p>
        </w:tc>
      </w:tr>
    </w:tbl>
    <w:p>
      <w:pPr>
        <w:spacing w:after="20"/>
      </w:pPr>
    </w:p>
    <w:p>
      <w:pPr>
        <w:pStyle w:val="Heading2"/>
      </w:pPr>
      <w:r>
        <w:t>T2 Replication status</w:t>
      </w:r>
    </w:p>
    <w:p>
      <w:pPr>
        <w:widowControl/>
      </w:pPr>
      <w:r>
        <w:rPr>
          <w:rFonts w:ascii="Arial" w:hAnsi="Arial"/>
          <w:color w:val="000000"/>
        </w:rPr>
        <w:t>This is an original study informed by earlier methods, rather than a full or partial replication of one published protocol. The team combines its question, route set, collection controls and evidence pipeline. No paper supplies an exact template whose result is being reproduced. Derrow-Pinion et al. (2021) and Soon et al. (2023) provide forecasting context, not evidence that the reviewed providers deploy identical algorithms. The ten-paper Assignment 2 corpus is retained so that design provenance remains traceable without claiming implementation details that those sources do not establish.</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928"/>
        <w:gridCol w:w="7710"/>
      </w:tblGrid>
      <w:tr>
        <w:trPr>
          <w:tblHeader/>
          <w:cantSplit/>
        </w:trPr>
        <w:tc>
          <w:tcPr>
            <w:tcW w:type="dxa" w:w="1928"/>
            <w:vAlign w:val="center"/>
            <w:shd w:fill="EAEAEA"/>
          </w:tcPr>
          <w:p>
            <w:pPr>
              <w:keepNext/>
              <w:spacing w:after="40" w:line="240" w:lineRule="auto"/>
            </w:pPr>
            <w:r>
              <w:rPr>
                <w:rFonts w:ascii="Arial" w:hAnsi="Arial"/>
                <w:b/>
                <w:color w:val="000000"/>
                <w:sz w:val="18"/>
              </w:rPr>
              <w:t>Declaration</w:t>
            </w:r>
          </w:p>
        </w:tc>
        <w:tc>
          <w:tcPr>
            <w:tcW w:type="dxa" w:w="7710"/>
            <w:vAlign w:val="center"/>
            <w:shd w:fill="EAEAEA"/>
          </w:tcPr>
          <w:p>
            <w:pPr>
              <w:keepNext/>
              <w:spacing w:after="40" w:line="240" w:lineRule="auto"/>
            </w:pPr>
            <w:r>
              <w:rPr>
                <w:rFonts w:ascii="Arial" w:hAnsi="Arial"/>
                <w:b/>
                <w:color w:val="000000"/>
                <w:sz w:val="18"/>
              </w:rPr>
              <w:t>What was developed</w:t>
            </w:r>
          </w:p>
        </w:tc>
      </w:tr>
      <w:tr>
        <w:trPr>
          <w:cantSplit/>
        </w:trPr>
        <w:tc>
          <w:tcPr>
            <w:tcW w:type="dxa" w:w="1928"/>
            <w:vAlign w:val="center"/>
          </w:tcPr>
          <w:p>
            <w:pPr>
              <w:keepNext w:val="0"/>
              <w:spacing w:after="40" w:line="240" w:lineRule="auto"/>
            </w:pPr>
            <w:r>
              <w:rPr>
                <w:rFonts w:ascii="Arial" w:hAnsi="Arial"/>
                <w:color w:val="000000"/>
                <w:sz w:val="18"/>
              </w:rPr>
              <w:t>Original study</w:t>
            </w:r>
          </w:p>
        </w:tc>
        <w:tc>
          <w:tcPr>
            <w:tcW w:type="dxa" w:w="7710"/>
            <w:vAlign w:val="center"/>
          </w:tcPr>
          <w:p>
            <w:pPr>
              <w:keepNext w:val="0"/>
              <w:spacing w:after="40" w:line="240" w:lineRule="auto"/>
            </w:pPr>
            <w:r>
              <w:rPr>
                <w:rFonts w:ascii="Arial" w:hAnsi="Arial"/>
                <w:color w:val="000000"/>
                <w:sz w:val="18"/>
              </w:rPr>
              <w:t>Astana question, purposive sample, auditable collection instrument and descriptive analysis. No single published study was used as the replication template.</w:t>
            </w:r>
          </w:p>
        </w:tc>
      </w:tr>
    </w:tbl>
    <w:p>
      <w:pPr>
        <w:spacing w:after="20"/>
      </w:pPr>
    </w:p>
    <w:p>
      <w:pPr>
        <w:pStyle w:val="Heading2"/>
      </w:pPr>
      <w:r>
        <w:t>T3 Your research is original study</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38"/>
        <w:gridCol w:w="7200"/>
      </w:tblGrid>
      <w:tr>
        <w:trPr>
          <w:tblHeader/>
          <w:cantSplit/>
        </w:trPr>
        <w:tc>
          <w:tcPr>
            <w:tcW w:type="dxa" w:w="2438"/>
            <w:vAlign w:val="center"/>
            <w:shd w:fill="EAEAEA"/>
          </w:tcPr>
          <w:p>
            <w:pPr>
              <w:keepNext/>
              <w:spacing w:after="40" w:line="240" w:lineRule="auto"/>
            </w:pPr>
            <w:r>
              <w:rPr>
                <w:rFonts w:ascii="Arial" w:hAnsi="Arial"/>
                <w:b/>
                <w:color w:val="000000"/>
                <w:sz w:val="18"/>
              </w:rPr>
              <w:t>Element</w:t>
            </w:r>
          </w:p>
        </w:tc>
        <w:tc>
          <w:tcPr>
            <w:tcW w:type="dxa" w:w="7200"/>
            <w:vAlign w:val="center"/>
            <w:shd w:fill="EAEAEA"/>
          </w:tcPr>
          <w:p>
            <w:pPr>
              <w:keepNext/>
              <w:spacing w:after="40" w:line="240" w:lineRule="auto"/>
            </w:pPr>
            <w:r>
              <w:rPr>
                <w:rFonts w:ascii="Arial" w:hAnsi="Arial"/>
                <w:b/>
                <w:color w:val="000000"/>
                <w:sz w:val="18"/>
              </w:rPr>
              <w:t>Entry</w:t>
            </w:r>
          </w:p>
        </w:tc>
      </w:tr>
      <w:tr>
        <w:trPr>
          <w:cantSplit/>
        </w:trPr>
        <w:tc>
          <w:tcPr>
            <w:tcW w:type="dxa" w:w="2438"/>
            <w:vAlign w:val="center"/>
          </w:tcPr>
          <w:p>
            <w:pPr>
              <w:keepNext/>
              <w:spacing w:after="40" w:line="240" w:lineRule="auto"/>
            </w:pPr>
            <w:r>
              <w:rPr>
                <w:rFonts w:ascii="Arial" w:hAnsi="Arial"/>
                <w:color w:val="000000"/>
                <w:sz w:val="18"/>
              </w:rPr>
              <w:t>Question or hypothesis</w:t>
            </w:r>
          </w:p>
        </w:tc>
        <w:tc>
          <w:tcPr>
            <w:tcW w:type="dxa" w:w="7200"/>
            <w:vAlign w:val="center"/>
          </w:tcPr>
          <w:p>
            <w:pPr>
              <w:keepNext/>
              <w:spacing w:after="40" w:line="240" w:lineRule="auto"/>
            </w:pPr>
            <w:r>
              <w:rPr>
                <w:rFonts w:ascii="Arial" w:hAnsi="Arial"/>
                <w:color w:val="000000"/>
                <w:sz w:val="18"/>
              </w:rPr>
              <w:t>How do TomTom and 2GIS traffic-aware travel-time estimates diverge on fixed Astana routes during evening peak compared with off-peak periods?</w:t>
              <w:br/>
              <w:t>H1: The magnitude of provider disagreement is greater during evening peak than off-peak periods.</w:t>
              <w:br/>
              <w:t>H0: The magnitude of provider disagreement does not differ between periods.</w:t>
            </w:r>
          </w:p>
        </w:tc>
      </w:tr>
      <w:tr>
        <w:trPr>
          <w:cantSplit/>
        </w:trPr>
        <w:tc>
          <w:tcPr>
            <w:tcW w:type="dxa" w:w="2438"/>
            <w:vAlign w:val="center"/>
          </w:tcPr>
          <w:p>
            <w:pPr>
              <w:keepNext/>
              <w:spacing w:after="40" w:line="240" w:lineRule="auto"/>
            </w:pPr>
            <w:r>
              <w:rPr>
                <w:rFonts w:ascii="Arial" w:hAnsi="Arial"/>
                <w:color w:val="000000"/>
                <w:sz w:val="18"/>
              </w:rPr>
              <w:t>Methodology and design</w:t>
            </w:r>
          </w:p>
        </w:tc>
        <w:tc>
          <w:tcPr>
            <w:tcW w:type="dxa" w:w="7200"/>
            <w:vAlign w:val="center"/>
          </w:tcPr>
          <w:p>
            <w:pPr>
              <w:keepNext/>
              <w:spacing w:after="40" w:line="240" w:lineRule="auto"/>
            </w:pPr>
            <w:r>
              <w:rPr>
                <w:rFonts w:ascii="Arial" w:hAnsi="Arial"/>
                <w:color w:val="000000"/>
                <w:sz w:val="18"/>
              </w:rPr>
              <w:t>Observational repeated secondary-data comparison; ORS-only instrument pilot executed</w:t>
            </w:r>
          </w:p>
        </w:tc>
      </w:tr>
      <w:tr>
        <w:trPr>
          <w:cantSplit/>
        </w:trPr>
        <w:tc>
          <w:tcPr>
            <w:tcW w:type="dxa" w:w="2438"/>
            <w:vAlign w:val="center"/>
          </w:tcPr>
          <w:p>
            <w:pPr>
              <w:keepNext/>
              <w:spacing w:after="40" w:line="240" w:lineRule="auto"/>
            </w:pPr>
            <w:r>
              <w:rPr>
                <w:rFonts w:ascii="Arial" w:hAnsi="Arial"/>
                <w:color w:val="000000"/>
                <w:sz w:val="18"/>
              </w:rPr>
              <w:t>Population, sample and size</w:t>
            </w:r>
          </w:p>
        </w:tc>
        <w:tc>
          <w:tcPr>
            <w:tcW w:type="dxa" w:w="7200"/>
            <w:vAlign w:val="center"/>
          </w:tcPr>
          <w:p>
            <w:pPr>
              <w:keepNext/>
              <w:spacing w:after="40" w:line="240" w:lineRule="auto"/>
            </w:pPr>
            <w:r>
              <w:rPr>
                <w:rFonts w:ascii="Arial" w:hAnsi="Arial"/>
                <w:color w:val="000000"/>
                <w:sz w:val="18"/>
              </w:rPr>
              <w:t>20 fixed Astana OD routes; 64 unique ORS requests at snapshot</w:t>
            </w:r>
          </w:p>
        </w:tc>
      </w:tr>
      <w:tr>
        <w:trPr>
          <w:cantSplit/>
        </w:trPr>
        <w:tc>
          <w:tcPr>
            <w:tcW w:type="dxa" w:w="2438"/>
            <w:vAlign w:val="center"/>
          </w:tcPr>
          <w:p>
            <w:pPr>
              <w:keepNext/>
              <w:spacing w:after="40" w:line="240" w:lineRule="auto"/>
            </w:pPr>
            <w:r>
              <w:rPr>
                <w:rFonts w:ascii="Arial" w:hAnsi="Arial"/>
                <w:color w:val="000000"/>
                <w:sz w:val="18"/>
              </w:rPr>
              <w:t>Instrument</w:t>
            </w:r>
          </w:p>
        </w:tc>
        <w:tc>
          <w:tcPr>
            <w:tcW w:type="dxa" w:w="7200"/>
            <w:vAlign w:val="center"/>
          </w:tcPr>
          <w:p>
            <w:pPr>
              <w:keepNext/>
              <w:spacing w:after="40" w:line="240" w:lineRule="auto"/>
            </w:pPr>
            <w:r>
              <w:rPr>
                <w:rFonts w:ascii="Arial" w:hAnsi="Arial"/>
                <w:color w:val="000000"/>
                <w:sz w:val="18"/>
              </w:rPr>
              <w:t>Versioned collector, route CSV, configuration and raw request records</w:t>
            </w:r>
          </w:p>
        </w:tc>
      </w:tr>
      <w:tr>
        <w:trPr>
          <w:cantSplit/>
        </w:trPr>
        <w:tc>
          <w:tcPr>
            <w:tcW w:type="dxa" w:w="2438"/>
            <w:vAlign w:val="center"/>
          </w:tcPr>
          <w:p>
            <w:pPr>
              <w:keepNext/>
              <w:spacing w:after="40" w:line="240" w:lineRule="auto"/>
            </w:pPr>
            <w:r>
              <w:rPr>
                <w:rFonts w:ascii="Arial" w:hAnsi="Arial"/>
                <w:color w:val="000000"/>
                <w:sz w:val="18"/>
              </w:rPr>
              <w:t>Technical procedure</w:t>
            </w:r>
          </w:p>
        </w:tc>
        <w:tc>
          <w:tcPr>
            <w:tcW w:type="dxa" w:w="7200"/>
            <w:vAlign w:val="center"/>
          </w:tcPr>
          <w:p>
            <w:pPr>
              <w:keepNext/>
              <w:spacing w:after="40" w:line="240" w:lineRule="auto"/>
            </w:pPr>
            <w:r>
              <w:rPr>
                <w:rFonts w:ascii="Arial" w:hAnsi="Arial"/>
                <w:color w:val="000000"/>
                <w:sz w:val="18"/>
              </w:rPr>
              <w:t>HTTP requests with timeout and no redirects; recorded errors; immutable raw inputs</w:t>
            </w:r>
          </w:p>
        </w:tc>
      </w:tr>
      <w:tr>
        <w:trPr>
          <w:cantSplit/>
        </w:trPr>
        <w:tc>
          <w:tcPr>
            <w:tcW w:type="dxa" w:w="2438"/>
            <w:vAlign w:val="center"/>
          </w:tcPr>
          <w:p>
            <w:pPr>
              <w:keepNext/>
              <w:spacing w:after="40" w:line="240" w:lineRule="auto"/>
            </w:pPr>
            <w:r>
              <w:rPr>
                <w:rFonts w:ascii="Arial" w:hAnsi="Arial"/>
                <w:color w:val="000000"/>
                <w:sz w:val="18"/>
              </w:rPr>
              <w:t>Analysis</w:t>
            </w:r>
          </w:p>
        </w:tc>
        <w:tc>
          <w:tcPr>
            <w:tcW w:type="dxa" w:w="7200"/>
            <w:vAlign w:val="center"/>
          </w:tcPr>
          <w:p>
            <w:pPr>
              <w:keepNext/>
              <w:spacing w:after="40" w:line="240" w:lineRule="auto"/>
            </w:pPr>
            <w:r>
              <w:rPr>
                <w:rFonts w:ascii="Arial" w:hAnsi="Arial"/>
                <w:color w:val="000000"/>
                <w:sz w:val="18"/>
              </w:rPr>
              <w:t>Validation, missingness and descriptive instrument summaries; paired metrics defined prospectively</w:t>
            </w:r>
          </w:p>
        </w:tc>
      </w:tr>
      <w:tr>
        <w:trPr>
          <w:cantSplit/>
        </w:trPr>
        <w:tc>
          <w:tcPr>
            <w:tcW w:type="dxa" w:w="2438"/>
            <w:vAlign w:val="center"/>
          </w:tcPr>
          <w:p>
            <w:pPr>
              <w:keepNext w:val="0"/>
              <w:spacing w:after="40" w:line="240" w:lineRule="auto"/>
            </w:pPr>
            <w:r>
              <w:rPr>
                <w:rFonts w:ascii="Arial" w:hAnsi="Arial"/>
                <w:color w:val="000000"/>
                <w:sz w:val="18"/>
              </w:rPr>
              <w:t>Main reported result</w:t>
            </w:r>
          </w:p>
        </w:tc>
        <w:tc>
          <w:tcPr>
            <w:tcW w:type="dxa" w:w="7200"/>
            <w:vAlign w:val="center"/>
          </w:tcPr>
          <w:p>
            <w:pPr>
              <w:keepNext w:val="0"/>
              <w:spacing w:after="40" w:line="240" w:lineRule="auto"/>
            </w:pPr>
            <w:r>
              <w:rPr>
                <w:rFonts w:ascii="Arial" w:hAnsi="Arial"/>
                <w:color w:val="000000"/>
                <w:sz w:val="18"/>
              </w:rPr>
              <w:t>64 usable ORS observations; primary traffic comparison not performed</w:t>
            </w:r>
          </w:p>
        </w:tc>
      </w:tr>
    </w:tbl>
    <w:p>
      <w:pPr>
        <w:spacing w:after="20"/>
      </w:pPr>
    </w:p>
    <w:p>
      <w:pPr>
        <w:pStyle w:val="Heading2"/>
      </w:pPr>
      <w:r>
        <w:t>T4 Your research is partial replication</w:t>
      </w:r>
    </w:p>
    <w:p>
      <w:pPr>
        <w:widowControl/>
      </w:pPr>
      <w:r>
        <w:rPr>
          <w:rFonts w:ascii="Arial" w:hAnsi="Arial"/>
          <w:color w:val="000000"/>
        </w:rPr>
        <w:t>Not applicable. No partial-replication claim is made; adaptations are declared in the provenance table.</w:t>
      </w:r>
    </w:p>
    <w:p>
      <w:pPr>
        <w:pStyle w:val="Heading1"/>
      </w:pPr>
      <w:r>
        <w:t>Segment 3. Research Evidence</w:t>
      </w:r>
    </w:p>
    <w:p>
      <w:pPr>
        <w:pStyle w:val="Heading2"/>
      </w:pPr>
      <w:r>
        <w:t>T1 Instrument register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304"/>
        <w:gridCol w:w="1304"/>
        <w:gridCol w:w="2324"/>
        <w:gridCol w:w="4706"/>
      </w:tblGrid>
      <w:tr>
        <w:trPr>
          <w:tblHeader/>
          <w:cantSplit/>
        </w:trPr>
        <w:tc>
          <w:tcPr>
            <w:tcW w:type="dxa" w:w="1304"/>
            <w:vAlign w:val="center"/>
            <w:shd w:fill="EAEAEA"/>
          </w:tcPr>
          <w:p>
            <w:pPr>
              <w:keepNext/>
              <w:spacing w:after="40" w:line="240" w:lineRule="auto"/>
            </w:pPr>
            <w:r>
              <w:rPr>
                <w:rFonts w:ascii="Arial" w:hAnsi="Arial"/>
                <w:b/>
                <w:color w:val="000000"/>
                <w:sz w:val="18"/>
              </w:rPr>
              <w:t>Instrument</w:t>
            </w:r>
          </w:p>
        </w:tc>
        <w:tc>
          <w:tcPr>
            <w:tcW w:type="dxa" w:w="1304"/>
            <w:vAlign w:val="center"/>
            <w:shd w:fill="EAEAEA"/>
          </w:tcPr>
          <w:p>
            <w:pPr>
              <w:keepNext/>
              <w:spacing w:after="40" w:line="240" w:lineRule="auto"/>
            </w:pPr>
            <w:r>
              <w:rPr>
                <w:rFonts w:ascii="Arial" w:hAnsi="Arial"/>
                <w:b/>
                <w:color w:val="000000"/>
                <w:sz w:val="18"/>
              </w:rPr>
              <w:t>Platform</w:t>
            </w:r>
          </w:p>
        </w:tc>
        <w:tc>
          <w:tcPr>
            <w:tcW w:type="dxa" w:w="2324"/>
            <w:vAlign w:val="center"/>
            <w:shd w:fill="EAEAEA"/>
          </w:tcPr>
          <w:p>
            <w:pPr>
              <w:keepNext/>
              <w:spacing w:after="40" w:line="240" w:lineRule="auto"/>
            </w:pPr>
            <w:r>
              <w:rPr>
                <w:rFonts w:ascii="Arial" w:hAnsi="Arial"/>
                <w:b/>
                <w:color w:val="000000"/>
                <w:sz w:val="18"/>
              </w:rPr>
              <w:t>Collects or defines</w:t>
            </w:r>
          </w:p>
        </w:tc>
        <w:tc>
          <w:tcPr>
            <w:tcW w:type="dxa" w:w="4706"/>
            <w:vAlign w:val="center"/>
            <w:shd w:fill="EAEAEA"/>
          </w:tcPr>
          <w:p>
            <w:pPr>
              <w:keepNext/>
              <w:spacing w:after="40" w:line="240" w:lineRule="auto"/>
            </w:pPr>
            <w:r>
              <w:rPr>
                <w:rFonts w:ascii="Arial" w:hAnsi="Arial"/>
                <w:b/>
                <w:color w:val="000000"/>
                <w:sz w:val="18"/>
              </w:rPr>
              <w:t>Public link</w:t>
            </w:r>
          </w:p>
        </w:tc>
      </w:tr>
      <w:tr>
        <w:trPr>
          <w:cantSplit/>
        </w:trPr>
        <w:tc>
          <w:tcPr>
            <w:tcW w:type="dxa" w:w="1304"/>
            <w:vAlign w:val="center"/>
          </w:tcPr>
          <w:p>
            <w:pPr>
              <w:keepNext/>
              <w:spacing w:after="40" w:line="240" w:lineRule="auto"/>
            </w:pPr>
            <w:r>
              <w:rPr>
                <w:rFonts w:ascii="Arial" w:hAnsi="Arial"/>
                <w:color w:val="000000"/>
                <w:sz w:val="18"/>
              </w:rPr>
              <w:t>Collector</w:t>
            </w:r>
          </w:p>
        </w:tc>
        <w:tc>
          <w:tcPr>
            <w:tcW w:type="dxa" w:w="1304"/>
            <w:vAlign w:val="center"/>
          </w:tcPr>
          <w:p>
            <w:pPr>
              <w:keepNext/>
              <w:spacing w:after="40" w:line="240" w:lineRule="auto"/>
            </w:pPr>
            <w:r>
              <w:rPr>
                <w:rFonts w:ascii="Arial" w:hAnsi="Arial"/>
                <w:color w:val="000000"/>
                <w:sz w:val="18"/>
              </w:rPr>
              <w:t>Python CLI</w:t>
            </w:r>
          </w:p>
        </w:tc>
        <w:tc>
          <w:tcPr>
            <w:tcW w:type="dxa" w:w="2324"/>
            <w:vAlign w:val="center"/>
          </w:tcPr>
          <w:p>
            <w:pPr>
              <w:keepNext/>
              <w:spacing w:after="40" w:line="240" w:lineRule="auto"/>
            </w:pPr>
            <w:r>
              <w:rPr>
                <w:rFonts w:ascii="Arial" w:hAnsi="Arial"/>
                <w:color w:val="000000"/>
                <w:sz w:val="18"/>
              </w:rPr>
              <w:t>Estimates, geometry, status and timing</w:t>
            </w:r>
          </w:p>
        </w:tc>
        <w:tc>
          <w:tcPr>
            <w:tcW w:type="dxa" w:w="4706"/>
            <w:vAlign w:val="center"/>
          </w:tcPr>
          <w:p>
            <w:pPr>
              <w:keepNext/>
              <w:spacing w:after="40" w:line="240" w:lineRule="auto"/>
            </w:pPr>
            <w:hyperlink r:id="rId24">
              <w:r>
                <w:rPr>
                  <w:color w:val="174B76"/>
                  <w:sz w:val="18"/>
                </w:rPr>
                <w:t>https://github.com/SuperFlyTK/rmt-a3-travel-time-astana/blob/main/collector/collect.py</w:t>
              </w:r>
            </w:hyperlink>
          </w:p>
        </w:tc>
      </w:tr>
      <w:tr>
        <w:trPr>
          <w:cantSplit/>
        </w:trPr>
        <w:tc>
          <w:tcPr>
            <w:tcW w:type="dxa" w:w="1304"/>
            <w:vAlign w:val="center"/>
          </w:tcPr>
          <w:p>
            <w:pPr>
              <w:keepNext/>
              <w:spacing w:after="40" w:line="240" w:lineRule="auto"/>
            </w:pPr>
            <w:r>
              <w:rPr>
                <w:rFonts w:ascii="Arial" w:hAnsi="Arial"/>
                <w:color w:val="000000"/>
                <w:sz w:val="18"/>
              </w:rPr>
              <w:t>Route register</w:t>
            </w:r>
          </w:p>
        </w:tc>
        <w:tc>
          <w:tcPr>
            <w:tcW w:type="dxa" w:w="1304"/>
            <w:vAlign w:val="center"/>
          </w:tcPr>
          <w:p>
            <w:pPr>
              <w:keepNext/>
              <w:spacing w:after="40" w:line="240" w:lineRule="auto"/>
            </w:pPr>
            <w:r>
              <w:rPr>
                <w:rFonts w:ascii="Arial" w:hAnsi="Arial"/>
                <w:color w:val="000000"/>
                <w:sz w:val="18"/>
              </w:rPr>
              <w:t>CSV</w:t>
            </w:r>
          </w:p>
        </w:tc>
        <w:tc>
          <w:tcPr>
            <w:tcW w:type="dxa" w:w="2324"/>
            <w:vAlign w:val="center"/>
          </w:tcPr>
          <w:p>
            <w:pPr>
              <w:keepNext/>
              <w:spacing w:after="40" w:line="240" w:lineRule="auto"/>
            </w:pPr>
            <w:r>
              <w:rPr>
                <w:rFonts w:ascii="Arial" w:hAnsi="Arial"/>
                <w:color w:val="000000"/>
                <w:sz w:val="18"/>
              </w:rPr>
              <w:t>Fixed OD coordinates and source links</w:t>
            </w:r>
          </w:p>
        </w:tc>
        <w:tc>
          <w:tcPr>
            <w:tcW w:type="dxa" w:w="4706"/>
            <w:vAlign w:val="center"/>
          </w:tcPr>
          <w:p>
            <w:pPr>
              <w:keepNext/>
              <w:spacing w:after="40" w:line="240" w:lineRule="auto"/>
            </w:pPr>
            <w:hyperlink r:id="rId12">
              <w:r>
                <w:rPr>
                  <w:color w:val="174B76"/>
                  <w:sz w:val="18"/>
                </w:rPr>
                <w:t>https://github.com/SuperFlyTK/rmt-a3-travel-time-astana/blob/main/data/routes.csv</w:t>
              </w:r>
            </w:hyperlink>
          </w:p>
        </w:tc>
      </w:tr>
      <w:tr>
        <w:trPr>
          <w:cantSplit/>
        </w:trPr>
        <w:tc>
          <w:tcPr>
            <w:tcW w:type="dxa" w:w="1304"/>
            <w:vAlign w:val="center"/>
          </w:tcPr>
          <w:p>
            <w:pPr>
              <w:keepNext/>
              <w:spacing w:after="40" w:line="240" w:lineRule="auto"/>
            </w:pPr>
            <w:r>
              <w:rPr>
                <w:rFonts w:ascii="Arial" w:hAnsi="Arial"/>
                <w:color w:val="000000"/>
                <w:sz w:val="18"/>
              </w:rPr>
              <w:t>Scheduled workflow</w:t>
            </w:r>
          </w:p>
        </w:tc>
        <w:tc>
          <w:tcPr>
            <w:tcW w:type="dxa" w:w="1304"/>
            <w:vAlign w:val="center"/>
          </w:tcPr>
          <w:p>
            <w:pPr>
              <w:keepNext/>
              <w:spacing w:after="40" w:line="240" w:lineRule="auto"/>
            </w:pPr>
            <w:r>
              <w:rPr>
                <w:rFonts w:ascii="Arial" w:hAnsi="Arial"/>
                <w:color w:val="000000"/>
                <w:sz w:val="18"/>
              </w:rPr>
              <w:t>GitHub Actions</w:t>
            </w:r>
          </w:p>
        </w:tc>
        <w:tc>
          <w:tcPr>
            <w:tcW w:type="dxa" w:w="2324"/>
            <w:vAlign w:val="center"/>
          </w:tcPr>
          <w:p>
            <w:pPr>
              <w:keepNext/>
              <w:spacing w:after="40" w:line="240" w:lineRule="auto"/>
            </w:pPr>
            <w:r>
              <w:rPr>
                <w:rFonts w:ascii="Arial" w:hAnsi="Arial"/>
                <w:color w:val="000000"/>
                <w:sz w:val="18"/>
              </w:rPr>
              <w:t>Bounded recurring collection and logs</w:t>
            </w:r>
          </w:p>
        </w:tc>
        <w:tc>
          <w:tcPr>
            <w:tcW w:type="dxa" w:w="4706"/>
            <w:vAlign w:val="center"/>
          </w:tcPr>
          <w:p>
            <w:pPr>
              <w:keepNext/>
              <w:spacing w:after="40" w:line="240" w:lineRule="auto"/>
            </w:pPr>
            <w:hyperlink r:id="rId25">
              <w:r>
                <w:rPr>
                  <w:color w:val="174B76"/>
                  <w:sz w:val="18"/>
                </w:rPr>
                <w:t>https://github.com/SuperFlyTK/rmt-a3-travel-time-astana/tree/main/.github/workflows</w:t>
              </w:r>
            </w:hyperlink>
          </w:p>
        </w:tc>
      </w:tr>
      <w:tr>
        <w:trPr>
          <w:cantSplit/>
        </w:trPr>
        <w:tc>
          <w:tcPr>
            <w:tcW w:type="dxa" w:w="1304"/>
            <w:vAlign w:val="center"/>
          </w:tcPr>
          <w:p>
            <w:pPr>
              <w:keepNext w:val="0"/>
              <w:spacing w:after="40" w:line="240" w:lineRule="auto"/>
            </w:pPr>
            <w:r>
              <w:rPr>
                <w:rFonts w:ascii="Arial" w:hAnsi="Arial"/>
                <w:color w:val="000000"/>
                <w:sz w:val="18"/>
              </w:rPr>
              <w:t>Processing</w:t>
            </w:r>
          </w:p>
        </w:tc>
        <w:tc>
          <w:tcPr>
            <w:tcW w:type="dxa" w:w="1304"/>
            <w:vAlign w:val="center"/>
          </w:tcPr>
          <w:p>
            <w:pPr>
              <w:keepNext w:val="0"/>
              <w:spacing w:after="40" w:line="240" w:lineRule="auto"/>
            </w:pPr>
            <w:r>
              <w:rPr>
                <w:rFonts w:ascii="Arial" w:hAnsi="Arial"/>
                <w:color w:val="000000"/>
                <w:sz w:val="18"/>
              </w:rPr>
              <w:t>Python</w:t>
            </w:r>
          </w:p>
        </w:tc>
        <w:tc>
          <w:tcPr>
            <w:tcW w:type="dxa" w:w="2324"/>
            <w:vAlign w:val="center"/>
          </w:tcPr>
          <w:p>
            <w:pPr>
              <w:keepNext w:val="0"/>
              <w:spacing w:after="40" w:line="240" w:lineRule="auto"/>
            </w:pPr>
            <w:r>
              <w:rPr>
                <w:rFonts w:ascii="Arial" w:hAnsi="Arial"/>
                <w:color w:val="000000"/>
                <w:sz w:val="18"/>
              </w:rPr>
              <w:t>Audited observations and descriptive summaries</w:t>
            </w:r>
          </w:p>
        </w:tc>
        <w:tc>
          <w:tcPr>
            <w:tcW w:type="dxa" w:w="4706"/>
            <w:vAlign w:val="center"/>
          </w:tcPr>
          <w:p>
            <w:pPr>
              <w:keepNext w:val="0"/>
              <w:spacing w:after="40" w:line="240" w:lineRule="auto"/>
            </w:pPr>
            <w:hyperlink r:id="rId26">
              <w:r>
                <w:rPr>
                  <w:color w:val="174B76"/>
                  <w:sz w:val="18"/>
                </w:rPr>
                <w:t>https://github.com/SuperFlyTK/rmt-a3-travel-time-astana/blob/main/analysis/process.py</w:t>
              </w:r>
            </w:hyperlink>
          </w:p>
        </w:tc>
      </w:tr>
    </w:tbl>
    <w:p>
      <w:pPr>
        <w:spacing w:after="20"/>
      </w:pPr>
    </w:p>
    <w:p>
      <w:pPr>
        <w:pStyle w:val="Heading2"/>
      </w:pPr>
      <w:r>
        <w:t>T2 Log journal and data storage</w:t>
      </w:r>
    </w:p>
    <w:p>
      <w:pPr>
        <w:widowControl/>
      </w:pPr>
      <w:r>
        <w:rPr>
          <w:rFonts w:ascii="Arial" w:hAnsi="Arial"/>
          <w:color w:val="000000"/>
        </w:rPr>
        <w:t>The storage layout separates original records from the working copy used for interpretation. Raw CSV rows retain source files and request identifiers; processing adds validation decisions instead of overwriting observations. A version manifest records input hashes and software versions. This makes a later report reproducible even when new scheduled records arrive. The research journal records what was done, by whom, what failed and what changed. The current report is a dated snapshot, while the processed observations and documented procedures form the evidence base for Assignment 4.</w:t>
      </w:r>
    </w:p>
    <w:p>
      <w:pPr>
        <w:widowControl/>
      </w:pPr>
      <w:r>
        <w:rPr>
          <w:rFonts w:ascii="Arial" w:hAnsi="Arial"/>
          <w:color w:val="000000"/>
        </w:rPr>
        <w:t xml:space="preserve">Exact snapshot reproduction uses frozen inputs rather than later arriving raw files. Follow the saved instructions and input hashes at </w:t>
      </w:r>
      <w:hyperlink r:id="rId27">
        <w:r>
          <w:rPr>
            <w:color w:val="174B76"/>
            <w:sz w:val="18"/>
          </w:rPr>
          <w:t>https://github.com/SuperFlyTK/rmt-a3-travel-time-astana/blob/main/docs/reproduce_report.md</w:t>
        </w:r>
      </w:hyperlink>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871"/>
        <w:gridCol w:w="7767"/>
      </w:tblGrid>
      <w:tr>
        <w:trPr>
          <w:tblHeader/>
          <w:cantSplit/>
        </w:trPr>
        <w:tc>
          <w:tcPr>
            <w:tcW w:type="dxa" w:w="1871"/>
            <w:vAlign w:val="center"/>
            <w:shd w:fill="EAEAEA"/>
          </w:tcPr>
          <w:p>
            <w:pPr>
              <w:keepNext/>
              <w:spacing w:after="40" w:line="240" w:lineRule="auto"/>
            </w:pPr>
            <w:r>
              <w:rPr>
                <w:rFonts w:ascii="Arial" w:hAnsi="Arial"/>
                <w:b/>
                <w:color w:val="000000"/>
                <w:sz w:val="18"/>
              </w:rPr>
              <w:t>Item</w:t>
            </w:r>
          </w:p>
        </w:tc>
        <w:tc>
          <w:tcPr>
            <w:tcW w:type="dxa" w:w="7767"/>
            <w:vAlign w:val="center"/>
            <w:shd w:fill="EAEAEA"/>
          </w:tcPr>
          <w:p>
            <w:pPr>
              <w:keepNext/>
              <w:spacing w:after="40" w:line="240" w:lineRule="auto"/>
            </w:pPr>
            <w:r>
              <w:rPr>
                <w:rFonts w:ascii="Arial" w:hAnsi="Arial"/>
                <w:b/>
                <w:color w:val="000000"/>
                <w:sz w:val="18"/>
              </w:rPr>
              <w:t>Location and purpose</w:t>
            </w:r>
          </w:p>
        </w:tc>
      </w:tr>
      <w:tr>
        <w:trPr>
          <w:cantSplit/>
        </w:trPr>
        <w:tc>
          <w:tcPr>
            <w:tcW w:type="dxa" w:w="1871"/>
            <w:vAlign w:val="center"/>
          </w:tcPr>
          <w:p>
            <w:pPr>
              <w:keepNext/>
              <w:spacing w:after="40" w:line="240" w:lineRule="auto"/>
            </w:pPr>
            <w:r>
              <w:rPr>
                <w:rFonts w:ascii="Arial" w:hAnsi="Arial"/>
                <w:color w:val="000000"/>
                <w:sz w:val="18"/>
              </w:rPr>
              <w:t>Research journal</w:t>
            </w:r>
          </w:p>
        </w:tc>
        <w:tc>
          <w:tcPr>
            <w:tcW w:type="dxa" w:w="7767"/>
            <w:vAlign w:val="center"/>
          </w:tcPr>
          <w:p>
            <w:pPr>
              <w:keepNext/>
              <w:spacing w:after="40" w:line="240" w:lineRule="auto"/>
            </w:pPr>
            <w:hyperlink r:id="rId28">
              <w:r>
                <w:rPr>
                  <w:color w:val="174B76"/>
                  <w:sz w:val="18"/>
                </w:rPr>
                <w:t>https://github.com/SuperFlyTK/rmt-a3-travel-time-astana/blob/main/docs/research_log.md</w:t>
              </w:r>
            </w:hyperlink>
          </w:p>
        </w:tc>
      </w:tr>
      <w:tr>
        <w:trPr>
          <w:cantSplit/>
        </w:trPr>
        <w:tc>
          <w:tcPr>
            <w:tcW w:type="dxa" w:w="1871"/>
            <w:vAlign w:val="center"/>
          </w:tcPr>
          <w:p>
            <w:pPr>
              <w:keepNext/>
              <w:spacing w:after="40" w:line="240" w:lineRule="auto"/>
            </w:pPr>
            <w:r>
              <w:rPr>
                <w:rFonts w:ascii="Arial" w:hAnsi="Arial"/>
                <w:color w:val="000000"/>
                <w:sz w:val="18"/>
              </w:rPr>
              <w:t>Raw data</w:t>
            </w:r>
          </w:p>
        </w:tc>
        <w:tc>
          <w:tcPr>
            <w:tcW w:type="dxa" w:w="7767"/>
            <w:vAlign w:val="center"/>
          </w:tcPr>
          <w:p>
            <w:pPr>
              <w:keepNext/>
              <w:spacing w:after="40" w:line="240" w:lineRule="auto"/>
            </w:pPr>
            <w:hyperlink r:id="rId29">
              <w:r>
                <w:rPr>
                  <w:color w:val="174B76"/>
                  <w:sz w:val="18"/>
                </w:rPr>
                <w:t>https://github.com/SuperFlyTK/rmt-a3-travel-time-astana/tree/main/data/raw</w:t>
              </w:r>
            </w:hyperlink>
            <w:r>
              <w:rPr>
                <w:rFonts w:ascii="Arial" w:hAnsi="Arial"/>
                <w:color w:val="000000"/>
                <w:sz w:val="18"/>
              </w:rPr>
              <w:br/>
              <w:t>Original CSV plus licensed ORS response and geometry files</w:t>
            </w:r>
          </w:p>
        </w:tc>
      </w:tr>
      <w:tr>
        <w:trPr>
          <w:cantSplit/>
        </w:trPr>
        <w:tc>
          <w:tcPr>
            <w:tcW w:type="dxa" w:w="1871"/>
            <w:vAlign w:val="center"/>
          </w:tcPr>
          <w:p>
            <w:pPr>
              <w:keepNext/>
              <w:spacing w:after="40" w:line="240" w:lineRule="auto"/>
            </w:pPr>
            <w:r>
              <w:rPr>
                <w:rFonts w:ascii="Arial" w:hAnsi="Arial"/>
                <w:color w:val="000000"/>
                <w:sz w:val="18"/>
              </w:rPr>
              <w:t>Working copy</w:t>
            </w:r>
          </w:p>
        </w:tc>
        <w:tc>
          <w:tcPr>
            <w:tcW w:type="dxa" w:w="7767"/>
            <w:vAlign w:val="center"/>
          </w:tcPr>
          <w:p>
            <w:pPr>
              <w:keepNext/>
              <w:spacing w:after="40" w:line="240" w:lineRule="auto"/>
            </w:pPr>
            <w:hyperlink r:id="rId30">
              <w:r>
                <w:rPr>
                  <w:color w:val="174B76"/>
                  <w:sz w:val="18"/>
                </w:rPr>
                <w:t>https://github.com/SuperFlyTK/rmt-a3-travel-time-astana/blob/main/results/observations.csv</w:t>
              </w:r>
            </w:hyperlink>
            <w:r>
              <w:rPr>
                <w:rFonts w:ascii="Arial" w:hAnsi="Arial"/>
                <w:color w:val="000000"/>
                <w:sz w:val="18"/>
              </w:rPr>
              <w:br/>
              <w:t>Audited observations; raw values retained</w:t>
            </w:r>
          </w:p>
        </w:tc>
      </w:tr>
      <w:tr>
        <w:trPr>
          <w:cantSplit/>
        </w:trPr>
        <w:tc>
          <w:tcPr>
            <w:tcW w:type="dxa" w:w="1871"/>
            <w:vAlign w:val="center"/>
          </w:tcPr>
          <w:p>
            <w:pPr>
              <w:keepNext/>
              <w:spacing w:after="40" w:line="240" w:lineRule="auto"/>
            </w:pPr>
            <w:r>
              <w:rPr>
                <w:rFonts w:ascii="Arial" w:hAnsi="Arial"/>
                <w:color w:val="000000"/>
                <w:sz w:val="18"/>
              </w:rPr>
              <w:t>Version record</w:t>
            </w:r>
          </w:p>
        </w:tc>
        <w:tc>
          <w:tcPr>
            <w:tcW w:type="dxa" w:w="7767"/>
            <w:vAlign w:val="center"/>
          </w:tcPr>
          <w:p>
            <w:pPr>
              <w:keepNext/>
              <w:spacing w:after="40" w:line="240" w:lineRule="auto"/>
            </w:pPr>
            <w:hyperlink r:id="rId31">
              <w:r>
                <w:rPr>
                  <w:color w:val="174B76"/>
                  <w:sz w:val="18"/>
                </w:rPr>
                <w:t>https://github.com/SuperFlyTK/rmt-a3-travel-time-astana/blob/main/results/version_manifest.json</w:t>
              </w:r>
            </w:hyperlink>
          </w:p>
        </w:tc>
      </w:tr>
      <w:tr>
        <w:trPr>
          <w:cantSplit/>
        </w:trPr>
        <w:tc>
          <w:tcPr>
            <w:tcW w:type="dxa" w:w="1871"/>
            <w:vAlign w:val="center"/>
          </w:tcPr>
          <w:p>
            <w:pPr>
              <w:keepNext/>
              <w:spacing w:after="40" w:line="240" w:lineRule="auto"/>
            </w:pPr>
            <w:r>
              <w:rPr>
                <w:rFonts w:ascii="Arial" w:hAnsi="Arial"/>
                <w:color w:val="000000"/>
                <w:sz w:val="18"/>
              </w:rPr>
              <w:t>Public repository</w:t>
            </w:r>
          </w:p>
        </w:tc>
        <w:tc>
          <w:tcPr>
            <w:tcW w:type="dxa" w:w="7767"/>
            <w:vAlign w:val="center"/>
          </w:tcPr>
          <w:p>
            <w:pPr>
              <w:keepNext/>
              <w:spacing w:after="40" w:line="240" w:lineRule="auto"/>
            </w:pPr>
            <w:hyperlink r:id="rId10">
              <w:r>
                <w:rPr>
                  <w:color w:val="174B76"/>
                  <w:sz w:val="18"/>
                </w:rPr>
                <w:t>https://github.com/SuperFlyTK/rmt-a3-travel-time-astana</w:t>
              </w:r>
            </w:hyperlink>
          </w:p>
        </w:tc>
      </w:tr>
      <w:tr>
        <w:trPr>
          <w:cantSplit/>
        </w:trPr>
        <w:tc>
          <w:tcPr>
            <w:tcW w:type="dxa" w:w="1871"/>
            <w:vAlign w:val="center"/>
          </w:tcPr>
          <w:p>
            <w:pPr>
              <w:keepNext w:val="0"/>
              <w:spacing w:after="40" w:line="240" w:lineRule="auto"/>
            </w:pPr>
            <w:r>
              <w:rPr>
                <w:rFonts w:ascii="Arial" w:hAnsi="Arial"/>
                <w:color w:val="000000"/>
                <w:sz w:val="18"/>
              </w:rPr>
              <w:t>Cloud folder</w:t>
            </w:r>
          </w:p>
        </w:tc>
        <w:tc>
          <w:tcPr>
            <w:tcW w:type="dxa" w:w="7767"/>
            <w:vAlign w:val="center"/>
          </w:tcPr>
          <w:p>
            <w:pPr>
              <w:keepNext w:val="0"/>
              <w:spacing w:after="40" w:line="240" w:lineRule="auto"/>
            </w:pPr>
            <w:hyperlink r:id="rId11">
              <w:r>
                <w:rPr>
                  <w:color w:val="174B76"/>
                  <w:sz w:val="18"/>
                </w:rPr>
                <w:t>https://drive.google.com/drive/folders/1hEVyoDFR0XzRWSv3yIm2EGExC427-yE6</w:t>
              </w:r>
            </w:hyperlink>
            <w:r>
              <w:rPr>
                <w:rFonts w:ascii="Arial" w:hAnsi="Arial"/>
                <w:color w:val="000000"/>
                <w:sz w:val="18"/>
              </w:rPr>
              <w:br/>
              <w:t>Archive upload pending verification at this snapshot</w:t>
            </w:r>
          </w:p>
        </w:tc>
      </w:tr>
    </w:tbl>
    <w:p>
      <w:pPr>
        <w:spacing w:after="20"/>
      </w:pPr>
    </w:p>
    <w:p>
      <w:pPr>
        <w:pStyle w:val="Heading2"/>
      </w:pPr>
      <w:r>
        <w:t>T3 Artefacts you developed</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531"/>
        <w:gridCol w:w="2438"/>
        <w:gridCol w:w="3685"/>
        <w:gridCol w:w="1984"/>
      </w:tblGrid>
      <w:tr>
        <w:trPr>
          <w:tblHeader/>
          <w:cantSplit/>
        </w:trPr>
        <w:tc>
          <w:tcPr>
            <w:tcW w:type="dxa" w:w="1531"/>
            <w:vAlign w:val="center"/>
            <w:shd w:fill="EAEAEA"/>
          </w:tcPr>
          <w:p>
            <w:pPr>
              <w:keepNext/>
              <w:spacing w:after="40" w:line="240" w:lineRule="auto"/>
            </w:pPr>
            <w:r>
              <w:rPr>
                <w:rFonts w:ascii="Arial" w:hAnsi="Arial"/>
                <w:b/>
                <w:color w:val="000000"/>
                <w:sz w:val="18"/>
              </w:rPr>
              <w:t>Artefact</w:t>
            </w:r>
          </w:p>
        </w:tc>
        <w:tc>
          <w:tcPr>
            <w:tcW w:type="dxa" w:w="2438"/>
            <w:vAlign w:val="center"/>
            <w:shd w:fill="EAEAEA"/>
          </w:tcPr>
          <w:p>
            <w:pPr>
              <w:keepNext/>
              <w:spacing w:after="40" w:line="240" w:lineRule="auto"/>
            </w:pPr>
            <w:r>
              <w:rPr>
                <w:rFonts w:ascii="Arial" w:hAnsi="Arial"/>
                <w:b/>
                <w:color w:val="000000"/>
                <w:sz w:val="18"/>
              </w:rPr>
              <w:t>Study role</w:t>
            </w:r>
          </w:p>
        </w:tc>
        <w:tc>
          <w:tcPr>
            <w:tcW w:type="dxa" w:w="3685"/>
            <w:vAlign w:val="center"/>
            <w:shd w:fill="EAEAEA"/>
          </w:tcPr>
          <w:p>
            <w:pPr>
              <w:keepNext/>
              <w:spacing w:after="40" w:line="240" w:lineRule="auto"/>
            </w:pPr>
            <w:r>
              <w:rPr>
                <w:rFonts w:ascii="Arial" w:hAnsi="Arial"/>
                <w:b/>
                <w:color w:val="000000"/>
                <w:sz w:val="18"/>
              </w:rPr>
              <w:t>Public link</w:t>
            </w:r>
          </w:p>
        </w:tc>
        <w:tc>
          <w:tcPr>
            <w:tcW w:type="dxa" w:w="1984"/>
            <w:vAlign w:val="center"/>
            <w:shd w:fill="EAEAEA"/>
          </w:tcPr>
          <w:p>
            <w:pPr>
              <w:keepNext/>
              <w:spacing w:after="40" w:line="240" w:lineRule="auto"/>
            </w:pPr>
            <w:r>
              <w:rPr>
                <w:rFonts w:ascii="Arial" w:hAnsi="Arial"/>
                <w:b/>
                <w:color w:val="000000"/>
                <w:sz w:val="18"/>
              </w:rPr>
              <w:t>Evidence</w:t>
            </w:r>
          </w:p>
        </w:tc>
      </w:tr>
      <w:tr>
        <w:trPr>
          <w:cantSplit/>
        </w:trPr>
        <w:tc>
          <w:tcPr>
            <w:tcW w:type="dxa" w:w="1531"/>
            <w:vAlign w:val="center"/>
          </w:tcPr>
          <w:p>
            <w:pPr>
              <w:keepNext/>
              <w:spacing w:after="40" w:line="240" w:lineRule="auto"/>
            </w:pPr>
            <w:r>
              <w:rPr>
                <w:rFonts w:ascii="Arial" w:hAnsi="Arial"/>
                <w:color w:val="000000"/>
                <w:sz w:val="18"/>
              </w:rPr>
              <w:t>Collector and pilot runner</w:t>
            </w:r>
          </w:p>
        </w:tc>
        <w:tc>
          <w:tcPr>
            <w:tcW w:type="dxa" w:w="2438"/>
            <w:vAlign w:val="center"/>
          </w:tcPr>
          <w:p>
            <w:pPr>
              <w:keepNext/>
              <w:spacing w:after="40" w:line="240" w:lineRule="auto"/>
            </w:pPr>
            <w:r>
              <w:rPr>
                <w:rFonts w:ascii="Arial" w:hAnsi="Arial"/>
                <w:color w:val="000000"/>
                <w:sz w:val="18"/>
              </w:rPr>
              <w:t>Execute fixed requests and preserve failures</w:t>
            </w:r>
          </w:p>
        </w:tc>
        <w:tc>
          <w:tcPr>
            <w:tcW w:type="dxa" w:w="3685"/>
            <w:vAlign w:val="center"/>
          </w:tcPr>
          <w:p>
            <w:pPr>
              <w:keepNext/>
              <w:spacing w:after="40" w:line="240" w:lineRule="auto"/>
            </w:pPr>
            <w:hyperlink r:id="rId32">
              <w:r>
                <w:rPr>
                  <w:color w:val="174B76"/>
                  <w:sz w:val="18"/>
                </w:rPr>
                <w:t>https://github.com/SuperFlyTK/rmt-a3-travel-time-astana/tree/main/collector</w:t>
              </w:r>
            </w:hyperlink>
          </w:p>
        </w:tc>
        <w:tc>
          <w:tcPr>
            <w:tcW w:type="dxa" w:w="1984"/>
            <w:vAlign w:val="center"/>
          </w:tcPr>
          <w:p>
            <w:pPr>
              <w:keepNext/>
              <w:spacing w:after="40" w:line="240" w:lineRule="auto"/>
            </w:pPr>
            <w:r>
              <w:rPr>
                <w:rFonts w:ascii="Arial" w:hAnsi="Arial"/>
                <w:color w:val="000000"/>
                <w:sz w:val="18"/>
              </w:rPr>
              <w:t>Raw files and research journal</w:t>
            </w:r>
          </w:p>
        </w:tc>
      </w:tr>
      <w:tr>
        <w:trPr>
          <w:cantSplit/>
        </w:trPr>
        <w:tc>
          <w:tcPr>
            <w:tcW w:type="dxa" w:w="1531"/>
            <w:vAlign w:val="center"/>
          </w:tcPr>
          <w:p>
            <w:pPr>
              <w:keepNext/>
              <w:spacing w:after="40" w:line="240" w:lineRule="auto"/>
            </w:pPr>
            <w:r>
              <w:rPr>
                <w:rFonts w:ascii="Arial" w:hAnsi="Arial"/>
                <w:color w:val="000000"/>
                <w:sz w:val="18"/>
              </w:rPr>
              <w:t>Analysis and figures</w:t>
            </w:r>
          </w:p>
        </w:tc>
        <w:tc>
          <w:tcPr>
            <w:tcW w:type="dxa" w:w="2438"/>
            <w:vAlign w:val="center"/>
          </w:tcPr>
          <w:p>
            <w:pPr>
              <w:keepNext/>
              <w:spacing w:after="40" w:line="240" w:lineRule="auto"/>
            </w:pPr>
            <w:r>
              <w:rPr>
                <w:rFonts w:ascii="Arial" w:hAnsi="Arial"/>
                <w:color w:val="000000"/>
                <w:sz w:val="18"/>
              </w:rPr>
              <w:t>Audit data and generate original evidence</w:t>
            </w:r>
          </w:p>
        </w:tc>
        <w:tc>
          <w:tcPr>
            <w:tcW w:type="dxa" w:w="3685"/>
            <w:vAlign w:val="center"/>
          </w:tcPr>
          <w:p>
            <w:pPr>
              <w:keepNext/>
              <w:spacing w:after="40" w:line="240" w:lineRule="auto"/>
            </w:pPr>
            <w:hyperlink r:id="rId33">
              <w:r>
                <w:rPr>
                  <w:color w:val="174B76"/>
                  <w:sz w:val="18"/>
                </w:rPr>
                <w:t>https://github.com/SuperFlyTK/rmt-a3-travel-time-astana/tree/main/analysis</w:t>
              </w:r>
            </w:hyperlink>
          </w:p>
        </w:tc>
        <w:tc>
          <w:tcPr>
            <w:tcW w:type="dxa" w:w="1984"/>
            <w:vAlign w:val="center"/>
          </w:tcPr>
          <w:p>
            <w:pPr>
              <w:keepNext/>
              <w:spacing w:after="40" w:line="240" w:lineRule="auto"/>
            </w:pPr>
            <w:r>
              <w:rPr>
                <w:rFonts w:ascii="Arial" w:hAnsi="Arial"/>
                <w:color w:val="000000"/>
                <w:sz w:val="18"/>
              </w:rPr>
              <w:t>Results CSV and numbered figures</w:t>
            </w:r>
          </w:p>
        </w:tc>
      </w:tr>
      <w:tr>
        <w:trPr>
          <w:cantSplit/>
        </w:trPr>
        <w:tc>
          <w:tcPr>
            <w:tcW w:type="dxa" w:w="1531"/>
            <w:vAlign w:val="center"/>
          </w:tcPr>
          <w:p>
            <w:pPr>
              <w:keepNext/>
              <w:spacing w:after="40" w:line="240" w:lineRule="auto"/>
            </w:pPr>
            <w:r>
              <w:rPr>
                <w:rFonts w:ascii="Arial" w:hAnsi="Arial"/>
                <w:color w:val="000000"/>
                <w:sz w:val="18"/>
              </w:rPr>
              <w:t>Report builder</w:t>
            </w:r>
          </w:p>
        </w:tc>
        <w:tc>
          <w:tcPr>
            <w:tcW w:type="dxa" w:w="2438"/>
            <w:vAlign w:val="center"/>
          </w:tcPr>
          <w:p>
            <w:pPr>
              <w:keepNext/>
              <w:spacing w:after="40" w:line="240" w:lineRule="auto"/>
            </w:pPr>
            <w:r>
              <w:rPr>
                <w:rFonts w:ascii="Arial" w:hAnsi="Arial"/>
                <w:color w:val="000000"/>
                <w:sz w:val="18"/>
              </w:rPr>
              <w:t>Bind narrative to a reproducible snapshot</w:t>
            </w:r>
          </w:p>
        </w:tc>
        <w:tc>
          <w:tcPr>
            <w:tcW w:type="dxa" w:w="3685"/>
            <w:vAlign w:val="center"/>
          </w:tcPr>
          <w:p>
            <w:pPr>
              <w:keepNext/>
              <w:spacing w:after="40" w:line="240" w:lineRule="auto"/>
            </w:pPr>
            <w:hyperlink r:id="rId34">
              <w:r>
                <w:rPr>
                  <w:color w:val="174B76"/>
                  <w:sz w:val="18"/>
                </w:rPr>
                <w:t>https://github.com/SuperFlyTK/rmt-a3-travel-time-astana/blob/main/report/build_report.py</w:t>
              </w:r>
            </w:hyperlink>
          </w:p>
        </w:tc>
        <w:tc>
          <w:tcPr>
            <w:tcW w:type="dxa" w:w="1984"/>
            <w:vAlign w:val="center"/>
          </w:tcPr>
          <w:p>
            <w:pPr>
              <w:keepNext/>
              <w:spacing w:after="40" w:line="240" w:lineRule="auto"/>
            </w:pPr>
            <w:r>
              <w:rPr>
                <w:rFonts w:ascii="Arial" w:hAnsi="Arial"/>
                <w:color w:val="000000"/>
                <w:sz w:val="18"/>
              </w:rPr>
              <w:t>Report snapshot and word count</w:t>
            </w:r>
          </w:p>
        </w:tc>
      </w:tr>
      <w:tr>
        <w:trPr>
          <w:cantSplit/>
        </w:trPr>
        <w:tc>
          <w:tcPr>
            <w:tcW w:type="dxa" w:w="1531"/>
            <w:vAlign w:val="center"/>
          </w:tcPr>
          <w:p>
            <w:pPr>
              <w:keepNext w:val="0"/>
              <w:spacing w:after="40" w:line="240" w:lineRule="auto"/>
            </w:pPr>
            <w:r>
              <w:rPr>
                <w:rFonts w:ascii="Arial" w:hAnsi="Arial"/>
                <w:color w:val="000000"/>
                <w:sz w:val="18"/>
              </w:rPr>
              <w:t>Protocol and expectations</w:t>
            </w:r>
          </w:p>
        </w:tc>
        <w:tc>
          <w:tcPr>
            <w:tcW w:type="dxa" w:w="2438"/>
            <w:vAlign w:val="center"/>
          </w:tcPr>
          <w:p>
            <w:pPr>
              <w:keepNext w:val="0"/>
              <w:spacing w:after="40" w:line="240" w:lineRule="auto"/>
            </w:pPr>
            <w:r>
              <w:rPr>
                <w:rFonts w:ascii="Arial" w:hAnsi="Arial"/>
                <w:color w:val="000000"/>
                <w:sz w:val="18"/>
              </w:rPr>
              <w:t>Record rules fixed before research collection</w:t>
            </w:r>
          </w:p>
        </w:tc>
        <w:tc>
          <w:tcPr>
            <w:tcW w:type="dxa" w:w="3685"/>
            <w:vAlign w:val="center"/>
          </w:tcPr>
          <w:p>
            <w:pPr>
              <w:keepNext w:val="0"/>
              <w:spacing w:after="40" w:line="240" w:lineRule="auto"/>
            </w:pPr>
            <w:hyperlink r:id="rId35">
              <w:r>
                <w:rPr>
                  <w:color w:val="174B76"/>
                  <w:sz w:val="18"/>
                </w:rPr>
                <w:t>https://github.com/SuperFlyTK/rmt-a3-travel-time-astana/tree/main/docs</w:t>
              </w:r>
            </w:hyperlink>
          </w:p>
        </w:tc>
        <w:tc>
          <w:tcPr>
            <w:tcW w:type="dxa" w:w="1984"/>
            <w:vAlign w:val="center"/>
          </w:tcPr>
          <w:p>
            <w:pPr>
              <w:keepNext w:val="0"/>
              <w:spacing w:after="40" w:line="240" w:lineRule="auto"/>
            </w:pPr>
            <w:r>
              <w:rPr>
                <w:rFonts w:ascii="Arial" w:hAnsi="Arial"/>
                <w:color w:val="000000"/>
                <w:sz w:val="18"/>
              </w:rPr>
              <w:t>Timestamp, file hash and preregistration commit</w:t>
            </w:r>
          </w:p>
        </w:tc>
      </w:tr>
    </w:tbl>
    <w:p>
      <w:pPr>
        <w:spacing w:after="20"/>
      </w:pPr>
    </w:p>
    <w:p>
      <w:pPr>
        <w:pStyle w:val="Heading2"/>
      </w:pPr>
      <w:r>
        <w:t>T4 Find your block and complete</w:t>
      </w:r>
    </w:p>
    <w:p>
      <w:pPr>
        <w:widowControl/>
      </w:pPr>
      <w:r>
        <w:rPr>
          <w:rFonts w:ascii="Arial" w:hAnsi="Arial"/>
          <w:color w:val="000000"/>
        </w:rPr>
        <w:t>The selected method is Data analytics / secondary data, so Block E applies. Technical execution supports extraction; it does not turn this study into model training or an experimental treatment comparison.</w:t>
      </w:r>
    </w:p>
    <w:p>
      <w:pPr>
        <w:pStyle w:val="Heading3"/>
      </w:pPr>
      <w:r>
        <w:t>E.0 Requirements</w:t>
      </w:r>
    </w:p>
    <w:p>
      <w:pPr>
        <w:widowControl/>
      </w:pPr>
      <w:r>
        <w:rPr>
          <w:rFonts w:ascii="Arial" w:hAnsi="Arial"/>
          <w:color w:val="000000"/>
        </w:rPr>
        <w:t>For a conceptual road graph G=(V,E) at a fixed traffic snapshot, path cost is T(P,t)=Σ w_e(t), summed over edges e in P; each weight is in seconds. Route selection seeks a permitted low-cost path. This abstraction explains why endpoints alone do not determine an estimate: road access, path choice and time weights may differ. It does not identify TomTom or 2GIS source code. ORS documentation describes a speed model based on mapped road properties; its public service does not supply live traffic. The study evaluates returned quantities without reverse-engineering a proprietary solver.</w:t>
      </w:r>
    </w:p>
    <w:p>
      <w:pPr>
        <w:widowControl/>
      </w:pPr>
      <w:r>
        <w:rPr>
          <w:rFonts w:ascii="Arial" w:hAnsi="Arial"/>
          <w:color w:val="000000"/>
        </w:rPr>
        <w:t>For an eligible pair, signed difference is A minus B and absolute difference removes its direction. MAE averages absolute differences, whereas RMSE gives larger differences greater influence. Relative difference uses the pair mean as denominator, avoiding a claim that either provider is the reference truth. Quartiles describe spread. Planned uncertainty procedures preserve route clusters rather than treating repeated requests as independent. The pilot receives descriptive summaries only. With no primary pairs, disagreement statistics and peak contrasts remain unestimated, rather than being filled with zeros or inferred from ORS variability.</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381"/>
        <w:gridCol w:w="3458"/>
        <w:gridCol w:w="3798"/>
      </w:tblGrid>
      <w:tr>
        <w:trPr>
          <w:tblHeader/>
          <w:cantSplit/>
        </w:trPr>
        <w:tc>
          <w:tcPr>
            <w:tcW w:type="dxa" w:w="2381"/>
            <w:vAlign w:val="center"/>
            <w:shd w:fill="EAEAEA"/>
          </w:tcPr>
          <w:p>
            <w:pPr>
              <w:keepNext/>
              <w:spacing w:after="40" w:line="240" w:lineRule="auto"/>
            </w:pPr>
            <w:r>
              <w:rPr>
                <w:rFonts w:ascii="Arial" w:hAnsi="Arial"/>
                <w:b/>
                <w:color w:val="000000"/>
                <w:sz w:val="18"/>
              </w:rPr>
              <w:t>Quantity</w:t>
            </w:r>
          </w:p>
        </w:tc>
        <w:tc>
          <w:tcPr>
            <w:tcW w:type="dxa" w:w="3458"/>
            <w:vAlign w:val="center"/>
            <w:shd w:fill="EAEAEA"/>
          </w:tcPr>
          <w:p>
            <w:pPr>
              <w:keepNext/>
              <w:spacing w:after="40" w:line="240" w:lineRule="auto"/>
            </w:pPr>
            <w:r>
              <w:rPr>
                <w:rFonts w:ascii="Arial" w:hAnsi="Arial"/>
                <w:b/>
                <w:color w:val="000000"/>
                <w:sz w:val="18"/>
              </w:rPr>
              <w:t>Definition</w:t>
            </w:r>
          </w:p>
        </w:tc>
        <w:tc>
          <w:tcPr>
            <w:tcW w:type="dxa" w:w="3798"/>
            <w:vAlign w:val="center"/>
            <w:shd w:fill="EAEAEA"/>
          </w:tcPr>
          <w:p>
            <w:pPr>
              <w:keepNext/>
              <w:spacing w:after="40" w:line="240" w:lineRule="auto"/>
            </w:pPr>
            <w:r>
              <w:rPr>
                <w:rFonts w:ascii="Arial" w:hAnsi="Arial"/>
                <w:b/>
                <w:color w:val="000000"/>
                <w:sz w:val="18"/>
              </w:rPr>
              <w:t>Interpretation</w:t>
            </w:r>
          </w:p>
        </w:tc>
      </w:tr>
      <w:tr>
        <w:trPr>
          <w:cantSplit/>
        </w:trPr>
        <w:tc>
          <w:tcPr>
            <w:tcW w:type="dxa" w:w="2381"/>
            <w:vAlign w:val="center"/>
          </w:tcPr>
          <w:p>
            <w:pPr>
              <w:keepNext/>
              <w:spacing w:after="40" w:line="240" w:lineRule="auto"/>
            </w:pPr>
            <w:r>
              <w:rPr>
                <w:rFonts w:ascii="Arial" w:hAnsi="Arial"/>
                <w:color w:val="000000"/>
                <w:sz w:val="18"/>
              </w:rPr>
              <w:t>Signed difference</w:t>
            </w:r>
          </w:p>
        </w:tc>
        <w:tc>
          <w:tcPr>
            <w:tcW w:type="dxa" w:w="3458"/>
            <w:vAlign w:val="center"/>
          </w:tcPr>
          <w:p>
            <w:pPr>
              <w:keepNext/>
              <w:spacing w:after="40" w:line="240" w:lineRule="auto"/>
            </w:pPr>
            <w:r>
              <w:rPr>
                <w:rFonts w:ascii="Arial" w:hAnsi="Arial"/>
                <w:color w:val="000000"/>
                <w:sz w:val="18"/>
              </w:rPr>
              <w:t>d=A−B; seconds</w:t>
            </w:r>
          </w:p>
        </w:tc>
        <w:tc>
          <w:tcPr>
            <w:tcW w:type="dxa" w:w="3798"/>
            <w:vAlign w:val="center"/>
          </w:tcPr>
          <w:p>
            <w:pPr>
              <w:keepNext/>
              <w:spacing w:after="40" w:line="240" w:lineRule="auto"/>
            </w:pPr>
            <w:r>
              <w:rPr>
                <w:rFonts w:ascii="Arial" w:hAnsi="Arial"/>
                <w:color w:val="000000"/>
                <w:sz w:val="18"/>
              </w:rPr>
              <w:t>Positive means A gives the longer estimate</w:t>
            </w:r>
          </w:p>
        </w:tc>
      </w:tr>
      <w:tr>
        <w:trPr>
          <w:cantSplit/>
        </w:trPr>
        <w:tc>
          <w:tcPr>
            <w:tcW w:type="dxa" w:w="2381"/>
            <w:vAlign w:val="center"/>
          </w:tcPr>
          <w:p>
            <w:pPr>
              <w:keepNext/>
              <w:spacing w:after="40" w:line="240" w:lineRule="auto"/>
            </w:pPr>
            <w:r>
              <w:rPr>
                <w:rFonts w:ascii="Arial" w:hAnsi="Arial"/>
                <w:color w:val="000000"/>
                <w:sz w:val="18"/>
              </w:rPr>
              <w:t>Absolute difference and MAE</w:t>
            </w:r>
          </w:p>
        </w:tc>
        <w:tc>
          <w:tcPr>
            <w:tcW w:type="dxa" w:w="3458"/>
            <w:vAlign w:val="center"/>
          </w:tcPr>
          <w:p>
            <w:pPr>
              <w:keepNext/>
              <w:spacing w:after="40" w:line="240" w:lineRule="auto"/>
            </w:pPr>
            <w:r>
              <w:rPr>
                <w:rFonts w:ascii="Arial" w:hAnsi="Arial"/>
                <w:color w:val="000000"/>
                <w:sz w:val="18"/>
              </w:rPr>
              <w:t>|d|; MAE=Σ|d|/n</w:t>
            </w:r>
          </w:p>
        </w:tc>
        <w:tc>
          <w:tcPr>
            <w:tcW w:type="dxa" w:w="3798"/>
            <w:vAlign w:val="center"/>
          </w:tcPr>
          <w:p>
            <w:pPr>
              <w:keepNext/>
              <w:spacing w:after="40" w:line="240" w:lineRule="auto"/>
            </w:pPr>
            <w:r>
              <w:rPr>
                <w:rFonts w:ascii="Arial" w:hAnsi="Arial"/>
                <w:color w:val="000000"/>
                <w:sz w:val="18"/>
              </w:rPr>
              <w:t>Magnitude and average magnitude of disagreement</w:t>
            </w:r>
          </w:p>
        </w:tc>
      </w:tr>
      <w:tr>
        <w:trPr>
          <w:cantSplit/>
        </w:trPr>
        <w:tc>
          <w:tcPr>
            <w:tcW w:type="dxa" w:w="2381"/>
            <w:vAlign w:val="center"/>
          </w:tcPr>
          <w:p>
            <w:pPr>
              <w:keepNext/>
              <w:spacing w:after="40" w:line="240" w:lineRule="auto"/>
            </w:pPr>
            <w:r>
              <w:rPr>
                <w:rFonts w:ascii="Arial" w:hAnsi="Arial"/>
                <w:color w:val="000000"/>
                <w:sz w:val="18"/>
              </w:rPr>
              <w:t>RMSE</w:t>
            </w:r>
          </w:p>
        </w:tc>
        <w:tc>
          <w:tcPr>
            <w:tcW w:type="dxa" w:w="3458"/>
            <w:vAlign w:val="center"/>
          </w:tcPr>
          <w:p>
            <w:pPr>
              <w:keepNext/>
              <w:spacing w:after="40" w:line="240" w:lineRule="auto"/>
            </w:pPr>
            <w:r>
              <w:rPr>
                <w:rFonts w:ascii="Arial" w:hAnsi="Arial"/>
                <w:color w:val="000000"/>
                <w:sz w:val="18"/>
              </w:rPr>
              <w:t>sqrt(Σd²/n); seconds</w:t>
            </w:r>
          </w:p>
        </w:tc>
        <w:tc>
          <w:tcPr>
            <w:tcW w:type="dxa" w:w="3798"/>
            <w:vAlign w:val="center"/>
          </w:tcPr>
          <w:p>
            <w:pPr>
              <w:keepNext/>
              <w:spacing w:after="40" w:line="240" w:lineRule="auto"/>
            </w:pPr>
            <w:r>
              <w:rPr>
                <w:rFonts w:ascii="Arial" w:hAnsi="Arial"/>
                <w:color w:val="000000"/>
                <w:sz w:val="18"/>
              </w:rPr>
              <w:t>Quadratic summary sensitive to large differences</w:t>
            </w:r>
          </w:p>
        </w:tc>
      </w:tr>
      <w:tr>
        <w:trPr>
          <w:cantSplit/>
        </w:trPr>
        <w:tc>
          <w:tcPr>
            <w:tcW w:type="dxa" w:w="2381"/>
            <w:vAlign w:val="center"/>
          </w:tcPr>
          <w:p>
            <w:pPr>
              <w:keepNext/>
              <w:spacing w:after="40" w:line="240" w:lineRule="auto"/>
            </w:pPr>
            <w:r>
              <w:rPr>
                <w:rFonts w:ascii="Arial" w:hAnsi="Arial"/>
                <w:color w:val="000000"/>
                <w:sz w:val="18"/>
              </w:rPr>
              <w:t>Relative difference / sMAPE</w:t>
            </w:r>
          </w:p>
        </w:tc>
        <w:tc>
          <w:tcPr>
            <w:tcW w:type="dxa" w:w="3458"/>
            <w:vAlign w:val="center"/>
          </w:tcPr>
          <w:p>
            <w:pPr>
              <w:keepNext/>
              <w:spacing w:after="40" w:line="240" w:lineRule="auto"/>
            </w:pPr>
            <w:r>
              <w:rPr>
                <w:rFonts w:ascii="Arial" w:hAnsi="Arial"/>
                <w:color w:val="000000"/>
                <w:sz w:val="18"/>
              </w:rPr>
              <w:t>100d/m; 100|d|/m; m=(A+B)/2</w:t>
            </w:r>
          </w:p>
        </w:tc>
        <w:tc>
          <w:tcPr>
            <w:tcW w:type="dxa" w:w="3798"/>
            <w:vAlign w:val="center"/>
          </w:tcPr>
          <w:p>
            <w:pPr>
              <w:keepNext/>
              <w:spacing w:after="40" w:line="240" w:lineRule="auto"/>
            </w:pPr>
            <w:r>
              <w:rPr>
                <w:rFonts w:ascii="Arial" w:hAnsi="Arial"/>
                <w:color w:val="000000"/>
                <w:sz w:val="18"/>
              </w:rPr>
              <w:t>Symmetric percentage disagreement</w:t>
            </w:r>
          </w:p>
        </w:tc>
      </w:tr>
      <w:tr>
        <w:trPr>
          <w:cantSplit/>
        </w:trPr>
        <w:tc>
          <w:tcPr>
            <w:tcW w:type="dxa" w:w="2381"/>
            <w:vAlign w:val="center"/>
          </w:tcPr>
          <w:p>
            <w:pPr>
              <w:keepNext/>
              <w:spacing w:after="40" w:line="240" w:lineRule="auto"/>
            </w:pPr>
            <w:r>
              <w:rPr>
                <w:rFonts w:ascii="Arial" w:hAnsi="Arial"/>
                <w:color w:val="000000"/>
                <w:sz w:val="18"/>
              </w:rPr>
              <w:t>IQR</w:t>
            </w:r>
          </w:p>
        </w:tc>
        <w:tc>
          <w:tcPr>
            <w:tcW w:type="dxa" w:w="3458"/>
            <w:vAlign w:val="center"/>
          </w:tcPr>
          <w:p>
            <w:pPr>
              <w:keepNext/>
              <w:spacing w:after="40" w:line="240" w:lineRule="auto"/>
            </w:pPr>
            <w:r>
              <w:rPr>
                <w:rFonts w:ascii="Arial" w:hAnsi="Arial"/>
                <w:color w:val="000000"/>
                <w:sz w:val="18"/>
              </w:rPr>
              <w:t>Q3−Q1; linear-interpolated sample quartiles</w:t>
            </w:r>
          </w:p>
        </w:tc>
        <w:tc>
          <w:tcPr>
            <w:tcW w:type="dxa" w:w="3798"/>
            <w:vAlign w:val="center"/>
          </w:tcPr>
          <w:p>
            <w:pPr>
              <w:keepNext/>
              <w:spacing w:after="40" w:line="240" w:lineRule="auto"/>
            </w:pPr>
            <w:r>
              <w:rPr>
                <w:rFonts w:ascii="Arial" w:hAnsi="Arial"/>
                <w:color w:val="000000"/>
                <w:sz w:val="18"/>
              </w:rPr>
              <w:t>Spread of the stated distribution</w:t>
            </w:r>
          </w:p>
        </w:tc>
      </w:tr>
      <w:tr>
        <w:trPr>
          <w:cantSplit/>
        </w:trPr>
        <w:tc>
          <w:tcPr>
            <w:tcW w:type="dxa" w:w="2381"/>
            <w:vAlign w:val="center"/>
          </w:tcPr>
          <w:p>
            <w:pPr>
              <w:keepNext w:val="0"/>
              <w:spacing w:after="40" w:line="240" w:lineRule="auto"/>
            </w:pPr>
            <w:r>
              <w:rPr>
                <w:rFonts w:ascii="Arial" w:hAnsi="Arial"/>
                <w:color w:val="000000"/>
                <w:sz w:val="18"/>
              </w:rPr>
              <w:t>Length comparison</w:t>
            </w:r>
          </w:p>
        </w:tc>
        <w:tc>
          <w:tcPr>
            <w:tcW w:type="dxa" w:w="3458"/>
            <w:vAlign w:val="center"/>
          </w:tcPr>
          <w:p>
            <w:pPr>
              <w:keepNext w:val="0"/>
              <w:spacing w:after="40" w:line="240" w:lineRule="auto"/>
            </w:pPr>
            <w:r>
              <w:rPr>
                <w:rFonts w:ascii="Arial" w:hAnsi="Arial"/>
                <w:color w:val="000000"/>
                <w:sz w:val="18"/>
              </w:rPr>
              <w:t>100|LA−LB|/((LA+LB)/2)</w:t>
            </w:r>
          </w:p>
        </w:tc>
        <w:tc>
          <w:tcPr>
            <w:tcW w:type="dxa" w:w="3798"/>
            <w:vAlign w:val="center"/>
          </w:tcPr>
          <w:p>
            <w:pPr>
              <w:keepNext w:val="0"/>
              <w:spacing w:after="40" w:line="240" w:lineRule="auto"/>
            </w:pPr>
            <w:r>
              <w:rPr>
                <w:rFonts w:ascii="Arial" w:hAnsi="Arial"/>
                <w:color w:val="000000"/>
                <w:sz w:val="18"/>
              </w:rPr>
              <w:t>≤5% length agreement is not geometric identity</w:t>
            </w:r>
          </w:p>
        </w:tc>
      </w:tr>
    </w:tbl>
    <w:p>
      <w:pPr>
        <w:spacing w:after="20"/>
      </w:pPr>
    </w:p>
    <w:p>
      <w:pPr>
        <w:widowControl/>
      </w:pPr>
      <w:r>
        <w:rPr>
          <w:rFonts w:ascii="Arial" w:hAnsi="Arial"/>
          <w:color w:val="000000"/>
        </w:rPr>
        <w:t xml:space="preserve">Extraction excerpt from the saved collector; the complete request construction and error handling are at </w:t>
      </w:r>
      <w:hyperlink r:id="rId24">
        <w:r>
          <w:rPr>
            <w:color w:val="174B76"/>
            <w:sz w:val="18"/>
          </w:rPr>
          <w:t>https://github.com/SuperFlyTK/rmt-a3-travel-time-astana/blob/main/collector/collect.py</w:t>
        </w:r>
      </w:hyperlink>
    </w:p>
    <w:p>
      <w:pPr>
        <w:spacing w:after="160"/>
      </w:pPr>
      <w:r>
        <w:rPr>
          <w:rFonts w:ascii="Consolas" w:hAnsi="Consolas"/>
          <w:sz w:val="18"/>
        </w:rPr>
        <w:t xml:space="preserve">    if provider=='ors':</w:t>
        <w:br/>
        <w:t xml:space="preserve">        first=data['features'][0]</w:t>
        <w:br/>
        <w:t xml:space="preserve">        s=first['properties']['summary']</w:t>
        <w:br/>
        <w:t xml:space="preserve">        return s['duration'],'',s['distance'],first['geometry']</w:t>
      </w:r>
    </w:p>
    <w:p>
      <w:pPr>
        <w:pStyle w:val="Heading3"/>
      </w:pPr>
      <w:r>
        <w:t>E.1 Source register</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134"/>
        <w:gridCol w:w="1134"/>
        <w:gridCol w:w="1020"/>
        <w:gridCol w:w="1701"/>
        <w:gridCol w:w="2268"/>
        <w:gridCol w:w="2381"/>
      </w:tblGrid>
      <w:tr>
        <w:trPr>
          <w:tblHeader/>
          <w:cantSplit/>
        </w:trPr>
        <w:tc>
          <w:tcPr>
            <w:tcW w:type="dxa" w:w="1134"/>
            <w:vAlign w:val="center"/>
            <w:shd w:fill="EAEAEA"/>
          </w:tcPr>
          <w:p>
            <w:pPr>
              <w:keepNext/>
              <w:spacing w:after="40" w:line="240" w:lineRule="auto"/>
            </w:pPr>
            <w:r>
              <w:rPr>
                <w:rFonts w:ascii="Arial" w:hAnsi="Arial"/>
                <w:b/>
                <w:color w:val="000000"/>
                <w:sz w:val="18"/>
              </w:rPr>
              <w:t>Source</w:t>
            </w:r>
          </w:p>
        </w:tc>
        <w:tc>
          <w:tcPr>
            <w:tcW w:type="dxa" w:w="1134"/>
            <w:vAlign w:val="center"/>
            <w:shd w:fill="EAEAEA"/>
          </w:tcPr>
          <w:p>
            <w:pPr>
              <w:keepNext/>
              <w:spacing w:after="40" w:line="240" w:lineRule="auto"/>
            </w:pPr>
            <w:r>
              <w:rPr>
                <w:rFonts w:ascii="Arial" w:hAnsi="Arial"/>
                <w:b/>
                <w:color w:val="000000"/>
                <w:sz w:val="18"/>
              </w:rPr>
              <w:t>Owner</w:t>
            </w:r>
          </w:p>
        </w:tc>
        <w:tc>
          <w:tcPr>
            <w:tcW w:type="dxa" w:w="1020"/>
            <w:vAlign w:val="center"/>
            <w:shd w:fill="EAEAEA"/>
          </w:tcPr>
          <w:p>
            <w:pPr>
              <w:keepNext/>
              <w:spacing w:after="40" w:line="240" w:lineRule="auto"/>
            </w:pPr>
            <w:r>
              <w:rPr>
                <w:rFonts w:ascii="Arial" w:hAnsi="Arial"/>
                <w:b/>
                <w:color w:val="000000"/>
                <w:sz w:val="18"/>
              </w:rPr>
              <w:t>Access date</w:t>
            </w:r>
          </w:p>
        </w:tc>
        <w:tc>
          <w:tcPr>
            <w:tcW w:type="dxa" w:w="1701"/>
            <w:vAlign w:val="center"/>
            <w:shd w:fill="EAEAEA"/>
          </w:tcPr>
          <w:p>
            <w:pPr>
              <w:keepNext/>
              <w:spacing w:after="40" w:line="240" w:lineRule="auto"/>
            </w:pPr>
            <w:r>
              <w:rPr>
                <w:rFonts w:ascii="Arial" w:hAnsi="Arial"/>
                <w:b/>
                <w:color w:val="000000"/>
                <w:sz w:val="18"/>
              </w:rPr>
              <w:t>Version</w:t>
            </w:r>
          </w:p>
        </w:tc>
        <w:tc>
          <w:tcPr>
            <w:tcW w:type="dxa" w:w="2268"/>
            <w:vAlign w:val="center"/>
            <w:shd w:fill="EAEAEA"/>
          </w:tcPr>
          <w:p>
            <w:pPr>
              <w:keepNext/>
              <w:spacing w:after="40" w:line="240" w:lineRule="auto"/>
            </w:pPr>
            <w:r>
              <w:rPr>
                <w:rFonts w:ascii="Arial" w:hAnsi="Arial"/>
                <w:b/>
                <w:color w:val="000000"/>
                <w:sz w:val="18"/>
              </w:rPr>
              <w:t>Licence / scope</w:t>
            </w:r>
          </w:p>
        </w:tc>
        <w:tc>
          <w:tcPr>
            <w:tcW w:type="dxa" w:w="2381"/>
            <w:vAlign w:val="center"/>
            <w:shd w:fill="EAEAEA"/>
          </w:tcPr>
          <w:p>
            <w:pPr>
              <w:keepNext/>
              <w:spacing w:after="40" w:line="240" w:lineRule="auto"/>
            </w:pPr>
            <w:r>
              <w:rPr>
                <w:rFonts w:ascii="Arial" w:hAnsi="Arial"/>
                <w:b/>
                <w:color w:val="000000"/>
                <w:sz w:val="18"/>
              </w:rPr>
              <w:t>Full URL</w:t>
            </w:r>
          </w:p>
        </w:tc>
      </w:tr>
      <w:tr>
        <w:trPr>
          <w:cantSplit/>
        </w:trPr>
        <w:tc>
          <w:tcPr>
            <w:tcW w:type="dxa" w:w="1134"/>
            <w:vAlign w:val="center"/>
          </w:tcPr>
          <w:p>
            <w:pPr>
              <w:keepNext/>
              <w:spacing w:after="40" w:line="240" w:lineRule="auto"/>
            </w:pPr>
            <w:r>
              <w:rPr>
                <w:rFonts w:ascii="Arial" w:hAnsi="Arial"/>
                <w:color w:val="000000"/>
                <w:sz w:val="18"/>
              </w:rPr>
              <w:t>ORS results</w:t>
            </w:r>
          </w:p>
        </w:tc>
        <w:tc>
          <w:tcPr>
            <w:tcW w:type="dxa" w:w="1134"/>
            <w:vAlign w:val="center"/>
          </w:tcPr>
          <w:p>
            <w:pPr>
              <w:keepNext/>
              <w:spacing w:after="40" w:line="240" w:lineRule="auto"/>
            </w:pPr>
            <w:r>
              <w:rPr>
                <w:rFonts w:ascii="Arial" w:hAnsi="Arial"/>
                <w:color w:val="000000"/>
                <w:sz w:val="18"/>
              </w:rPr>
              <w:t>HeiGIT</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Directions v2; build metadata in saved response</w:t>
            </w:r>
          </w:p>
        </w:tc>
        <w:tc>
          <w:tcPr>
            <w:tcW w:type="dxa" w:w="2268"/>
            <w:vAlign w:val="center"/>
          </w:tcPr>
          <w:p>
            <w:pPr>
              <w:keepNext/>
              <w:spacing w:after="40" w:line="240" w:lineRule="auto"/>
            </w:pPr>
            <w:r>
              <w:rPr>
                <w:rFonts w:ascii="Arial" w:hAnsi="Arial"/>
                <w:color w:val="000000"/>
                <w:sz w:val="18"/>
              </w:rPr>
              <w:t>CC BY-SA 4.0; attribution; active instrument</w:t>
            </w:r>
          </w:p>
        </w:tc>
        <w:tc>
          <w:tcPr>
            <w:tcW w:type="dxa" w:w="2381"/>
            <w:vAlign w:val="center"/>
          </w:tcPr>
          <w:p>
            <w:pPr>
              <w:keepNext/>
              <w:spacing w:after="40" w:line="240" w:lineRule="auto"/>
            </w:pPr>
            <w:hyperlink r:id="rId36">
              <w:r>
                <w:rPr>
                  <w:color w:val="174B76"/>
                  <w:sz w:val="18"/>
                </w:rPr>
                <w:t>https://account.heigit.org/info/tos</w:t>
              </w:r>
            </w:hyperlink>
          </w:p>
        </w:tc>
      </w:tr>
      <w:tr>
        <w:trPr>
          <w:cantSplit/>
        </w:trPr>
        <w:tc>
          <w:tcPr>
            <w:tcW w:type="dxa" w:w="1134"/>
            <w:vAlign w:val="center"/>
          </w:tcPr>
          <w:p>
            <w:pPr>
              <w:keepNext/>
              <w:spacing w:after="40" w:line="240" w:lineRule="auto"/>
            </w:pPr>
            <w:r>
              <w:rPr>
                <w:rFonts w:ascii="Arial" w:hAnsi="Arial"/>
                <w:color w:val="000000"/>
                <w:sz w:val="18"/>
              </w:rPr>
              <w:t>Endpoint facts</w:t>
            </w:r>
          </w:p>
        </w:tc>
        <w:tc>
          <w:tcPr>
            <w:tcW w:type="dxa" w:w="1134"/>
            <w:vAlign w:val="center"/>
          </w:tcPr>
          <w:p>
            <w:pPr>
              <w:keepNext/>
              <w:spacing w:after="40" w:line="240" w:lineRule="auto"/>
            </w:pPr>
            <w:r>
              <w:rPr>
                <w:rFonts w:ascii="Arial" w:hAnsi="Arial"/>
                <w:color w:val="000000"/>
                <w:sz w:val="18"/>
              </w:rPr>
              <w:t>OpenStreetMap contributors</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Saved Overpass extract and manifest</w:t>
            </w:r>
          </w:p>
        </w:tc>
        <w:tc>
          <w:tcPr>
            <w:tcW w:type="dxa" w:w="2268"/>
            <w:vAlign w:val="center"/>
          </w:tcPr>
          <w:p>
            <w:pPr>
              <w:keepNext/>
              <w:spacing w:after="40" w:line="240" w:lineRule="auto"/>
            </w:pPr>
            <w:r>
              <w:rPr>
                <w:rFonts w:ascii="Arial" w:hAnsi="Arial"/>
                <w:color w:val="000000"/>
                <w:sz w:val="18"/>
              </w:rPr>
              <w:t>ODbL; public geographic data</w:t>
            </w:r>
          </w:p>
        </w:tc>
        <w:tc>
          <w:tcPr>
            <w:tcW w:type="dxa" w:w="2381"/>
            <w:vAlign w:val="center"/>
          </w:tcPr>
          <w:p>
            <w:pPr>
              <w:keepNext/>
              <w:spacing w:after="40" w:line="240" w:lineRule="auto"/>
            </w:pPr>
            <w:hyperlink r:id="rId37">
              <w:r>
                <w:rPr>
                  <w:color w:val="174B76"/>
                  <w:sz w:val="18"/>
                </w:rPr>
                <w:t>https://www.openstreetmap.org/copyright</w:t>
              </w:r>
            </w:hyperlink>
          </w:p>
        </w:tc>
      </w:tr>
      <w:tr>
        <w:trPr>
          <w:cantSplit/>
        </w:trPr>
        <w:tc>
          <w:tcPr>
            <w:tcW w:type="dxa" w:w="1134"/>
            <w:vAlign w:val="center"/>
          </w:tcPr>
          <w:p>
            <w:pPr>
              <w:keepNext/>
              <w:spacing w:after="40" w:line="240" w:lineRule="auto"/>
            </w:pPr>
            <w:r>
              <w:rPr>
                <w:rFonts w:ascii="Arial" w:hAnsi="Arial"/>
                <w:color w:val="000000"/>
                <w:sz w:val="18"/>
              </w:rPr>
              <w:t>TomTom docs</w:t>
            </w:r>
          </w:p>
        </w:tc>
        <w:tc>
          <w:tcPr>
            <w:tcW w:type="dxa" w:w="1134"/>
            <w:vAlign w:val="center"/>
          </w:tcPr>
          <w:p>
            <w:pPr>
              <w:keepNext/>
              <w:spacing w:after="40" w:line="240" w:lineRule="auto"/>
            </w:pPr>
            <w:r>
              <w:rPr>
                <w:rFonts w:ascii="Arial" w:hAnsi="Arial"/>
                <w:color w:val="000000"/>
                <w:sz w:val="18"/>
              </w:rPr>
              <w:t>TomTom</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Routing v1</w:t>
            </w:r>
          </w:p>
        </w:tc>
        <w:tc>
          <w:tcPr>
            <w:tcW w:type="dxa" w:w="2268"/>
            <w:vAlign w:val="center"/>
          </w:tcPr>
          <w:p>
            <w:pPr>
              <w:keepNext/>
              <w:spacing w:after="40" w:line="240" w:lineRule="auto"/>
            </w:pPr>
            <w:r>
              <w:rPr>
                <w:rFonts w:ascii="Arial" w:hAnsi="Arial"/>
                <w:color w:val="000000"/>
                <w:sz w:val="18"/>
              </w:rPr>
              <w:t>Documentation only; comparison/storage blocked</w:t>
            </w:r>
          </w:p>
        </w:tc>
        <w:tc>
          <w:tcPr>
            <w:tcW w:type="dxa" w:w="2381"/>
            <w:vAlign w:val="center"/>
          </w:tcPr>
          <w:p>
            <w:pPr>
              <w:keepNext/>
              <w:spacing w:after="40" w:line="240" w:lineRule="auto"/>
            </w:pPr>
            <w:hyperlink r:id="rId38">
              <w:r>
                <w:rPr>
                  <w:color w:val="174B76"/>
                  <w:sz w:val="18"/>
                </w:rPr>
                <w:t>https://docs.tomtom.com/legal/terms-and-conditions</w:t>
              </w:r>
            </w:hyperlink>
          </w:p>
        </w:tc>
      </w:tr>
      <w:tr>
        <w:trPr>
          <w:cantSplit/>
        </w:trPr>
        <w:tc>
          <w:tcPr>
            <w:tcW w:type="dxa" w:w="1134"/>
            <w:vAlign w:val="center"/>
          </w:tcPr>
          <w:p>
            <w:pPr>
              <w:keepNext/>
              <w:spacing w:after="40" w:line="240" w:lineRule="auto"/>
            </w:pPr>
            <w:r>
              <w:rPr>
                <w:rFonts w:ascii="Arial" w:hAnsi="Arial"/>
                <w:color w:val="000000"/>
                <w:sz w:val="18"/>
              </w:rPr>
              <w:t>2GIS docs</w:t>
            </w:r>
          </w:p>
        </w:tc>
        <w:tc>
          <w:tcPr>
            <w:tcW w:type="dxa" w:w="1134"/>
            <w:vAlign w:val="center"/>
          </w:tcPr>
          <w:p>
            <w:pPr>
              <w:keepNext/>
              <w:spacing w:after="40" w:line="240" w:lineRule="auto"/>
            </w:pPr>
            <w:r>
              <w:rPr>
                <w:rFonts w:ascii="Arial" w:hAnsi="Arial"/>
                <w:color w:val="000000"/>
                <w:sz w:val="18"/>
              </w:rPr>
              <w:t>2GIS</w:t>
            </w:r>
          </w:p>
        </w:tc>
        <w:tc>
          <w:tcPr>
            <w:tcW w:type="dxa" w:w="1020"/>
            <w:vAlign w:val="center"/>
          </w:tcPr>
          <w:p>
            <w:pPr>
              <w:keepNext/>
              <w:spacing w:after="40" w:line="240" w:lineRule="auto"/>
            </w:pPr>
            <w:r>
              <w:rPr>
                <w:rFonts w:ascii="Arial" w:hAnsi="Arial"/>
                <w:color w:val="000000"/>
                <w:sz w:val="18"/>
              </w:rPr>
              <w:t>24 October 2026</w:t>
            </w:r>
          </w:p>
        </w:tc>
        <w:tc>
          <w:tcPr>
            <w:tcW w:type="dxa" w:w="1701"/>
            <w:vAlign w:val="center"/>
          </w:tcPr>
          <w:p>
            <w:pPr>
              <w:keepNext/>
              <w:spacing w:after="40" w:line="240" w:lineRule="auto"/>
            </w:pPr>
            <w:r>
              <w:rPr>
                <w:rFonts w:ascii="Arial" w:hAnsi="Arial"/>
                <w:color w:val="000000"/>
                <w:sz w:val="18"/>
              </w:rPr>
              <w:t>Routing 7.0.0 global</w:t>
            </w:r>
          </w:p>
        </w:tc>
        <w:tc>
          <w:tcPr>
            <w:tcW w:type="dxa" w:w="2268"/>
            <w:vAlign w:val="center"/>
          </w:tcPr>
          <w:p>
            <w:pPr>
              <w:keepNext/>
              <w:spacing w:after="40" w:line="240" w:lineRule="auto"/>
            </w:pPr>
            <w:r>
              <w:rPr>
                <w:rFonts w:ascii="Arial" w:hAnsi="Arial"/>
                <w:color w:val="000000"/>
                <w:sz w:val="18"/>
              </w:rPr>
              <w:t>Documentation only; applicable demo rights unresolved</w:t>
            </w:r>
          </w:p>
        </w:tc>
        <w:tc>
          <w:tcPr>
            <w:tcW w:type="dxa" w:w="2381"/>
            <w:vAlign w:val="center"/>
          </w:tcPr>
          <w:p>
            <w:pPr>
              <w:keepNext/>
              <w:spacing w:after="40" w:line="240" w:lineRule="auto"/>
            </w:pPr>
            <w:hyperlink r:id="rId39">
              <w:r>
                <w:rPr>
                  <w:color w:val="174B76"/>
                  <w:sz w:val="18"/>
                </w:rPr>
                <w:t>https://docs.2gis.com/en/api/navigation/routing/overview</w:t>
              </w:r>
            </w:hyperlink>
          </w:p>
        </w:tc>
      </w:tr>
      <w:tr>
        <w:trPr>
          <w:cantSplit/>
        </w:trPr>
        <w:tc>
          <w:tcPr>
            <w:tcW w:type="dxa" w:w="1134"/>
            <w:vAlign w:val="center"/>
          </w:tcPr>
          <w:p>
            <w:pPr>
              <w:keepNext w:val="0"/>
              <w:spacing w:after="40" w:line="240" w:lineRule="auto"/>
            </w:pPr>
            <w:r>
              <w:rPr>
                <w:rFonts w:ascii="Arial" w:hAnsi="Arial"/>
                <w:color w:val="000000"/>
                <w:sz w:val="18"/>
              </w:rPr>
              <w:t>Study records</w:t>
            </w:r>
          </w:p>
        </w:tc>
        <w:tc>
          <w:tcPr>
            <w:tcW w:type="dxa" w:w="1134"/>
            <w:vAlign w:val="center"/>
          </w:tcPr>
          <w:p>
            <w:pPr>
              <w:keepNext w:val="0"/>
              <w:spacing w:after="40" w:line="240" w:lineRule="auto"/>
            </w:pPr>
            <w:r>
              <w:rPr>
                <w:rFonts w:ascii="Arial" w:hAnsi="Arial"/>
                <w:color w:val="000000"/>
                <w:sz w:val="18"/>
              </w:rPr>
              <w:t>Project team</w:t>
            </w:r>
          </w:p>
        </w:tc>
        <w:tc>
          <w:tcPr>
            <w:tcW w:type="dxa" w:w="1020"/>
            <w:vAlign w:val="center"/>
          </w:tcPr>
          <w:p>
            <w:pPr>
              <w:keepNext w:val="0"/>
              <w:spacing w:after="40" w:line="240" w:lineRule="auto"/>
            </w:pPr>
            <w:r>
              <w:rPr>
                <w:rFonts w:ascii="Arial" w:hAnsi="Arial"/>
                <w:color w:val="000000"/>
                <w:sz w:val="18"/>
              </w:rPr>
              <w:t>24 October 2026</w:t>
            </w:r>
          </w:p>
        </w:tc>
        <w:tc>
          <w:tcPr>
            <w:tcW w:type="dxa" w:w="1701"/>
            <w:vAlign w:val="center"/>
          </w:tcPr>
          <w:p>
            <w:pPr>
              <w:keepNext w:val="0"/>
              <w:spacing w:after="40" w:line="240" w:lineRule="auto"/>
            </w:pPr>
            <w:r>
              <w:rPr>
                <w:rFonts w:ascii="Arial" w:hAnsi="Arial"/>
                <w:color w:val="000000"/>
                <w:sz w:val="18"/>
              </w:rPr>
              <w:t>2026-10-24T02:53:12.358983+00:00</w:t>
            </w:r>
          </w:p>
        </w:tc>
        <w:tc>
          <w:tcPr>
            <w:tcW w:type="dxa" w:w="2268"/>
            <w:vAlign w:val="center"/>
          </w:tcPr>
          <w:p>
            <w:pPr>
              <w:keepNext w:val="0"/>
              <w:spacing w:after="40" w:line="240" w:lineRule="auto"/>
            </w:pPr>
            <w:r>
              <w:rPr>
                <w:rFonts w:ascii="Arial" w:hAnsi="Arial"/>
                <w:color w:val="000000"/>
                <w:sz w:val="18"/>
              </w:rPr>
              <w:t>Derived ORS outputs retain CC BY-SA attribution</w:t>
            </w:r>
          </w:p>
        </w:tc>
        <w:tc>
          <w:tcPr>
            <w:tcW w:type="dxa" w:w="2381"/>
            <w:vAlign w:val="center"/>
          </w:tcPr>
          <w:p>
            <w:pPr>
              <w:keepNext w:val="0"/>
              <w:spacing w:after="40" w:line="240" w:lineRule="auto"/>
            </w:pPr>
            <w:hyperlink r:id="rId40">
              <w:r>
                <w:rPr>
                  <w:color w:val="174B76"/>
                  <w:sz w:val="18"/>
                </w:rPr>
                <w:t>https://github.com/SuperFlyTK/rmt-a3-travel-time-astana/tree/main/data</w:t>
              </w:r>
            </w:hyperlink>
          </w:p>
        </w:tc>
      </w:tr>
    </w:tbl>
    <w:p>
      <w:pPr>
        <w:spacing w:after="20"/>
      </w:pPr>
    </w:p>
    <w:p>
      <w:pPr>
        <w:pStyle w:val="Heading3"/>
      </w:pPr>
      <w:r>
        <w:t>E.2 Data dictionary</w:t>
      </w:r>
    </w:p>
    <w:p>
      <w:pPr>
        <w:widowControl/>
      </w:pPr>
      <w:r>
        <w:rPr>
          <w:rFonts w:ascii="Arial" w:hAnsi="Arial"/>
          <w:color w:val="000000"/>
        </w:rPr>
        <w:t>The dictionary distinguishes absent optional fields from missing measurements. An empty no-traffic duration is expected for ORS and is not replaced by a fabricated baseline. Empty error and exclusion fields indicate a successful unflagged record, not poor data quality. Missing counts use each named dataset as their denominator. A paired dataset with no records has no observed missingness percentage. The inventory includes every raw, audited and paired column generated by the processing script.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2494"/>
        <w:gridCol w:w="964"/>
        <w:gridCol w:w="1304"/>
        <w:gridCol w:w="3231"/>
        <w:gridCol w:w="1644"/>
      </w:tblGrid>
      <w:tr>
        <w:trPr>
          <w:tblHeader/>
          <w:cantSplit/>
        </w:trPr>
        <w:tc>
          <w:tcPr>
            <w:tcW w:type="dxa" w:w="2494"/>
            <w:vAlign w:val="center"/>
            <w:shd w:fill="EAEAEA"/>
          </w:tcPr>
          <w:p>
            <w:pPr>
              <w:keepNext/>
              <w:spacing w:after="40" w:line="240" w:lineRule="auto"/>
            </w:pPr>
            <w:r>
              <w:rPr>
                <w:rFonts w:ascii="Arial" w:hAnsi="Arial"/>
                <w:b/>
                <w:color w:val="000000"/>
                <w:sz w:val="18"/>
              </w:rPr>
              <w:t>Dataset / column</w:t>
            </w:r>
          </w:p>
        </w:tc>
        <w:tc>
          <w:tcPr>
            <w:tcW w:type="dxa" w:w="964"/>
            <w:vAlign w:val="center"/>
            <w:shd w:fill="EAEAEA"/>
          </w:tcPr>
          <w:p>
            <w:pPr>
              <w:keepNext/>
              <w:spacing w:after="40" w:line="240" w:lineRule="auto"/>
            </w:pPr>
            <w:r>
              <w:rPr>
                <w:rFonts w:ascii="Arial" w:hAnsi="Arial"/>
                <w:b/>
                <w:color w:val="000000"/>
                <w:sz w:val="18"/>
              </w:rPr>
              <w:t>Type</w:t>
            </w:r>
          </w:p>
        </w:tc>
        <w:tc>
          <w:tcPr>
            <w:tcW w:type="dxa" w:w="1304"/>
            <w:vAlign w:val="center"/>
            <w:shd w:fill="EAEAEA"/>
          </w:tcPr>
          <w:p>
            <w:pPr>
              <w:keepNext/>
              <w:spacing w:after="40" w:line="240" w:lineRule="auto"/>
            </w:pPr>
            <w:r>
              <w:rPr>
                <w:rFonts w:ascii="Arial" w:hAnsi="Arial"/>
                <w:b/>
                <w:color w:val="000000"/>
                <w:sz w:val="18"/>
              </w:rPr>
              <w:t>Unit</w:t>
            </w:r>
          </w:p>
        </w:tc>
        <w:tc>
          <w:tcPr>
            <w:tcW w:type="dxa" w:w="3231"/>
            <w:vAlign w:val="center"/>
            <w:shd w:fill="EAEAEA"/>
          </w:tcPr>
          <w:p>
            <w:pPr>
              <w:keepNext/>
              <w:spacing w:after="40" w:line="240" w:lineRule="auto"/>
            </w:pPr>
            <w:r>
              <w:rPr>
                <w:rFonts w:ascii="Arial" w:hAnsi="Arial"/>
                <w:b/>
                <w:color w:val="000000"/>
                <w:sz w:val="18"/>
              </w:rPr>
              <w:t>Considered values or range</w:t>
            </w:r>
          </w:p>
        </w:tc>
        <w:tc>
          <w:tcPr>
            <w:tcW w:type="dxa" w:w="1644"/>
            <w:vAlign w:val="center"/>
            <w:shd w:fill="EAEAEA"/>
          </w:tcPr>
          <w:p>
            <w:pPr>
              <w:keepNext/>
              <w:spacing w:after="40" w:line="240" w:lineRule="auto"/>
            </w:pPr>
            <w:r>
              <w:rPr>
                <w:rFonts w:ascii="Arial" w:hAnsi="Arial"/>
                <w:b/>
                <w:color w:val="000000"/>
                <w:sz w:val="18"/>
              </w:rPr>
              <w:t>Missing count / %</w:t>
            </w:r>
          </w:p>
        </w:tc>
      </w:tr>
      <w:tr>
        <w:trPr>
          <w:cantSplit/>
        </w:trPr>
        <w:tc>
          <w:tcPr>
            <w:tcW w:type="dxa" w:w="2494"/>
            <w:vAlign w:val="center"/>
          </w:tcPr>
          <w:p>
            <w:pPr>
              <w:keepNext w:val="0"/>
              <w:spacing w:after="40" w:line="240" w:lineRule="auto"/>
            </w:pPr>
            <w:r>
              <w:rPr>
                <w:rFonts w:ascii="Arial" w:hAnsi="Arial"/>
                <w:color w:val="000000"/>
                <w:sz w:val="18"/>
              </w:rPr>
              <w:t>raw</w:t>
              <w:br/>
              <w:t>timestamp_utc</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UTC</w:t>
            </w:r>
          </w:p>
        </w:tc>
        <w:tc>
          <w:tcPr>
            <w:tcW w:type="dxa" w:w="3231"/>
            <w:vAlign w:val="center"/>
          </w:tcPr>
          <w:p>
            <w:pPr>
              <w:keepNext w:val="0"/>
              <w:spacing w:after="40" w:line="240" w:lineRule="auto"/>
            </w:pPr>
            <w:r>
              <w:rPr>
                <w:rFonts w:ascii="Arial" w:hAnsi="Arial"/>
                <w:color w:val="000000"/>
                <w:sz w:val="18"/>
              </w:rPr>
              <w:t>Timezone-aware request start</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timestamp_astana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Asia/Almaty</w:t>
            </w:r>
          </w:p>
        </w:tc>
        <w:tc>
          <w:tcPr>
            <w:tcW w:type="dxa" w:w="3231"/>
            <w:vAlign w:val="center"/>
          </w:tcPr>
          <w:p>
            <w:pPr>
              <w:keepNext w:val="0"/>
              <w:spacing w:after="40" w:line="240" w:lineRule="auto"/>
            </w:pPr>
            <w:r>
              <w:rPr>
                <w:rFonts w:ascii="Arial" w:hAnsi="Arial"/>
                <w:color w:val="000000"/>
                <w:sz w:val="18"/>
              </w:rPr>
              <w:t>Same instant in Astana; UTC+05 for study dates</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cycle_id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One collection cycle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route_id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Fixed OD route register</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provider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tomtom | dgis | ors</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duration_s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estimated travel time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duration_no_traffic_s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when returned; provider-specific baseline, not interchangeable</w:t>
            </w:r>
          </w:p>
        </w:tc>
        <w:tc>
          <w:tcPr>
            <w:tcW w:type="dxa" w:w="1644"/>
            <w:vAlign w:val="center"/>
          </w:tcPr>
          <w:p>
            <w:pPr>
              <w:keepNext w:val="0"/>
              <w:spacing w:after="40" w:line="240" w:lineRule="auto"/>
            </w:pPr>
            <w:r>
              <w:rPr>
                <w:rFonts w:ascii="Arial" w:hAnsi="Arial"/>
                <w:color w:val="000000"/>
                <w:sz w:val="18"/>
              </w:rPr>
              <w:t>64 / 100.0% (n=64)</w:t>
            </w:r>
          </w:p>
        </w:tc>
      </w:tr>
      <w:tr>
        <w:trPr>
          <w:cantSplit/>
        </w:trPr>
        <w:tc>
          <w:tcPr>
            <w:tcW w:type="dxa" w:w="2494"/>
            <w:vAlign w:val="center"/>
          </w:tcPr>
          <w:p>
            <w:pPr>
              <w:keepNext w:val="0"/>
              <w:spacing w:after="40" w:line="240" w:lineRule="auto"/>
            </w:pPr>
            <w:r>
              <w:rPr>
                <w:rFonts w:ascii="Arial" w:hAnsi="Arial"/>
                <w:color w:val="000000"/>
                <w:sz w:val="18"/>
              </w:rPr>
              <w:t>raw</w:t>
              <w:br/>
              <w:t>distance_m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 finite; provider returned route length</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status</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ok | http_error | transport_error | invalid_response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http_code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HTTP status</w:t>
            </w:r>
          </w:p>
        </w:tc>
        <w:tc>
          <w:tcPr>
            <w:tcW w:type="dxa" w:w="3231"/>
            <w:vAlign w:val="center"/>
          </w:tcPr>
          <w:p>
            <w:pPr>
              <w:keepNext w:val="0"/>
              <w:spacing w:after="40" w:line="240" w:lineRule="auto"/>
            </w:pPr>
            <w:r>
              <w:rPr>
                <w:rFonts w:ascii="Arial" w:hAnsi="Arial"/>
                <w:color w:val="000000"/>
                <w:sz w:val="18"/>
              </w:rPr>
              <w:t>100..599 or missing if transport failed</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error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text</w:t>
            </w:r>
          </w:p>
        </w:tc>
        <w:tc>
          <w:tcPr>
            <w:tcW w:type="dxa" w:w="3231"/>
            <w:vAlign w:val="center"/>
          </w:tcPr>
          <w:p>
            <w:pPr>
              <w:keepNext w:val="0"/>
              <w:spacing w:after="40" w:line="240" w:lineRule="auto"/>
            </w:pPr>
            <w:r>
              <w:rPr>
                <w:rFonts w:ascii="Arial" w:hAnsi="Arial"/>
                <w:color w:val="000000"/>
                <w:sz w:val="18"/>
              </w:rPr>
              <w:t>Sanitized collector error; blank on success</w:t>
            </w:r>
          </w:p>
        </w:tc>
        <w:tc>
          <w:tcPr>
            <w:tcW w:type="dxa" w:w="1644"/>
            <w:vAlign w:val="center"/>
          </w:tcPr>
          <w:p>
            <w:pPr>
              <w:keepNext w:val="0"/>
              <w:spacing w:after="40" w:line="240" w:lineRule="auto"/>
            </w:pPr>
            <w:r>
              <w:rPr>
                <w:rFonts w:ascii="Arial" w:hAnsi="Arial"/>
                <w:color w:val="000000"/>
                <w:sz w:val="18"/>
              </w:rPr>
              <w:t>64 / 100.0% (n=64)</w:t>
            </w:r>
          </w:p>
        </w:tc>
      </w:tr>
      <w:tr>
        <w:trPr>
          <w:cantSplit/>
        </w:trPr>
        <w:tc>
          <w:tcPr>
            <w:tcW w:type="dxa" w:w="2494"/>
            <w:vAlign w:val="center"/>
          </w:tcPr>
          <w:p>
            <w:pPr>
              <w:keepNext w:val="0"/>
              <w:spacing w:after="40" w:line="240" w:lineRule="auto"/>
            </w:pPr>
            <w:r>
              <w:rPr>
                <w:rFonts w:ascii="Arial" w:hAnsi="Arial"/>
                <w:color w:val="000000"/>
                <w:sz w:val="18"/>
              </w:rPr>
              <w:t>raw</w:t>
              <w:br/>
              <w:t>request_id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Unique collector request ID</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latency_s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geometry_file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geometry; optional, absence not a synthetic geometry</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raw_file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sanitized provider response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raw</w:t>
              <w:br/>
              <w:t>phase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pilot | scheduled | manual</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timestamp_utc</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UTC</w:t>
            </w:r>
          </w:p>
        </w:tc>
        <w:tc>
          <w:tcPr>
            <w:tcW w:type="dxa" w:w="3231"/>
            <w:vAlign w:val="center"/>
          </w:tcPr>
          <w:p>
            <w:pPr>
              <w:keepNext w:val="0"/>
              <w:spacing w:after="40" w:line="240" w:lineRule="auto"/>
            </w:pPr>
            <w:r>
              <w:rPr>
                <w:rFonts w:ascii="Arial" w:hAnsi="Arial"/>
                <w:color w:val="000000"/>
                <w:sz w:val="18"/>
              </w:rPr>
              <w:t>Timezone-aware request start</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timestamp_astana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Asia/Almaty</w:t>
            </w:r>
          </w:p>
        </w:tc>
        <w:tc>
          <w:tcPr>
            <w:tcW w:type="dxa" w:w="3231"/>
            <w:vAlign w:val="center"/>
          </w:tcPr>
          <w:p>
            <w:pPr>
              <w:keepNext w:val="0"/>
              <w:spacing w:after="40" w:line="240" w:lineRule="auto"/>
            </w:pPr>
            <w:r>
              <w:rPr>
                <w:rFonts w:ascii="Arial" w:hAnsi="Arial"/>
                <w:color w:val="000000"/>
                <w:sz w:val="18"/>
              </w:rPr>
              <w:t>Same instant in Astana; UTC+05 for study dates</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cycle_id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One collection cycle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route_id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Fixed OD route register</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provider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tomtom | dgis | ors</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duration_s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estimated travel time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duration_no_traffic_s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 when returned; provider-specific baseline, not interchangeable</w:t>
            </w:r>
          </w:p>
        </w:tc>
        <w:tc>
          <w:tcPr>
            <w:tcW w:type="dxa" w:w="1644"/>
            <w:vAlign w:val="center"/>
          </w:tcPr>
          <w:p>
            <w:pPr>
              <w:keepNext w:val="0"/>
              <w:spacing w:after="40" w:line="240" w:lineRule="auto"/>
            </w:pPr>
            <w:r>
              <w:rPr>
                <w:rFonts w:ascii="Arial" w:hAnsi="Arial"/>
                <w:color w:val="000000"/>
                <w:sz w:val="18"/>
              </w:rPr>
              <w:t>64 / 100.0% (n=64)</w:t>
            </w:r>
          </w:p>
        </w:tc>
      </w:tr>
      <w:tr>
        <w:trPr>
          <w:cantSplit/>
        </w:trPr>
        <w:tc>
          <w:tcPr>
            <w:tcW w:type="dxa" w:w="2494"/>
            <w:vAlign w:val="center"/>
          </w:tcPr>
          <w:p>
            <w:pPr>
              <w:keepNext w:val="0"/>
              <w:spacing w:after="40" w:line="240" w:lineRule="auto"/>
            </w:pPr>
            <w:r>
              <w:rPr>
                <w:rFonts w:ascii="Arial" w:hAnsi="Arial"/>
                <w:color w:val="000000"/>
                <w:sz w:val="18"/>
              </w:rPr>
              <w:t>observations</w:t>
              <w:br/>
              <w:t>distance_m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 finite; provider returned route length</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status</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ok | http_error | transport_error | invalid_response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http_code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HTTP status</w:t>
            </w:r>
          </w:p>
        </w:tc>
        <w:tc>
          <w:tcPr>
            <w:tcW w:type="dxa" w:w="3231"/>
            <w:vAlign w:val="center"/>
          </w:tcPr>
          <w:p>
            <w:pPr>
              <w:keepNext w:val="0"/>
              <w:spacing w:after="40" w:line="240" w:lineRule="auto"/>
            </w:pPr>
            <w:r>
              <w:rPr>
                <w:rFonts w:ascii="Arial" w:hAnsi="Arial"/>
                <w:color w:val="000000"/>
                <w:sz w:val="18"/>
              </w:rPr>
              <w:t>100..599 or missing if transport failed</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error</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text</w:t>
            </w:r>
          </w:p>
        </w:tc>
        <w:tc>
          <w:tcPr>
            <w:tcW w:type="dxa" w:w="3231"/>
            <w:vAlign w:val="center"/>
          </w:tcPr>
          <w:p>
            <w:pPr>
              <w:keepNext w:val="0"/>
              <w:spacing w:after="40" w:line="240" w:lineRule="auto"/>
            </w:pPr>
            <w:r>
              <w:rPr>
                <w:rFonts w:ascii="Arial" w:hAnsi="Arial"/>
                <w:color w:val="000000"/>
                <w:sz w:val="18"/>
              </w:rPr>
              <w:t>Sanitized collector error; blank on success</w:t>
            </w:r>
          </w:p>
        </w:tc>
        <w:tc>
          <w:tcPr>
            <w:tcW w:type="dxa" w:w="1644"/>
            <w:vAlign w:val="center"/>
          </w:tcPr>
          <w:p>
            <w:pPr>
              <w:keepNext w:val="0"/>
              <w:spacing w:after="40" w:line="240" w:lineRule="auto"/>
            </w:pPr>
            <w:r>
              <w:rPr>
                <w:rFonts w:ascii="Arial" w:hAnsi="Arial"/>
                <w:color w:val="000000"/>
                <w:sz w:val="18"/>
              </w:rPr>
              <w:t>64 / 100.0% (n=64)</w:t>
            </w:r>
          </w:p>
        </w:tc>
      </w:tr>
      <w:tr>
        <w:trPr>
          <w:cantSplit/>
        </w:trPr>
        <w:tc>
          <w:tcPr>
            <w:tcW w:type="dxa" w:w="2494"/>
            <w:vAlign w:val="center"/>
          </w:tcPr>
          <w:p>
            <w:pPr>
              <w:keepNext w:val="0"/>
              <w:spacing w:after="40" w:line="240" w:lineRule="auto"/>
            </w:pPr>
            <w:r>
              <w:rPr>
                <w:rFonts w:ascii="Arial" w:hAnsi="Arial"/>
                <w:color w:val="000000"/>
                <w:sz w:val="18"/>
              </w:rPr>
              <w:t>observations</w:t>
              <w:br/>
              <w:t>request_id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Unique collector request ID</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latency_s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 finite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geometry_file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geometry; optional, absence not a synthetic geometry</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raw_file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relative path</w:t>
            </w:r>
          </w:p>
        </w:tc>
        <w:tc>
          <w:tcPr>
            <w:tcW w:type="dxa" w:w="3231"/>
            <w:vAlign w:val="center"/>
          </w:tcPr>
          <w:p>
            <w:pPr>
              <w:keepNext w:val="0"/>
              <w:spacing w:after="40" w:line="240" w:lineRule="auto"/>
            </w:pPr>
            <w:r>
              <w:rPr>
                <w:rFonts w:ascii="Arial" w:hAnsi="Arial"/>
                <w:color w:val="000000"/>
                <w:sz w:val="18"/>
              </w:rPr>
              <w:t>Saved sanitized provider response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phase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pilot | scheduled | manual</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source_file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path</w:t>
            </w:r>
          </w:p>
        </w:tc>
        <w:tc>
          <w:tcPr>
            <w:tcW w:type="dxa" w:w="3231"/>
            <w:vAlign w:val="center"/>
          </w:tcPr>
          <w:p>
            <w:pPr>
              <w:keepNext w:val="0"/>
              <w:spacing w:after="40" w:line="240" w:lineRule="auto"/>
            </w:pPr>
            <w:r>
              <w:rPr>
                <w:rFonts w:ascii="Arial" w:hAnsi="Arial"/>
                <w:color w:val="000000"/>
                <w:sz w:val="18"/>
              </w:rPr>
              <w:t>Actual input CSV, repository-relative when inside the root</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source_line</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line</w:t>
            </w:r>
          </w:p>
        </w:tc>
        <w:tc>
          <w:tcPr>
            <w:tcW w:type="dxa" w:w="3231"/>
            <w:vAlign w:val="center"/>
          </w:tcPr>
          <w:p>
            <w:pPr>
              <w:keepNext w:val="0"/>
              <w:spacing w:after="40" w:line="240" w:lineRule="auto"/>
            </w:pPr>
            <w:r>
              <w:rPr>
                <w:rFonts w:ascii="Arial" w:hAnsi="Arial"/>
                <w:color w:val="000000"/>
                <w:sz w:val="18"/>
              </w:rPr>
              <w:t>&gt;=2, header is line 1</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period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peak [17:30,19:30); offpeak [10:00,12:00) or [22:00,24:00); other</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date_astana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local date</w:t>
            </w:r>
          </w:p>
        </w:tc>
        <w:tc>
          <w:tcPr>
            <w:tcW w:type="dxa" w:w="3231"/>
            <w:vAlign w:val="center"/>
          </w:tcPr>
          <w:p>
            <w:pPr>
              <w:keepNext w:val="0"/>
              <w:spacing w:after="40" w:line="240" w:lineRule="auto"/>
            </w:pPr>
            <w:r>
              <w:rPr>
                <w:rFonts w:ascii="Arial" w:hAnsi="Arial"/>
                <w:color w:val="000000"/>
                <w:sz w:val="18"/>
              </w:rPr>
              <w:t>Calendar date in Asia/Almaty</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speed_kmh</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km/h</w:t>
            </w:r>
          </w:p>
        </w:tc>
        <w:tc>
          <w:tcPr>
            <w:tcW w:type="dxa" w:w="3231"/>
            <w:vAlign w:val="center"/>
          </w:tcPr>
          <w:p>
            <w:pPr>
              <w:keepNext w:val="0"/>
              <w:spacing w:after="40" w:line="240" w:lineRule="auto"/>
            </w:pPr>
            <w:r>
              <w:rPr>
                <w:rFonts w:ascii="Arial" w:hAnsi="Arial"/>
                <w:color w:val="000000"/>
                <w:sz w:val="18"/>
              </w:rPr>
              <w:t>distance_m/duration_s*3.6; valid 2..200 inclusive</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usable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boolean</w:t>
            </w:r>
          </w:p>
        </w:tc>
        <w:tc>
          <w:tcPr>
            <w:tcW w:type="dxa" w:w="3231"/>
            <w:vAlign w:val="center"/>
          </w:tcPr>
          <w:p>
            <w:pPr>
              <w:keepNext w:val="0"/>
              <w:spacing w:after="40" w:line="240" w:lineRule="auto"/>
            </w:pPr>
            <w:r>
              <w:rPr>
                <w:rFonts w:ascii="Arial" w:hAnsi="Arial"/>
                <w:color w:val="000000"/>
                <w:sz w:val="18"/>
              </w:rPr>
              <w:t>Passed all rules needed for pairing</w:t>
            </w:r>
          </w:p>
        </w:tc>
        <w:tc>
          <w:tcPr>
            <w:tcW w:type="dxa" w:w="1644"/>
            <w:vAlign w:val="center"/>
          </w:tcPr>
          <w:p>
            <w:pPr>
              <w:keepNext w:val="0"/>
              <w:spacing w:after="40" w:line="240" w:lineRule="auto"/>
            </w:pPr>
            <w:r>
              <w:rPr>
                <w:rFonts w:ascii="Arial" w:hAnsi="Arial"/>
                <w:color w:val="000000"/>
                <w:sz w:val="18"/>
              </w:rPr>
              <w:t>0 / 0.0% (n=64)</w:t>
            </w:r>
          </w:p>
        </w:tc>
      </w:tr>
      <w:tr>
        <w:trPr>
          <w:cantSplit/>
        </w:trPr>
        <w:tc>
          <w:tcPr>
            <w:tcW w:type="dxa" w:w="2494"/>
            <w:vAlign w:val="center"/>
          </w:tcPr>
          <w:p>
            <w:pPr>
              <w:keepNext w:val="0"/>
              <w:spacing w:after="40" w:line="240" w:lineRule="auto"/>
            </w:pPr>
            <w:r>
              <w:rPr>
                <w:rFonts w:ascii="Arial" w:hAnsi="Arial"/>
                <w:color w:val="000000"/>
                <w:sz w:val="18"/>
              </w:rPr>
              <w:t>observations</w:t>
              <w:br/>
              <w:t>exclusion_reason</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codes</w:t>
            </w:r>
          </w:p>
        </w:tc>
        <w:tc>
          <w:tcPr>
            <w:tcW w:type="dxa" w:w="3231"/>
            <w:vAlign w:val="center"/>
          </w:tcPr>
          <w:p>
            <w:pPr>
              <w:keepNext w:val="0"/>
              <w:spacing w:after="40" w:line="240" w:lineRule="auto"/>
            </w:pPr>
            <w:r>
              <w:rPr>
                <w:rFonts w:ascii="Arial" w:hAnsi="Arial"/>
                <w:color w:val="000000"/>
                <w:sz w:val="18"/>
              </w:rPr>
              <w:t>Semicolon-separated validation flags; blank if usable</w:t>
            </w:r>
          </w:p>
        </w:tc>
        <w:tc>
          <w:tcPr>
            <w:tcW w:type="dxa" w:w="1644"/>
            <w:vAlign w:val="center"/>
          </w:tcPr>
          <w:p>
            <w:pPr>
              <w:keepNext w:val="0"/>
              <w:spacing w:after="40" w:line="240" w:lineRule="auto"/>
            </w:pPr>
            <w:r>
              <w:rPr>
                <w:rFonts w:ascii="Arial" w:hAnsi="Arial"/>
                <w:color w:val="000000"/>
                <w:sz w:val="18"/>
              </w:rPr>
              <w:t>64 / 100.0% (n=64)</w:t>
            </w:r>
          </w:p>
        </w:tc>
      </w:tr>
      <w:tr>
        <w:trPr>
          <w:cantSplit/>
        </w:trPr>
        <w:tc>
          <w:tcPr>
            <w:tcW w:type="dxa" w:w="2494"/>
            <w:vAlign w:val="center"/>
          </w:tcPr>
          <w:p>
            <w:pPr>
              <w:keepNext w:val="0"/>
              <w:spacing w:after="40" w:line="240" w:lineRule="auto"/>
            </w:pPr>
            <w:r>
              <w:rPr>
                <w:rFonts w:ascii="Arial" w:hAnsi="Arial"/>
                <w:color w:val="000000"/>
                <w:sz w:val="18"/>
              </w:rPr>
              <w:t>observations</w:t>
              <w:br/>
              <w:t>duplicate_kind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exact | conflicting_identity | blank</w:t>
            </w:r>
          </w:p>
        </w:tc>
        <w:tc>
          <w:tcPr>
            <w:tcW w:type="dxa" w:w="1644"/>
            <w:vAlign w:val="center"/>
          </w:tcPr>
          <w:p>
            <w:pPr>
              <w:keepNext w:val="0"/>
              <w:spacing w:after="40" w:line="240" w:lineRule="auto"/>
            </w:pPr>
            <w:r>
              <w:rPr>
                <w:rFonts w:ascii="Arial" w:hAnsi="Arial"/>
                <w:color w:val="000000"/>
                <w:sz w:val="18"/>
              </w:rPr>
              <w:t>64 / 100.0% (n=64)</w:t>
            </w:r>
          </w:p>
        </w:tc>
      </w:tr>
      <w:tr>
        <w:trPr>
          <w:cantSplit/>
        </w:trPr>
        <w:tc>
          <w:tcPr>
            <w:tcW w:type="dxa" w:w="2494"/>
            <w:vAlign w:val="center"/>
          </w:tcPr>
          <w:p>
            <w:pPr>
              <w:keepNext w:val="0"/>
              <w:spacing w:after="40" w:line="240" w:lineRule="auto"/>
            </w:pPr>
            <w:r>
              <w:rPr>
                <w:rFonts w:ascii="Arial" w:hAnsi="Arial"/>
                <w:color w:val="000000"/>
                <w:sz w:val="18"/>
              </w:rPr>
              <w:t>pairs</w:t>
              <w:br/>
              <w:t>timestamp_utc</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UTC</w:t>
            </w:r>
          </w:p>
        </w:tc>
        <w:tc>
          <w:tcPr>
            <w:tcW w:type="dxa" w:w="3231"/>
            <w:vAlign w:val="center"/>
          </w:tcPr>
          <w:p>
            <w:pPr>
              <w:keepNext w:val="0"/>
              <w:spacing w:after="40" w:line="240" w:lineRule="auto"/>
            </w:pPr>
            <w:r>
              <w:rPr>
                <w:rFonts w:ascii="Arial" w:hAnsi="Arial"/>
                <w:color w:val="000000"/>
                <w:sz w:val="18"/>
              </w:rPr>
              <w:t>Timezone-aware request start</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timestamp_astana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ISO 8601 Asia/Almaty</w:t>
            </w:r>
          </w:p>
        </w:tc>
        <w:tc>
          <w:tcPr>
            <w:tcW w:type="dxa" w:w="3231"/>
            <w:vAlign w:val="center"/>
          </w:tcPr>
          <w:p>
            <w:pPr>
              <w:keepNext w:val="0"/>
              <w:spacing w:after="40" w:line="240" w:lineRule="auto"/>
            </w:pPr>
            <w:r>
              <w:rPr>
                <w:rFonts w:ascii="Arial" w:hAnsi="Arial"/>
                <w:color w:val="000000"/>
                <w:sz w:val="18"/>
              </w:rPr>
              <w:t>Same instant in Astana; UTC+05 for study dates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date_astana</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local date</w:t>
            </w:r>
          </w:p>
        </w:tc>
        <w:tc>
          <w:tcPr>
            <w:tcW w:type="dxa" w:w="3231"/>
            <w:vAlign w:val="center"/>
          </w:tcPr>
          <w:p>
            <w:pPr>
              <w:keepNext w:val="0"/>
              <w:spacing w:after="40" w:line="240" w:lineRule="auto"/>
            </w:pPr>
            <w:r>
              <w:rPr>
                <w:rFonts w:ascii="Arial" w:hAnsi="Arial"/>
                <w:color w:val="000000"/>
                <w:sz w:val="18"/>
              </w:rPr>
              <w:t>Calendar date in Asia/Almaty</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phase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pilot | scheduled | manual</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cycle_id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One collection cycle</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route_id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identifier</w:t>
            </w:r>
          </w:p>
        </w:tc>
        <w:tc>
          <w:tcPr>
            <w:tcW w:type="dxa" w:w="3231"/>
            <w:vAlign w:val="center"/>
          </w:tcPr>
          <w:p>
            <w:pPr>
              <w:keepNext w:val="0"/>
              <w:spacing w:after="40" w:line="240" w:lineRule="auto"/>
            </w:pPr>
            <w:r>
              <w:rPr>
                <w:rFonts w:ascii="Arial" w:hAnsi="Arial"/>
                <w:color w:val="000000"/>
                <w:sz w:val="18"/>
              </w:rPr>
              <w:t>Fixed OD route register</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provider_a</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Order: tomtom, dgis, ors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provider_b</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Order: tomtom, dgis, ors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comparison_role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primary = tomtom-dgis; control = any comparison with ORS</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period</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category</w:t>
            </w:r>
          </w:p>
        </w:tc>
        <w:tc>
          <w:tcPr>
            <w:tcW w:type="dxa" w:w="3231"/>
            <w:vAlign w:val="center"/>
          </w:tcPr>
          <w:p>
            <w:pPr>
              <w:keepNext w:val="0"/>
              <w:spacing w:after="40" w:line="240" w:lineRule="auto"/>
            </w:pPr>
            <w:r>
              <w:rPr>
                <w:rFonts w:ascii="Arial" w:hAnsi="Arial"/>
                <w:color w:val="000000"/>
                <w:sz w:val="18"/>
              </w:rPr>
              <w:t>peak [17:30,19:30); offpeak [10:00,12:00) or [22:00,24:00); other</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time_gap_s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Absolute request-start separation; paired &lt;=60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duration_a_s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duration_b_s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distance_a_m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distance_b_m</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metres</w:t>
            </w:r>
          </w:p>
        </w:tc>
        <w:tc>
          <w:tcPr>
            <w:tcW w:type="dxa" w:w="3231"/>
            <w:vAlign w:val="center"/>
          </w:tcPr>
          <w:p>
            <w:pPr>
              <w:keepNext w:val="0"/>
              <w:spacing w:after="40" w:line="240" w:lineRule="auto"/>
            </w:pPr>
            <w:r>
              <w:rPr>
                <w:rFonts w:ascii="Arial" w:hAnsi="Arial"/>
                <w:color w:val="000000"/>
                <w:sz w:val="18"/>
              </w:rPr>
              <w:t>&gt;0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mean_duration_s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(A+B)/2</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signed_diff_s</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 positive means A estimates longer</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abs_diff_s</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seconds</w:t>
            </w:r>
          </w:p>
        </w:tc>
        <w:tc>
          <w:tcPr>
            <w:tcW w:type="dxa" w:w="3231"/>
            <w:vAlign w:val="center"/>
          </w:tcPr>
          <w:p>
            <w:pPr>
              <w:keepNext w:val="0"/>
              <w:spacing w:after="40" w:line="240" w:lineRule="auto"/>
            </w:pPr>
            <w:r>
              <w:rPr>
                <w:rFonts w:ascii="Arial" w:hAnsi="Arial"/>
                <w:color w:val="000000"/>
                <w:sz w:val="18"/>
              </w:rPr>
              <w:t>|A-B|; lower indicates closer agreement</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relative_diff_pct</w:t>
            </w:r>
          </w:p>
        </w:tc>
        <w:tc>
          <w:tcPr>
            <w:tcW w:type="dxa" w:w="964"/>
            <w:vAlign w:val="center"/>
          </w:tcPr>
          <w:p>
            <w:pPr>
              <w:keepNext w:val="0"/>
              <w:spacing w:after="40" w:line="240" w:lineRule="auto"/>
            </w:pPr>
            <w:r>
              <w:rPr>
                <w:rFonts w:ascii="Arial" w:hAnsi="Arial"/>
                <w:color w:val="000000"/>
                <w:sz w:val="18"/>
              </w:rPr>
              <w:t>interval</w:t>
            </w:r>
          </w:p>
        </w:tc>
        <w:tc>
          <w:tcPr>
            <w:tcW w:type="dxa" w:w="1304"/>
            <w:vAlign w:val="center"/>
          </w:tcPr>
          <w:p>
            <w:pPr>
              <w:keepNext w:val="0"/>
              <w:spacing w:after="40" w:line="240" w:lineRule="auto"/>
            </w:pPr>
            <w:r>
              <w:rPr>
                <w:rFonts w:ascii="Arial" w:hAnsi="Arial"/>
                <w:color w:val="000000"/>
                <w:sz w:val="18"/>
              </w:rPr>
              <w:t>%</w:t>
            </w:r>
          </w:p>
        </w:tc>
        <w:tc>
          <w:tcPr>
            <w:tcW w:type="dxa" w:w="3231"/>
            <w:vAlign w:val="center"/>
          </w:tcPr>
          <w:p>
            <w:pPr>
              <w:keepNext w:val="0"/>
              <w:spacing w:after="40" w:line="240" w:lineRule="auto"/>
            </w:pPr>
            <w:r>
              <w:rPr>
                <w:rFonts w:ascii="Arial" w:hAnsi="Arial"/>
                <w:color w:val="000000"/>
                <w:sz w:val="18"/>
              </w:rPr>
              <w:t>100*(A-B)/((A+B)/2); -200..200</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smape_pct</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w:t>
            </w:r>
          </w:p>
        </w:tc>
        <w:tc>
          <w:tcPr>
            <w:tcW w:type="dxa" w:w="3231"/>
            <w:vAlign w:val="center"/>
          </w:tcPr>
          <w:p>
            <w:pPr>
              <w:keepNext w:val="0"/>
              <w:spacing w:after="40" w:line="240" w:lineRule="auto"/>
            </w:pPr>
            <w:r>
              <w:rPr>
                <w:rFonts w:ascii="Arial" w:hAnsi="Arial"/>
                <w:color w:val="000000"/>
                <w:sz w:val="18"/>
              </w:rPr>
              <w:t>100*|A-B|/((A+B)/2); 0..200, lower is closer agreement</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length_diff_pct</w:t>
            </w:r>
          </w:p>
        </w:tc>
        <w:tc>
          <w:tcPr>
            <w:tcW w:type="dxa" w:w="964"/>
            <w:vAlign w:val="center"/>
          </w:tcPr>
          <w:p>
            <w:pPr>
              <w:keepNext w:val="0"/>
              <w:spacing w:after="40" w:line="240" w:lineRule="auto"/>
            </w:pPr>
            <w:r>
              <w:rPr>
                <w:rFonts w:ascii="Arial" w:hAnsi="Arial"/>
                <w:color w:val="000000"/>
                <w:sz w:val="18"/>
              </w:rPr>
              <w:t>ratio</w:t>
            </w:r>
          </w:p>
        </w:tc>
        <w:tc>
          <w:tcPr>
            <w:tcW w:type="dxa" w:w="1304"/>
            <w:vAlign w:val="center"/>
          </w:tcPr>
          <w:p>
            <w:pPr>
              <w:keepNext w:val="0"/>
              <w:spacing w:after="40" w:line="240" w:lineRule="auto"/>
            </w:pPr>
            <w:r>
              <w:rPr>
                <w:rFonts w:ascii="Arial" w:hAnsi="Arial"/>
                <w:color w:val="000000"/>
                <w:sz w:val="18"/>
              </w:rPr>
              <w:t>%</w:t>
            </w:r>
          </w:p>
        </w:tc>
        <w:tc>
          <w:tcPr>
            <w:tcW w:type="dxa" w:w="3231"/>
            <w:vAlign w:val="center"/>
          </w:tcPr>
          <w:p>
            <w:pPr>
              <w:keepNext w:val="0"/>
              <w:spacing w:after="40" w:line="240" w:lineRule="auto"/>
            </w:pPr>
            <w:r>
              <w:rPr>
                <w:rFonts w:ascii="Arial" w:hAnsi="Arial"/>
                <w:color w:val="000000"/>
                <w:sz w:val="18"/>
              </w:rPr>
              <w:t>100*|lengthA-lengthB|/((lengthA+lengthB)/2)</w:t>
            </w:r>
          </w:p>
        </w:tc>
        <w:tc>
          <w:tcPr>
            <w:tcW w:type="dxa" w:w="1644"/>
            <w:vAlign w:val="center"/>
          </w:tcPr>
          <w:p>
            <w:pPr>
              <w:keepNext w:val="0"/>
              <w:spacing w:after="40" w:line="240" w:lineRule="auto"/>
            </w:pPr>
            <w:r>
              <w:rPr>
                <w:rFonts w:ascii="Arial" w:hAnsi="Arial"/>
                <w:color w:val="000000"/>
                <w:sz w:val="18"/>
              </w:rPr>
              <w:t>0 / N/A (n=0)</w:t>
            </w:r>
          </w:p>
        </w:tc>
      </w:tr>
      <w:tr>
        <w:trPr>
          <w:cantSplit/>
        </w:trPr>
        <w:tc>
          <w:tcPr>
            <w:tcW w:type="dxa" w:w="2494"/>
            <w:vAlign w:val="center"/>
          </w:tcPr>
          <w:p>
            <w:pPr>
              <w:keepNext w:val="0"/>
              <w:spacing w:after="40" w:line="240" w:lineRule="auto"/>
            </w:pPr>
            <w:r>
              <w:rPr>
                <w:rFonts w:ascii="Arial" w:hAnsi="Arial"/>
                <w:color w:val="000000"/>
                <w:sz w:val="18"/>
              </w:rPr>
              <w:t>pairs</w:t>
              <w:br/>
              <w:t>length_comparable</w:t>
            </w:r>
          </w:p>
        </w:tc>
        <w:tc>
          <w:tcPr>
            <w:tcW w:type="dxa" w:w="964"/>
            <w:vAlign w:val="center"/>
          </w:tcPr>
          <w:p>
            <w:pPr>
              <w:keepNext w:val="0"/>
              <w:spacing w:after="40" w:line="240" w:lineRule="auto"/>
            </w:pPr>
            <w:r>
              <w:rPr>
                <w:rFonts w:ascii="Arial" w:hAnsi="Arial"/>
                <w:color w:val="000000"/>
                <w:sz w:val="18"/>
              </w:rPr>
              <w:t>nominal</w:t>
            </w:r>
          </w:p>
        </w:tc>
        <w:tc>
          <w:tcPr>
            <w:tcW w:type="dxa" w:w="1304"/>
            <w:vAlign w:val="center"/>
          </w:tcPr>
          <w:p>
            <w:pPr>
              <w:keepNext w:val="0"/>
              <w:spacing w:after="40" w:line="240" w:lineRule="auto"/>
            </w:pPr>
            <w:r>
              <w:rPr>
                <w:rFonts w:ascii="Arial" w:hAnsi="Arial"/>
                <w:color w:val="000000"/>
                <w:sz w:val="18"/>
              </w:rPr>
              <w:t>boolean</w:t>
            </w:r>
          </w:p>
        </w:tc>
        <w:tc>
          <w:tcPr>
            <w:tcW w:type="dxa" w:w="3231"/>
            <w:vAlign w:val="center"/>
          </w:tcPr>
          <w:p>
            <w:pPr>
              <w:keepNext w:val="0"/>
              <w:spacing w:after="40" w:line="240" w:lineRule="auto"/>
            </w:pPr>
            <w:r>
              <w:rPr>
                <w:rFonts w:ascii="Arial" w:hAnsi="Arial"/>
                <w:color w:val="000000"/>
                <w:sz w:val="18"/>
              </w:rPr>
              <w:t>Length difference &lt;=5%; proxy only, does not prove identical paths</w:t>
            </w:r>
          </w:p>
        </w:tc>
        <w:tc>
          <w:tcPr>
            <w:tcW w:type="dxa" w:w="1644"/>
            <w:vAlign w:val="center"/>
          </w:tcPr>
          <w:p>
            <w:pPr>
              <w:keepNext w:val="0"/>
              <w:spacing w:after="40" w:line="240" w:lineRule="auto"/>
            </w:pPr>
            <w:r>
              <w:rPr>
                <w:rFonts w:ascii="Arial" w:hAnsi="Arial"/>
                <w:color w:val="000000"/>
                <w:sz w:val="18"/>
              </w:rPr>
              <w:t>0 / N/A (n=0)</w:t>
            </w:r>
          </w:p>
        </w:tc>
      </w:tr>
    </w:tbl>
    <w:p>
      <w:pPr>
        <w:spacing w:after="20"/>
      </w:pPr>
    </w:p>
    <w:p>
      <w:pPr>
        <w:pStyle w:val="Heading3"/>
      </w:pPr>
      <w:r>
        <w:t>E.3 Cleaning log</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587"/>
        <w:gridCol w:w="3912"/>
        <w:gridCol w:w="1361"/>
        <w:gridCol w:w="2778"/>
      </w:tblGrid>
      <w:tr>
        <w:trPr>
          <w:tblHeader/>
          <w:cantSplit/>
        </w:trPr>
        <w:tc>
          <w:tcPr>
            <w:tcW w:type="dxa" w:w="1587"/>
            <w:vAlign w:val="center"/>
            <w:shd w:fill="EAEAEA"/>
          </w:tcPr>
          <w:p>
            <w:pPr>
              <w:keepNext/>
              <w:spacing w:after="40" w:line="240" w:lineRule="auto"/>
            </w:pPr>
            <w:r>
              <w:rPr>
                <w:rFonts w:ascii="Arial" w:hAnsi="Arial"/>
                <w:b/>
                <w:color w:val="000000"/>
                <w:sz w:val="18"/>
              </w:rPr>
              <w:t>Step</w:t>
            </w:r>
          </w:p>
        </w:tc>
        <w:tc>
          <w:tcPr>
            <w:tcW w:type="dxa" w:w="3912"/>
            <w:vAlign w:val="center"/>
            <w:shd w:fill="EAEAEA"/>
          </w:tcPr>
          <w:p>
            <w:pPr>
              <w:keepNext/>
              <w:spacing w:after="40" w:line="240" w:lineRule="auto"/>
            </w:pPr>
            <w:r>
              <w:rPr>
                <w:rFonts w:ascii="Arial" w:hAnsi="Arial"/>
                <w:b/>
                <w:color w:val="000000"/>
                <w:sz w:val="18"/>
              </w:rPr>
              <w:t>Rule applied</w:t>
            </w:r>
          </w:p>
        </w:tc>
        <w:tc>
          <w:tcPr>
            <w:tcW w:type="dxa" w:w="1361"/>
            <w:vAlign w:val="center"/>
            <w:shd w:fill="EAEAEA"/>
          </w:tcPr>
          <w:p>
            <w:pPr>
              <w:keepNext/>
              <w:spacing w:after="40" w:line="240" w:lineRule="auto"/>
            </w:pPr>
            <w:r>
              <w:rPr>
                <w:rFonts w:ascii="Arial" w:hAnsi="Arial"/>
                <w:b/>
                <w:color w:val="000000"/>
                <w:sz w:val="18"/>
              </w:rPr>
              <w:t>Rows before / after</w:t>
            </w:r>
          </w:p>
        </w:tc>
        <w:tc>
          <w:tcPr>
            <w:tcW w:type="dxa" w:w="2778"/>
            <w:vAlign w:val="center"/>
            <w:shd w:fill="EAEAEA"/>
          </w:tcPr>
          <w:p>
            <w:pPr>
              <w:keepNext/>
              <w:spacing w:after="40" w:line="240" w:lineRule="auto"/>
            </w:pPr>
            <w:r>
              <w:rPr>
                <w:rFonts w:ascii="Arial" w:hAnsi="Arial"/>
                <w:b/>
                <w:color w:val="000000"/>
                <w:sz w:val="18"/>
              </w:rPr>
              <w:t>What it revealed</w:t>
            </w:r>
          </w:p>
        </w:tc>
      </w:tr>
      <w:tr>
        <w:trPr>
          <w:cantSplit/>
        </w:trPr>
        <w:tc>
          <w:tcPr>
            <w:tcW w:type="dxa" w:w="1587"/>
            <w:vAlign w:val="center"/>
          </w:tcPr>
          <w:p>
            <w:pPr>
              <w:keepNext w:val="0"/>
              <w:spacing w:after="40" w:line="240" w:lineRule="auto"/>
            </w:pPr>
            <w:r>
              <w:rPr>
                <w:rFonts w:ascii="Arial" w:hAnsi="Arial"/>
                <w:color w:val="000000"/>
                <w:sz w:val="18"/>
              </w:rPr>
              <w:t>0</w:t>
            </w:r>
          </w:p>
        </w:tc>
        <w:tc>
          <w:tcPr>
            <w:tcW w:type="dxa" w:w="3912"/>
            <w:vAlign w:val="center"/>
          </w:tcPr>
          <w:p>
            <w:pPr>
              <w:keepNext w:val="0"/>
              <w:spacing w:after="40" w:line="240" w:lineRule="auto"/>
            </w:pPr>
            <w:r>
              <w:rPr>
                <w:rFonts w:ascii="Arial" w:hAnsi="Arial"/>
                <w:color w:val="000000"/>
                <w:sz w:val="18"/>
              </w:rPr>
              <w:t>Read all top-level raw CSV files; originals unchanged</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All exclusions remain visible in observations.csv</w:t>
              <w:br/>
              <w:t>Affected rows: 0</w:t>
            </w:r>
          </w:p>
        </w:tc>
      </w:tr>
      <w:tr>
        <w:trPr>
          <w:cantSplit/>
        </w:trPr>
        <w:tc>
          <w:tcPr>
            <w:tcW w:type="dxa" w:w="1587"/>
            <w:vAlign w:val="center"/>
          </w:tcPr>
          <w:p>
            <w:pPr>
              <w:keepNext w:val="0"/>
              <w:spacing w:after="40" w:line="240" w:lineRule="auto"/>
            </w:pPr>
            <w:r>
              <w:rPr>
                <w:rFonts w:ascii="Arial" w:hAnsi="Arial"/>
                <w:color w:val="000000"/>
                <w:sz w:val="18"/>
              </w:rPr>
              <w:t>1</w:t>
            </w:r>
          </w:p>
        </w:tc>
        <w:tc>
          <w:tcPr>
            <w:tcW w:type="dxa" w:w="3912"/>
            <w:vAlign w:val="center"/>
          </w:tcPr>
          <w:p>
            <w:pPr>
              <w:keepNext w:val="0"/>
              <w:spacing w:after="40" w:line="240" w:lineRule="auto"/>
            </w:pPr>
            <w:r>
              <w:rPr>
                <w:rFonts w:ascii="Arial" w:hAnsi="Arial"/>
                <w:color w:val="000000"/>
                <w:sz w:val="18"/>
              </w:rPr>
              <w:t>exact_duplicate</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2</w:t>
            </w:r>
          </w:p>
        </w:tc>
        <w:tc>
          <w:tcPr>
            <w:tcW w:type="dxa" w:w="3912"/>
            <w:vAlign w:val="center"/>
          </w:tcPr>
          <w:p>
            <w:pPr>
              <w:keepNext w:val="0"/>
              <w:spacing w:after="40" w:line="240" w:lineRule="auto"/>
            </w:pPr>
            <w:r>
              <w:rPr>
                <w:rFonts w:ascii="Arial" w:hAnsi="Arial"/>
                <w:color w:val="000000"/>
                <w:sz w:val="18"/>
              </w:rPr>
              <w:t>conflicting_duplicate_identity</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3</w:t>
            </w:r>
          </w:p>
        </w:tc>
        <w:tc>
          <w:tcPr>
            <w:tcW w:type="dxa" w:w="3912"/>
            <w:vAlign w:val="center"/>
          </w:tcPr>
          <w:p>
            <w:pPr>
              <w:keepNext w:val="0"/>
              <w:spacing w:after="40" w:line="240" w:lineRule="auto"/>
            </w:pPr>
            <w:r>
              <w:rPr>
                <w:rFonts w:ascii="Arial" w:hAnsi="Arial"/>
                <w:color w:val="000000"/>
                <w:sz w:val="18"/>
              </w:rPr>
              <w:t>duplicate_request_id</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4</w:t>
            </w:r>
          </w:p>
        </w:tc>
        <w:tc>
          <w:tcPr>
            <w:tcW w:type="dxa" w:w="3912"/>
            <w:vAlign w:val="center"/>
          </w:tcPr>
          <w:p>
            <w:pPr>
              <w:keepNext w:val="0"/>
              <w:spacing w:after="40" w:line="240" w:lineRule="auto"/>
            </w:pPr>
            <w:r>
              <w:rPr>
                <w:rFonts w:ascii="Arial" w:hAnsi="Arial"/>
                <w:color w:val="000000"/>
                <w:sz w:val="18"/>
              </w:rPr>
              <w:t>invalid_timestamp</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5</w:t>
            </w:r>
          </w:p>
        </w:tc>
        <w:tc>
          <w:tcPr>
            <w:tcW w:type="dxa" w:w="3912"/>
            <w:vAlign w:val="center"/>
          </w:tcPr>
          <w:p>
            <w:pPr>
              <w:keepNext w:val="0"/>
              <w:spacing w:after="40" w:line="240" w:lineRule="auto"/>
            </w:pPr>
            <w:r>
              <w:rPr>
                <w:rFonts w:ascii="Arial" w:hAnsi="Arial"/>
                <w:color w:val="000000"/>
                <w:sz w:val="18"/>
              </w:rPr>
              <w:t>timestamp_disagreement</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6</w:t>
            </w:r>
          </w:p>
        </w:tc>
        <w:tc>
          <w:tcPr>
            <w:tcW w:type="dxa" w:w="3912"/>
            <w:vAlign w:val="center"/>
          </w:tcPr>
          <w:p>
            <w:pPr>
              <w:keepNext w:val="0"/>
              <w:spacing w:after="40" w:line="240" w:lineRule="auto"/>
            </w:pPr>
            <w:r>
              <w:rPr>
                <w:rFonts w:ascii="Arial" w:hAnsi="Arial"/>
                <w:color w:val="000000"/>
                <w:sz w:val="18"/>
              </w:rPr>
              <w:t>unknown_provider</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7</w:t>
            </w:r>
          </w:p>
        </w:tc>
        <w:tc>
          <w:tcPr>
            <w:tcW w:type="dxa" w:w="3912"/>
            <w:vAlign w:val="center"/>
          </w:tcPr>
          <w:p>
            <w:pPr>
              <w:keepNext w:val="0"/>
              <w:spacing w:after="40" w:line="240" w:lineRule="auto"/>
            </w:pPr>
            <w:r>
              <w:rPr>
                <w:rFonts w:ascii="Arial" w:hAnsi="Arial"/>
                <w:color w:val="000000"/>
                <w:sz w:val="18"/>
              </w:rPr>
              <w:t>missing_identity</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8</w:t>
            </w:r>
          </w:p>
        </w:tc>
        <w:tc>
          <w:tcPr>
            <w:tcW w:type="dxa" w:w="3912"/>
            <w:vAlign w:val="center"/>
          </w:tcPr>
          <w:p>
            <w:pPr>
              <w:keepNext w:val="0"/>
              <w:spacing w:after="40" w:line="240" w:lineRule="auto"/>
            </w:pPr>
            <w:r>
              <w:rPr>
                <w:rFonts w:ascii="Arial" w:hAnsi="Arial"/>
                <w:color w:val="000000"/>
                <w:sz w:val="18"/>
              </w:rPr>
              <w:t>unknown_phase</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9</w:t>
            </w:r>
          </w:p>
        </w:tc>
        <w:tc>
          <w:tcPr>
            <w:tcW w:type="dxa" w:w="3912"/>
            <w:vAlign w:val="center"/>
          </w:tcPr>
          <w:p>
            <w:pPr>
              <w:keepNext w:val="0"/>
              <w:spacing w:after="40" w:line="240" w:lineRule="auto"/>
            </w:pPr>
            <w:r>
              <w:rPr>
                <w:rFonts w:ascii="Arial" w:hAnsi="Arial"/>
                <w:color w:val="000000"/>
                <w:sz w:val="18"/>
              </w:rPr>
              <w:t>request_failed</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10</w:t>
            </w:r>
          </w:p>
        </w:tc>
        <w:tc>
          <w:tcPr>
            <w:tcW w:type="dxa" w:w="3912"/>
            <w:vAlign w:val="center"/>
          </w:tcPr>
          <w:p>
            <w:pPr>
              <w:keepNext w:val="0"/>
              <w:spacing w:after="40" w:line="240" w:lineRule="auto"/>
            </w:pPr>
            <w:r>
              <w:rPr>
                <w:rFonts w:ascii="Arial" w:hAnsi="Arial"/>
                <w:color w:val="000000"/>
                <w:sz w:val="18"/>
              </w:rPr>
              <w:t>invalid_duration</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11</w:t>
            </w:r>
          </w:p>
        </w:tc>
        <w:tc>
          <w:tcPr>
            <w:tcW w:type="dxa" w:w="3912"/>
            <w:vAlign w:val="center"/>
          </w:tcPr>
          <w:p>
            <w:pPr>
              <w:keepNext w:val="0"/>
              <w:spacing w:after="40" w:line="240" w:lineRule="auto"/>
            </w:pPr>
            <w:r>
              <w:rPr>
                <w:rFonts w:ascii="Arial" w:hAnsi="Arial"/>
                <w:color w:val="000000"/>
                <w:sz w:val="18"/>
              </w:rPr>
              <w:t>invalid_distance</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12</w:t>
            </w:r>
          </w:p>
        </w:tc>
        <w:tc>
          <w:tcPr>
            <w:tcW w:type="dxa" w:w="3912"/>
            <w:vAlign w:val="center"/>
          </w:tcPr>
          <w:p>
            <w:pPr>
              <w:keepNext w:val="0"/>
              <w:spacing w:after="40" w:line="240" w:lineRule="auto"/>
            </w:pPr>
            <w:r>
              <w:rPr>
                <w:rFonts w:ascii="Arial" w:hAnsi="Arial"/>
                <w:color w:val="000000"/>
                <w:sz w:val="18"/>
              </w:rPr>
              <w:t>speed_outside_2_200_kmh</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13</w:t>
            </w:r>
          </w:p>
        </w:tc>
        <w:tc>
          <w:tcPr>
            <w:tcW w:type="dxa" w:w="3912"/>
            <w:vAlign w:val="center"/>
          </w:tcPr>
          <w:p>
            <w:pPr>
              <w:keepNext w:val="0"/>
              <w:spacing w:after="40" w:line="240" w:lineRule="auto"/>
            </w:pPr>
            <w:r>
              <w:rPr>
                <w:rFonts w:ascii="Arial" w:hAnsi="Arial"/>
                <w:color w:val="000000"/>
                <w:sz w:val="18"/>
              </w:rPr>
              <w:t>invalid_latency</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0 flagged; 0 newly excluded from usable observations</w:t>
              <w:br/>
              <w:t>Affected rows: 0</w:t>
            </w:r>
          </w:p>
        </w:tc>
      </w:tr>
      <w:tr>
        <w:trPr>
          <w:cantSplit/>
        </w:trPr>
        <w:tc>
          <w:tcPr>
            <w:tcW w:type="dxa" w:w="1587"/>
            <w:vAlign w:val="center"/>
          </w:tcPr>
          <w:p>
            <w:pPr>
              <w:keepNext w:val="0"/>
              <w:spacing w:after="40" w:line="240" w:lineRule="auto"/>
            </w:pPr>
            <w:r>
              <w:rPr>
                <w:rFonts w:ascii="Arial" w:hAnsi="Arial"/>
                <w:color w:val="000000"/>
                <w:sz w:val="18"/>
              </w:rPr>
              <w:t>14</w:t>
            </w:r>
          </w:p>
        </w:tc>
        <w:tc>
          <w:tcPr>
            <w:tcW w:type="dxa" w:w="3912"/>
            <w:vAlign w:val="center"/>
          </w:tcPr>
          <w:p>
            <w:pPr>
              <w:keepNext w:val="0"/>
              <w:spacing w:after="40" w:line="240" w:lineRule="auto"/>
            </w:pPr>
            <w:r>
              <w:rPr>
                <w:rFonts w:ascii="Arial" w:hAnsi="Arial"/>
                <w:color w:val="000000"/>
                <w:sz w:val="18"/>
              </w:rPr>
              <w:t>Optional no-traffic duration must be positive and finite when supplied</w:t>
            </w:r>
          </w:p>
        </w:tc>
        <w:tc>
          <w:tcPr>
            <w:tcW w:type="dxa" w:w="1361"/>
            <w:vAlign w:val="center"/>
          </w:tcPr>
          <w:p>
            <w:pPr>
              <w:keepNext w:val="0"/>
              <w:spacing w:after="40" w:line="240" w:lineRule="auto"/>
            </w:pPr>
            <w:r>
              <w:rPr>
                <w:rFonts w:ascii="Arial" w:hAnsi="Arial"/>
                <w:color w:val="000000"/>
                <w:sz w:val="18"/>
              </w:rPr>
              <w:t>64 / 64</w:t>
            </w:r>
          </w:p>
        </w:tc>
        <w:tc>
          <w:tcPr>
            <w:tcW w:type="dxa" w:w="2778"/>
            <w:vAlign w:val="center"/>
          </w:tcPr>
          <w:p>
            <w:pPr>
              <w:keepNext w:val="0"/>
              <w:spacing w:after="40" w:line="240" w:lineRule="auto"/>
            </w:pPr>
            <w:r>
              <w:rPr>
                <w:rFonts w:ascii="Arial" w:hAnsi="Arial"/>
                <w:color w:val="000000"/>
                <w:sz w:val="18"/>
              </w:rPr>
              <w:t>Baseline is not used in paired agreement metrics; raw value retained</w:t>
              <w:br/>
              <w:t>Affected rows: 0</w:t>
            </w:r>
          </w:p>
        </w:tc>
      </w:tr>
    </w:tbl>
    <w:p>
      <w:pPr>
        <w:spacing w:after="20"/>
      </w:pPr>
    </w:p>
    <w:p>
      <w:pPr>
        <w:pStyle w:val="Heading3"/>
      </w:pPr>
      <w:r>
        <w:t>E.4 Evidence to present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757"/>
        <w:gridCol w:w="4762"/>
        <w:gridCol w:w="3118"/>
      </w:tblGrid>
      <w:tr>
        <w:trPr>
          <w:tblHeader/>
          <w:cantSplit/>
        </w:trPr>
        <w:tc>
          <w:tcPr>
            <w:tcW w:type="dxa" w:w="1757"/>
            <w:vAlign w:val="center"/>
            <w:shd w:fill="EAEAEA"/>
          </w:tcPr>
          <w:p>
            <w:pPr>
              <w:keepNext/>
              <w:spacing w:after="40" w:line="240" w:lineRule="auto"/>
            </w:pPr>
            <w:r>
              <w:rPr>
                <w:rFonts w:ascii="Arial" w:hAnsi="Arial"/>
                <w:b/>
                <w:color w:val="000000"/>
                <w:sz w:val="18"/>
              </w:rPr>
              <w:t>Evidence</w:t>
            </w:r>
          </w:p>
        </w:tc>
        <w:tc>
          <w:tcPr>
            <w:tcW w:type="dxa" w:w="4762"/>
            <w:vAlign w:val="center"/>
            <w:shd w:fill="EAEAEA"/>
          </w:tcPr>
          <w:p>
            <w:pPr>
              <w:keepNext/>
              <w:spacing w:after="40" w:line="240" w:lineRule="auto"/>
            </w:pPr>
            <w:r>
              <w:rPr>
                <w:rFonts w:ascii="Arial" w:hAnsi="Arial"/>
                <w:b/>
                <w:color w:val="000000"/>
                <w:sz w:val="18"/>
              </w:rPr>
              <w:t>Public location</w:t>
            </w:r>
          </w:p>
        </w:tc>
        <w:tc>
          <w:tcPr>
            <w:tcW w:type="dxa" w:w="3118"/>
            <w:vAlign w:val="center"/>
            <w:shd w:fill="EAEAEA"/>
          </w:tcPr>
          <w:p>
            <w:pPr>
              <w:keepNext/>
              <w:spacing w:after="40" w:line="240" w:lineRule="auto"/>
            </w:pPr>
            <w:r>
              <w:rPr>
                <w:rFonts w:ascii="Arial" w:hAnsi="Arial"/>
                <w:b/>
                <w:color w:val="000000"/>
                <w:sz w:val="18"/>
              </w:rPr>
              <w:t>Visible content</w:t>
            </w:r>
          </w:p>
        </w:tc>
      </w:tr>
      <w:tr>
        <w:trPr>
          <w:cantSplit/>
        </w:trPr>
        <w:tc>
          <w:tcPr>
            <w:tcW w:type="dxa" w:w="1757"/>
            <w:vAlign w:val="center"/>
          </w:tcPr>
          <w:p>
            <w:pPr>
              <w:keepNext/>
              <w:spacing w:after="40" w:line="240" w:lineRule="auto"/>
            </w:pPr>
            <w:r>
              <w:rPr>
                <w:rFonts w:ascii="Arial" w:hAnsi="Arial"/>
                <w:color w:val="000000"/>
                <w:sz w:val="18"/>
              </w:rPr>
              <w:t>Initial extract</w:t>
            </w:r>
          </w:p>
        </w:tc>
        <w:tc>
          <w:tcPr>
            <w:tcW w:type="dxa" w:w="4762"/>
            <w:vAlign w:val="center"/>
          </w:tcPr>
          <w:p>
            <w:pPr>
              <w:keepNext/>
              <w:spacing w:after="40" w:line="240" w:lineRule="auto"/>
            </w:pPr>
            <w:hyperlink r:id="rId29">
              <w:r>
                <w:rPr>
                  <w:color w:val="174B76"/>
                  <w:sz w:val="18"/>
                </w:rPr>
                <w:t>https://github.com/SuperFlyTK/rmt-a3-travel-time-astana/tree/main/data/raw</w:t>
              </w:r>
            </w:hyperlink>
          </w:p>
        </w:tc>
        <w:tc>
          <w:tcPr>
            <w:tcW w:type="dxa" w:w="3118"/>
            <w:vAlign w:val="center"/>
          </w:tcPr>
          <w:p>
            <w:pPr>
              <w:keepNext/>
              <w:spacing w:after="40" w:line="240" w:lineRule="auto"/>
            </w:pPr>
            <w:r>
              <w:rPr>
                <w:rFonts w:ascii="Arial" w:hAnsi="Arial"/>
                <w:color w:val="000000"/>
                <w:sz w:val="18"/>
              </w:rPr>
              <w:t>Original chronological request rows and licensed ORS responses</w:t>
            </w:r>
          </w:p>
        </w:tc>
      </w:tr>
      <w:tr>
        <w:trPr>
          <w:cantSplit/>
        </w:trPr>
        <w:tc>
          <w:tcPr>
            <w:tcW w:type="dxa" w:w="1757"/>
            <w:vAlign w:val="center"/>
          </w:tcPr>
          <w:p>
            <w:pPr>
              <w:keepNext/>
              <w:spacing w:after="40" w:line="240" w:lineRule="auto"/>
            </w:pPr>
            <w:r>
              <w:rPr>
                <w:rFonts w:ascii="Arial" w:hAnsi="Arial"/>
                <w:color w:val="000000"/>
                <w:sz w:val="18"/>
              </w:rPr>
              <w:t>Processed file</w:t>
            </w:r>
          </w:p>
        </w:tc>
        <w:tc>
          <w:tcPr>
            <w:tcW w:type="dxa" w:w="4762"/>
            <w:vAlign w:val="center"/>
          </w:tcPr>
          <w:p>
            <w:pPr>
              <w:keepNext/>
              <w:spacing w:after="40" w:line="240" w:lineRule="auto"/>
            </w:pPr>
            <w:hyperlink r:id="rId30">
              <w:r>
                <w:rPr>
                  <w:color w:val="174B76"/>
                  <w:sz w:val="18"/>
                </w:rPr>
                <w:t>https://github.com/SuperFlyTK/rmt-a3-travel-time-astana/blob/main/results/observations.csv</w:t>
              </w:r>
            </w:hyperlink>
          </w:p>
        </w:tc>
        <w:tc>
          <w:tcPr>
            <w:tcW w:type="dxa" w:w="3118"/>
            <w:vAlign w:val="center"/>
          </w:tcPr>
          <w:p>
            <w:pPr>
              <w:keepNext/>
              <w:spacing w:after="40" w:line="240" w:lineRule="auto"/>
            </w:pPr>
            <w:r>
              <w:rPr>
                <w:rFonts w:ascii="Arial" w:hAnsi="Arial"/>
                <w:color w:val="000000"/>
                <w:sz w:val="18"/>
              </w:rPr>
              <w:t>Source links, values and validation decisions</w:t>
            </w:r>
          </w:p>
        </w:tc>
      </w:tr>
      <w:tr>
        <w:trPr>
          <w:cantSplit/>
        </w:trPr>
        <w:tc>
          <w:tcPr>
            <w:tcW w:type="dxa" w:w="1757"/>
            <w:vAlign w:val="center"/>
          </w:tcPr>
          <w:p>
            <w:pPr>
              <w:keepNext/>
              <w:spacing w:after="40" w:line="240" w:lineRule="auto"/>
            </w:pPr>
            <w:r>
              <w:rPr>
                <w:rFonts w:ascii="Arial" w:hAnsi="Arial"/>
                <w:color w:val="000000"/>
                <w:sz w:val="18"/>
              </w:rPr>
              <w:t>Codings</w:t>
            </w:r>
          </w:p>
        </w:tc>
        <w:tc>
          <w:tcPr>
            <w:tcW w:type="dxa" w:w="4762"/>
            <w:vAlign w:val="center"/>
          </w:tcPr>
          <w:p>
            <w:pPr>
              <w:keepNext/>
              <w:spacing w:after="40" w:line="240" w:lineRule="auto"/>
            </w:pPr>
            <w:hyperlink r:id="rId26">
              <w:r>
                <w:rPr>
                  <w:color w:val="174B76"/>
                  <w:sz w:val="18"/>
                </w:rPr>
                <w:t>https://github.com/SuperFlyTK/rmt-a3-travel-time-astana/blob/main/analysis/process.py</w:t>
              </w:r>
            </w:hyperlink>
          </w:p>
        </w:tc>
        <w:tc>
          <w:tcPr>
            <w:tcW w:type="dxa" w:w="3118"/>
            <w:vAlign w:val="center"/>
          </w:tcPr>
          <w:p>
            <w:pPr>
              <w:keepNext/>
              <w:spacing w:after="40" w:line="240" w:lineRule="auto"/>
            </w:pPr>
            <w:r>
              <w:rPr>
                <w:rFonts w:ascii="Arial" w:hAnsi="Arial"/>
                <w:color w:val="000000"/>
                <w:sz w:val="18"/>
              </w:rPr>
              <w:t>Cleaning, grouping and metric definitions</w:t>
            </w:r>
          </w:p>
        </w:tc>
      </w:tr>
      <w:tr>
        <w:trPr>
          <w:cantSplit/>
        </w:trPr>
        <w:tc>
          <w:tcPr>
            <w:tcW w:type="dxa" w:w="1757"/>
            <w:vAlign w:val="center"/>
          </w:tcPr>
          <w:p>
            <w:pPr>
              <w:keepNext w:val="0"/>
              <w:spacing w:after="40" w:line="240" w:lineRule="auto"/>
            </w:pPr>
            <w:r>
              <w:rPr>
                <w:rFonts w:ascii="Arial" w:hAnsi="Arial"/>
                <w:color w:val="000000"/>
                <w:sz w:val="18"/>
              </w:rPr>
              <w:t>Figures</w:t>
            </w:r>
          </w:p>
        </w:tc>
        <w:tc>
          <w:tcPr>
            <w:tcW w:type="dxa" w:w="4762"/>
            <w:vAlign w:val="center"/>
          </w:tcPr>
          <w:p>
            <w:pPr>
              <w:keepNext w:val="0"/>
              <w:spacing w:after="40" w:line="240" w:lineRule="auto"/>
            </w:pPr>
            <w:hyperlink r:id="rId41">
              <w:r>
                <w:rPr>
                  <w:color w:val="174B76"/>
                  <w:sz w:val="18"/>
                </w:rPr>
                <w:t>https://github.com/SuperFlyTK/rmt-a3-travel-time-astana/blob/main/figures/analysis_manifest.json</w:t>
              </w:r>
            </w:hyperlink>
          </w:p>
        </w:tc>
        <w:tc>
          <w:tcPr>
            <w:tcW w:type="dxa" w:w="3118"/>
            <w:vAlign w:val="center"/>
          </w:tcPr>
          <w:p>
            <w:pPr>
              <w:keepNext w:val="0"/>
              <w:spacing w:after="40" w:line="240" w:lineRule="auto"/>
            </w:pPr>
            <w:r>
              <w:rPr>
                <w:rFonts w:ascii="Arial" w:hAnsi="Arial"/>
                <w:color w:val="000000"/>
                <w:sz w:val="18"/>
              </w:rPr>
              <w:t>Input provenance and captions for original visual evidence</w:t>
            </w:r>
          </w:p>
        </w:tc>
      </w:tr>
    </w:tbl>
    <w:p>
      <w:pPr>
        <w:spacing w:after="20"/>
      </w:pPr>
    </w:p>
    <w:p>
      <w:pPr>
        <w:pStyle w:val="Heading3"/>
      </w:pPr>
      <w:r>
        <w:t>E.5 Describe the time or category coverage of the final dataset</w:t>
      </w:r>
    </w:p>
    <w:p>
      <w:pPr>
        <w:widowControl/>
      </w:pPr>
      <w:r>
        <w:rPr>
          <w:rFonts w:ascii="Arial" w:hAnsi="Arial"/>
          <w:color w:val="000000"/>
        </w:rPr>
        <w:t>The recorded request interval is 2026-10-24T02:37:23.929322+00:00 to 2026-10-24T02:51:49.115212+00:00 in UTC. Usable observations cover 1 local date(s): 2026-10-24. Classification produces 0 peak, 0 off-peak and 64 other-period observations. These are coverage counts for the instrument, not evidence of congestion. The period table retains phase and provider so pilot activity cannot masquerade as scheduled coverage. Absent primary pairs prevent any comparison between peak and off-peak disagreement, regardless of how many ORS timestamps exist.</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1701"/>
        <w:gridCol w:w="2041"/>
        <w:gridCol w:w="1984"/>
        <w:gridCol w:w="1984"/>
        <w:gridCol w:w="1928"/>
      </w:tblGrid>
      <w:tr>
        <w:trPr>
          <w:tblHeader/>
          <w:cantSplit/>
        </w:trPr>
        <w:tc>
          <w:tcPr>
            <w:tcW w:type="dxa" w:w="1701"/>
            <w:vAlign w:val="center"/>
            <w:shd w:fill="EAEAEA"/>
          </w:tcPr>
          <w:p>
            <w:pPr>
              <w:keepNext/>
              <w:spacing w:after="40" w:line="240" w:lineRule="auto"/>
            </w:pPr>
            <w:r>
              <w:rPr>
                <w:rFonts w:ascii="Arial" w:hAnsi="Arial"/>
                <w:b/>
                <w:color w:val="000000"/>
                <w:sz w:val="18"/>
              </w:rPr>
              <w:t>Phase</w:t>
            </w:r>
          </w:p>
        </w:tc>
        <w:tc>
          <w:tcPr>
            <w:tcW w:type="dxa" w:w="2041"/>
            <w:vAlign w:val="center"/>
            <w:shd w:fill="EAEAEA"/>
          </w:tcPr>
          <w:p>
            <w:pPr>
              <w:keepNext/>
              <w:spacing w:after="40" w:line="240" w:lineRule="auto"/>
            </w:pPr>
            <w:r>
              <w:rPr>
                <w:rFonts w:ascii="Arial" w:hAnsi="Arial"/>
                <w:b/>
                <w:color w:val="000000"/>
                <w:sz w:val="18"/>
              </w:rPr>
              <w:t>Local date</w:t>
            </w:r>
          </w:p>
        </w:tc>
        <w:tc>
          <w:tcPr>
            <w:tcW w:type="dxa" w:w="1984"/>
            <w:vAlign w:val="center"/>
            <w:shd w:fill="EAEAEA"/>
          </w:tcPr>
          <w:p>
            <w:pPr>
              <w:keepNext/>
              <w:spacing w:after="40" w:line="240" w:lineRule="auto"/>
            </w:pPr>
            <w:r>
              <w:rPr>
                <w:rFonts w:ascii="Arial" w:hAnsi="Arial"/>
                <w:b/>
                <w:color w:val="000000"/>
                <w:sz w:val="18"/>
              </w:rPr>
              <w:t>Period</w:t>
            </w:r>
          </w:p>
        </w:tc>
        <w:tc>
          <w:tcPr>
            <w:tcW w:type="dxa" w:w="1984"/>
            <w:vAlign w:val="center"/>
            <w:shd w:fill="EAEAEA"/>
          </w:tcPr>
          <w:p>
            <w:pPr>
              <w:keepNext/>
              <w:spacing w:after="40" w:line="240" w:lineRule="auto"/>
            </w:pPr>
            <w:r>
              <w:rPr>
                <w:rFonts w:ascii="Arial" w:hAnsi="Arial"/>
                <w:b/>
                <w:color w:val="000000"/>
                <w:sz w:val="18"/>
              </w:rPr>
              <w:t>Provider</w:t>
            </w:r>
          </w:p>
        </w:tc>
        <w:tc>
          <w:tcPr>
            <w:tcW w:type="dxa" w:w="1928"/>
            <w:vAlign w:val="center"/>
            <w:shd w:fill="EAEAEA"/>
          </w:tcPr>
          <w:p>
            <w:pPr>
              <w:keepNext/>
              <w:spacing w:after="40" w:line="240" w:lineRule="auto"/>
            </w:pPr>
            <w:r>
              <w:rPr>
                <w:rFonts w:ascii="Arial" w:hAnsi="Arial"/>
                <w:b/>
                <w:color w:val="000000"/>
                <w:sz w:val="18"/>
              </w:rPr>
              <w:t>Usable observations</w:t>
            </w:r>
          </w:p>
        </w:tc>
      </w:tr>
      <w:tr>
        <w:trPr>
          <w:cantSplit/>
        </w:trPr>
        <w:tc>
          <w:tcPr>
            <w:tcW w:type="dxa" w:w="1701"/>
            <w:vAlign w:val="center"/>
          </w:tcPr>
          <w:p>
            <w:pPr>
              <w:keepNext/>
              <w:spacing w:after="40" w:line="240" w:lineRule="auto"/>
            </w:pPr>
            <w:r>
              <w:rPr>
                <w:rFonts w:ascii="Arial" w:hAnsi="Arial"/>
                <w:color w:val="000000"/>
                <w:sz w:val="18"/>
              </w:rPr>
              <w:t>pilot</w:t>
            </w:r>
          </w:p>
        </w:tc>
        <w:tc>
          <w:tcPr>
            <w:tcW w:type="dxa" w:w="2041"/>
            <w:vAlign w:val="center"/>
          </w:tcPr>
          <w:p>
            <w:pPr>
              <w:keepNext/>
              <w:spacing w:after="40" w:line="240" w:lineRule="auto"/>
            </w:pPr>
            <w:r>
              <w:rPr>
                <w:rFonts w:ascii="Arial" w:hAnsi="Arial"/>
                <w:color w:val="000000"/>
                <w:sz w:val="18"/>
              </w:rPr>
              <w:t>2026-10-24</w:t>
            </w:r>
          </w:p>
        </w:tc>
        <w:tc>
          <w:tcPr>
            <w:tcW w:type="dxa" w:w="1984"/>
            <w:vAlign w:val="center"/>
          </w:tcPr>
          <w:p>
            <w:pPr>
              <w:keepNext/>
              <w:spacing w:after="40" w:line="240" w:lineRule="auto"/>
            </w:pPr>
            <w:r>
              <w:rPr>
                <w:rFonts w:ascii="Arial" w:hAnsi="Arial"/>
                <w:color w:val="000000"/>
                <w:sz w:val="18"/>
              </w:rPr>
              <w:t>other</w:t>
            </w:r>
          </w:p>
        </w:tc>
        <w:tc>
          <w:tcPr>
            <w:tcW w:type="dxa" w:w="1984"/>
            <w:vAlign w:val="center"/>
          </w:tcPr>
          <w:p>
            <w:pPr>
              <w:keepNext/>
              <w:spacing w:after="40" w:line="240" w:lineRule="auto"/>
            </w:pPr>
            <w:r>
              <w:rPr>
                <w:rFonts w:ascii="Arial" w:hAnsi="Arial"/>
                <w:color w:val="000000"/>
                <w:sz w:val="18"/>
              </w:rPr>
              <w:t>ors</w:t>
            </w:r>
          </w:p>
        </w:tc>
        <w:tc>
          <w:tcPr>
            <w:tcW w:type="dxa" w:w="1928"/>
            <w:vAlign w:val="center"/>
          </w:tcPr>
          <w:p>
            <w:pPr>
              <w:keepNext/>
              <w:spacing w:after="40" w:line="240" w:lineRule="auto"/>
            </w:pPr>
            <w:r>
              <w:rPr>
                <w:rFonts w:ascii="Arial" w:hAnsi="Arial"/>
                <w:color w:val="000000"/>
                <w:sz w:val="18"/>
              </w:rPr>
              <w:t>60</w:t>
            </w:r>
          </w:p>
        </w:tc>
      </w:tr>
      <w:tr>
        <w:trPr>
          <w:cantSplit/>
        </w:trPr>
        <w:tc>
          <w:tcPr>
            <w:tcW w:type="dxa" w:w="1701"/>
            <w:vAlign w:val="center"/>
          </w:tcPr>
          <w:p>
            <w:pPr>
              <w:keepNext w:val="0"/>
              <w:spacing w:after="40" w:line="240" w:lineRule="auto"/>
            </w:pPr>
            <w:r>
              <w:rPr>
                <w:rFonts w:ascii="Arial" w:hAnsi="Arial"/>
                <w:color w:val="000000"/>
                <w:sz w:val="18"/>
              </w:rPr>
              <w:t>scheduled (manual workflow_dispatch verification)</w:t>
            </w:r>
          </w:p>
        </w:tc>
        <w:tc>
          <w:tcPr>
            <w:tcW w:type="dxa" w:w="2041"/>
            <w:vAlign w:val="center"/>
          </w:tcPr>
          <w:p>
            <w:pPr>
              <w:keepNext w:val="0"/>
              <w:spacing w:after="40" w:line="240" w:lineRule="auto"/>
            </w:pPr>
            <w:r>
              <w:rPr>
                <w:rFonts w:ascii="Arial" w:hAnsi="Arial"/>
                <w:color w:val="000000"/>
                <w:sz w:val="18"/>
              </w:rPr>
              <w:t>2026-10-24</w:t>
            </w:r>
          </w:p>
        </w:tc>
        <w:tc>
          <w:tcPr>
            <w:tcW w:type="dxa" w:w="1984"/>
            <w:vAlign w:val="center"/>
          </w:tcPr>
          <w:p>
            <w:pPr>
              <w:keepNext w:val="0"/>
              <w:spacing w:after="40" w:line="240" w:lineRule="auto"/>
            </w:pPr>
            <w:r>
              <w:rPr>
                <w:rFonts w:ascii="Arial" w:hAnsi="Arial"/>
                <w:color w:val="000000"/>
                <w:sz w:val="18"/>
              </w:rPr>
              <w:t>other</w:t>
            </w:r>
          </w:p>
        </w:tc>
        <w:tc>
          <w:tcPr>
            <w:tcW w:type="dxa" w:w="1984"/>
            <w:vAlign w:val="center"/>
          </w:tcPr>
          <w:p>
            <w:pPr>
              <w:keepNext w:val="0"/>
              <w:spacing w:after="40" w:line="240" w:lineRule="auto"/>
            </w:pPr>
            <w:r>
              <w:rPr>
                <w:rFonts w:ascii="Arial" w:hAnsi="Arial"/>
                <w:color w:val="000000"/>
                <w:sz w:val="18"/>
              </w:rPr>
              <w:t>ors</w:t>
            </w:r>
          </w:p>
        </w:tc>
        <w:tc>
          <w:tcPr>
            <w:tcW w:type="dxa" w:w="1928"/>
            <w:vAlign w:val="center"/>
          </w:tcPr>
          <w:p>
            <w:pPr>
              <w:keepNext w:val="0"/>
              <w:spacing w:after="40" w:line="240" w:lineRule="auto"/>
            </w:pPr>
            <w:r>
              <w:rPr>
                <w:rFonts w:ascii="Arial" w:hAnsi="Arial"/>
                <w:color w:val="000000"/>
                <w:sz w:val="18"/>
              </w:rPr>
              <w:t>4</w:t>
            </w:r>
          </w:p>
        </w:tc>
      </w:tr>
    </w:tbl>
    <w:p>
      <w:pPr>
        <w:spacing w:after="20"/>
      </w:pPr>
    </w:p>
    <w:p>
      <w:pPr>
        <w:pStyle w:val="Heading1"/>
      </w:pPr>
      <w:r>
        <w:t>Segment 4. Expected Against Observed. Preliminary comparison</w:t>
      </w:r>
    </w:p>
    <w:p>
      <w:pPr>
        <w:pStyle w:val="Heading2"/>
      </w:pPr>
      <w:r>
        <w:t>T1 Completion table</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3288"/>
        <w:gridCol w:w="3175"/>
        <w:gridCol w:w="3175"/>
      </w:tblGrid>
      <w:tr>
        <w:trPr>
          <w:tblHeader/>
          <w:cantSplit/>
        </w:trPr>
        <w:tc>
          <w:tcPr>
            <w:tcW w:type="dxa" w:w="3288"/>
            <w:vAlign w:val="center"/>
            <w:shd w:fill="EAEAEA"/>
          </w:tcPr>
          <w:p>
            <w:pPr>
              <w:keepNext/>
              <w:spacing w:after="40" w:line="240" w:lineRule="auto"/>
            </w:pPr>
            <w:r>
              <w:rPr>
                <w:rFonts w:ascii="Arial" w:hAnsi="Arial"/>
                <w:b/>
                <w:color w:val="000000"/>
                <w:sz w:val="18"/>
              </w:rPr>
              <w:t>Data to be collected</w:t>
            </w:r>
          </w:p>
        </w:tc>
        <w:tc>
          <w:tcPr>
            <w:tcW w:type="dxa" w:w="3175"/>
            <w:vAlign w:val="center"/>
            <w:shd w:fill="EAEAEA"/>
          </w:tcPr>
          <w:p>
            <w:pPr>
              <w:keepNext/>
              <w:spacing w:after="40" w:line="240" w:lineRule="auto"/>
            </w:pPr>
            <w:r>
              <w:rPr>
                <w:rFonts w:ascii="Arial" w:hAnsi="Arial"/>
                <w:b/>
                <w:color w:val="000000"/>
                <w:sz w:val="18"/>
              </w:rPr>
              <w:t>Planned</w:t>
            </w:r>
          </w:p>
        </w:tc>
        <w:tc>
          <w:tcPr>
            <w:tcW w:type="dxa" w:w="3175"/>
            <w:vAlign w:val="center"/>
            <w:shd w:fill="EAEAEA"/>
          </w:tcPr>
          <w:p>
            <w:pPr>
              <w:keepNext/>
              <w:spacing w:after="40" w:line="240" w:lineRule="auto"/>
            </w:pPr>
            <w:r>
              <w:rPr>
                <w:rFonts w:ascii="Arial" w:hAnsi="Arial"/>
                <w:b/>
                <w:color w:val="000000"/>
                <w:sz w:val="18"/>
              </w:rPr>
              <w:t>Collected at snapshot</w:t>
            </w:r>
          </w:p>
        </w:tc>
      </w:tr>
      <w:tr>
        <w:trPr>
          <w:cantSplit/>
        </w:trPr>
        <w:tc>
          <w:tcPr>
            <w:tcW w:type="dxa" w:w="3288"/>
            <w:vAlign w:val="center"/>
          </w:tcPr>
          <w:p>
            <w:pPr>
              <w:keepNext/>
              <w:spacing w:after="40" w:line="240" w:lineRule="auto"/>
            </w:pPr>
            <w:r>
              <w:rPr>
                <w:rFonts w:ascii="Arial" w:hAnsi="Arial"/>
                <w:color w:val="000000"/>
                <w:sz w:val="18"/>
              </w:rPr>
              <w:t>Route definitions</w:t>
            </w:r>
          </w:p>
        </w:tc>
        <w:tc>
          <w:tcPr>
            <w:tcW w:type="dxa" w:w="3175"/>
            <w:vAlign w:val="center"/>
          </w:tcPr>
          <w:p>
            <w:pPr>
              <w:keepNext/>
              <w:spacing w:after="40" w:line="240" w:lineRule="auto"/>
            </w:pPr>
            <w:r>
              <w:rPr>
                <w:rFonts w:ascii="Arial" w:hAnsi="Arial"/>
                <w:color w:val="000000"/>
                <w:sz w:val="18"/>
              </w:rPr>
              <w:t>20</w:t>
            </w:r>
          </w:p>
        </w:tc>
        <w:tc>
          <w:tcPr>
            <w:tcW w:type="dxa" w:w="3175"/>
            <w:vAlign w:val="center"/>
          </w:tcPr>
          <w:p>
            <w:pPr>
              <w:keepNext/>
              <w:spacing w:after="40" w:line="240" w:lineRule="auto"/>
            </w:pPr>
            <w:r>
              <w:rPr>
                <w:rFonts w:ascii="Arial" w:hAnsi="Arial"/>
                <w:color w:val="000000"/>
                <w:sz w:val="18"/>
              </w:rPr>
              <w:t>20</w:t>
            </w:r>
          </w:p>
        </w:tc>
      </w:tr>
      <w:tr>
        <w:trPr>
          <w:cantSplit/>
        </w:trPr>
        <w:tc>
          <w:tcPr>
            <w:tcW w:type="dxa" w:w="3288"/>
            <w:vAlign w:val="center"/>
          </w:tcPr>
          <w:p>
            <w:pPr>
              <w:keepNext/>
              <w:spacing w:after="40" w:line="240" w:lineRule="auto"/>
            </w:pPr>
            <w:r>
              <w:rPr>
                <w:rFonts w:ascii="Arial" w:hAnsi="Arial"/>
                <w:color w:val="000000"/>
                <w:sz w:val="18"/>
              </w:rPr>
              <w:t>ORS pilot requests</w:t>
            </w:r>
          </w:p>
        </w:tc>
        <w:tc>
          <w:tcPr>
            <w:tcW w:type="dxa" w:w="3175"/>
            <w:vAlign w:val="center"/>
          </w:tcPr>
          <w:p>
            <w:pPr>
              <w:keepNext/>
              <w:spacing w:after="40" w:line="240" w:lineRule="auto"/>
            </w:pPr>
            <w:r>
              <w:rPr>
                <w:rFonts w:ascii="Arial" w:hAnsi="Arial"/>
                <w:color w:val="000000"/>
                <w:sz w:val="18"/>
              </w:rPr>
              <w:t>60</w:t>
            </w:r>
          </w:p>
        </w:tc>
        <w:tc>
          <w:tcPr>
            <w:tcW w:type="dxa" w:w="3175"/>
            <w:vAlign w:val="center"/>
          </w:tcPr>
          <w:p>
            <w:pPr>
              <w:keepNext/>
              <w:spacing w:after="40" w:line="240" w:lineRule="auto"/>
            </w:pPr>
            <w:r>
              <w:rPr>
                <w:rFonts w:ascii="Arial" w:hAnsi="Arial"/>
                <w:color w:val="000000"/>
                <w:sz w:val="18"/>
              </w:rPr>
              <w:t>60</w:t>
            </w:r>
          </w:p>
        </w:tc>
      </w:tr>
      <w:tr>
        <w:trPr>
          <w:cantSplit/>
        </w:trPr>
        <w:tc>
          <w:tcPr>
            <w:tcW w:type="dxa" w:w="3288"/>
            <w:vAlign w:val="center"/>
          </w:tcPr>
          <w:p>
            <w:pPr>
              <w:keepNext/>
              <w:spacing w:after="40" w:line="240" w:lineRule="auto"/>
            </w:pPr>
            <w:r>
              <w:rPr>
                <w:rFonts w:ascii="Arial" w:hAnsi="Arial"/>
                <w:color w:val="000000"/>
                <w:sz w:val="18"/>
              </w:rPr>
              <w:t>ORS pilot routes with usable response</w:t>
            </w:r>
          </w:p>
        </w:tc>
        <w:tc>
          <w:tcPr>
            <w:tcW w:type="dxa" w:w="3175"/>
            <w:vAlign w:val="center"/>
          </w:tcPr>
          <w:p>
            <w:pPr>
              <w:keepNext/>
              <w:spacing w:after="40" w:line="240" w:lineRule="auto"/>
            </w:pPr>
            <w:r>
              <w:rPr>
                <w:rFonts w:ascii="Arial" w:hAnsi="Arial"/>
                <w:color w:val="000000"/>
                <w:sz w:val="18"/>
              </w:rPr>
              <w:t>20</w:t>
            </w:r>
          </w:p>
        </w:tc>
        <w:tc>
          <w:tcPr>
            <w:tcW w:type="dxa" w:w="3175"/>
            <w:vAlign w:val="center"/>
          </w:tcPr>
          <w:p>
            <w:pPr>
              <w:keepNext/>
              <w:spacing w:after="40" w:line="240" w:lineRule="auto"/>
            </w:pPr>
            <w:r>
              <w:rPr>
                <w:rFonts w:ascii="Arial" w:hAnsi="Arial"/>
                <w:color w:val="000000"/>
                <w:sz w:val="18"/>
              </w:rPr>
              <w:t>20</w:t>
            </w:r>
          </w:p>
        </w:tc>
      </w:tr>
      <w:tr>
        <w:trPr>
          <w:cantSplit/>
        </w:trPr>
        <w:tc>
          <w:tcPr>
            <w:tcW w:type="dxa" w:w="3288"/>
            <w:vAlign w:val="center"/>
          </w:tcPr>
          <w:p>
            <w:pPr>
              <w:keepNext/>
              <w:spacing w:after="40" w:line="240" w:lineRule="auto"/>
            </w:pPr>
            <w:r>
              <w:rPr>
                <w:rFonts w:ascii="Arial" w:hAnsi="Arial"/>
                <w:color w:val="000000"/>
                <w:sz w:val="18"/>
              </w:rPr>
              <w:t>Scheduled ORS requests</w:t>
            </w:r>
          </w:p>
        </w:tc>
        <w:tc>
          <w:tcPr>
            <w:tcW w:type="dxa" w:w="3175"/>
            <w:vAlign w:val="center"/>
          </w:tcPr>
          <w:p>
            <w:pPr>
              <w:keepNext/>
              <w:spacing w:after="40" w:line="240" w:lineRule="auto"/>
            </w:pPr>
            <w:r>
              <w:rPr>
                <w:rFonts w:ascii="Arial" w:hAnsi="Arial"/>
                <w:color w:val="000000"/>
                <w:sz w:val="18"/>
              </w:rPr>
              <w:t>768 nominal over 48 hours</w:t>
            </w:r>
          </w:p>
        </w:tc>
        <w:tc>
          <w:tcPr>
            <w:tcW w:type="dxa" w:w="3175"/>
            <w:vAlign w:val="center"/>
          </w:tcPr>
          <w:p>
            <w:pPr>
              <w:keepNext/>
              <w:spacing w:after="40" w:line="240" w:lineRule="auto"/>
            </w:pPr>
            <w:r>
              <w:rPr>
                <w:rFonts w:ascii="Arial" w:hAnsi="Arial"/>
                <w:color w:val="000000"/>
                <w:sz w:val="18"/>
              </w:rPr>
              <w:t>0 verified cron; 4 manual workflow_dispatch test records (phase: scheduled)</w:t>
            </w:r>
          </w:p>
        </w:tc>
      </w:tr>
      <w:tr>
        <w:trPr>
          <w:cantSplit/>
        </w:trPr>
        <w:tc>
          <w:tcPr>
            <w:tcW w:type="dxa" w:w="3288"/>
            <w:vAlign w:val="center"/>
          </w:tcPr>
          <w:p>
            <w:pPr>
              <w:keepNext/>
              <w:spacing w:after="40" w:line="240" w:lineRule="auto"/>
            </w:pPr>
            <w:r>
              <w:rPr>
                <w:rFonts w:ascii="Arial" w:hAnsi="Arial"/>
                <w:color w:val="000000"/>
                <w:sz w:val="18"/>
              </w:rPr>
              <w:t>Primary traffic-provider pairs</w:t>
            </w:r>
          </w:p>
        </w:tc>
        <w:tc>
          <w:tcPr>
            <w:tcW w:type="dxa" w:w="3175"/>
            <w:vAlign w:val="center"/>
          </w:tcPr>
          <w:p>
            <w:pPr>
              <w:keepNext/>
              <w:spacing w:after="40" w:line="240" w:lineRule="auto"/>
            </w:pPr>
            <w:r>
              <w:rPr>
                <w:rFonts w:ascii="Arial" w:hAnsi="Arial"/>
                <w:color w:val="000000"/>
                <w:sz w:val="18"/>
              </w:rPr>
              <w:t>Prospective; collection disabled pending permissions</w:t>
            </w:r>
          </w:p>
        </w:tc>
        <w:tc>
          <w:tcPr>
            <w:tcW w:type="dxa" w:w="3175"/>
            <w:vAlign w:val="center"/>
          </w:tcPr>
          <w:p>
            <w:pPr>
              <w:keepNext/>
              <w:spacing w:after="40" w:line="240" w:lineRule="auto"/>
            </w:pPr>
            <w:r>
              <w:rPr>
                <w:rFonts w:ascii="Arial" w:hAnsi="Arial"/>
                <w:color w:val="000000"/>
                <w:sz w:val="18"/>
              </w:rPr>
              <w:t>0</w:t>
            </w:r>
          </w:p>
        </w:tc>
      </w:tr>
      <w:tr>
        <w:trPr>
          <w:cantSplit/>
        </w:trPr>
        <w:tc>
          <w:tcPr>
            <w:tcW w:type="dxa" w:w="3288"/>
            <w:vAlign w:val="center"/>
          </w:tcPr>
          <w:p>
            <w:pPr>
              <w:keepNext w:val="0"/>
              <w:spacing w:after="40" w:line="240" w:lineRule="auto"/>
            </w:pPr>
            <w:r>
              <w:rPr>
                <w:rFonts w:ascii="Arial" w:hAnsi="Arial"/>
                <w:color w:val="000000"/>
                <w:sz w:val="18"/>
              </w:rPr>
              <w:t>Primary peak and off-peak coverage</w:t>
            </w:r>
          </w:p>
        </w:tc>
        <w:tc>
          <w:tcPr>
            <w:tcW w:type="dxa" w:w="3175"/>
            <w:vAlign w:val="center"/>
          </w:tcPr>
          <w:p>
            <w:pPr>
              <w:keepNext w:val="0"/>
              <w:spacing w:after="40" w:line="240" w:lineRule="auto"/>
            </w:pPr>
            <w:r>
              <w:rPr>
                <w:rFonts w:ascii="Arial" w:hAnsi="Arial"/>
                <w:color w:val="000000"/>
                <w:sz w:val="18"/>
              </w:rPr>
              <w:t>Both required for H1</w:t>
            </w:r>
          </w:p>
        </w:tc>
        <w:tc>
          <w:tcPr>
            <w:tcW w:type="dxa" w:w="3175"/>
            <w:vAlign w:val="center"/>
          </w:tcPr>
          <w:p>
            <w:pPr>
              <w:keepNext w:val="0"/>
              <w:spacing w:after="40" w:line="240" w:lineRule="auto"/>
            </w:pPr>
            <w:r>
              <w:rPr>
                <w:rFonts w:ascii="Arial" w:hAnsi="Arial"/>
                <w:color w:val="000000"/>
                <w:sz w:val="18"/>
              </w:rPr>
              <w:t>Peak 0; off-peak 0; other 0</w:t>
            </w:r>
          </w:p>
        </w:tc>
      </w:tr>
    </w:tbl>
    <w:p>
      <w:pPr>
        <w:spacing w:after="20"/>
      </w:pPr>
    </w:p>
    <w:p>
      <w:pPr>
        <w:pStyle w:val="Heading2"/>
      </w:pPr>
      <w:r>
        <w:t>T2 Comparison</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80" w:type="dxa"/>
          <w:right w:w="80" w:type="dxa"/>
        </w:tblCellMar>
      </w:tblPr>
      <w:tblGrid>
        <w:gridCol w:w="3061"/>
        <w:gridCol w:w="2948"/>
        <w:gridCol w:w="1191"/>
        <w:gridCol w:w="2438"/>
      </w:tblGrid>
      <w:tr>
        <w:trPr>
          <w:tblHeader/>
          <w:cantSplit/>
        </w:trPr>
        <w:tc>
          <w:tcPr>
            <w:tcW w:type="dxa" w:w="3061"/>
            <w:vAlign w:val="center"/>
            <w:shd w:fill="EAEAEA"/>
          </w:tcPr>
          <w:p>
            <w:pPr>
              <w:keepNext/>
              <w:spacing w:after="40" w:line="240" w:lineRule="auto"/>
            </w:pPr>
            <w:r>
              <w:rPr>
                <w:rFonts w:ascii="Arial" w:hAnsi="Arial"/>
                <w:b/>
                <w:color w:val="000000"/>
                <w:sz w:val="18"/>
              </w:rPr>
              <w:t>Expected result</w:t>
            </w:r>
          </w:p>
        </w:tc>
        <w:tc>
          <w:tcPr>
            <w:tcW w:type="dxa" w:w="2948"/>
            <w:vAlign w:val="center"/>
            <w:shd w:fill="EAEAEA"/>
          </w:tcPr>
          <w:p>
            <w:pPr>
              <w:keepNext/>
              <w:spacing w:after="40" w:line="240" w:lineRule="auto"/>
            </w:pPr>
            <w:r>
              <w:rPr>
                <w:rFonts w:ascii="Arial" w:hAnsi="Arial"/>
                <w:b/>
                <w:color w:val="000000"/>
                <w:sz w:val="18"/>
              </w:rPr>
              <w:t>What actual data shows</w:t>
            </w:r>
          </w:p>
        </w:tc>
        <w:tc>
          <w:tcPr>
            <w:tcW w:type="dxa" w:w="1191"/>
            <w:vAlign w:val="center"/>
            <w:shd w:fill="EAEAEA"/>
          </w:tcPr>
          <w:p>
            <w:pPr>
              <w:keepNext/>
              <w:spacing w:after="40" w:line="240" w:lineRule="auto"/>
            </w:pPr>
            <w:r>
              <w:rPr>
                <w:rFonts w:ascii="Arial" w:hAnsi="Arial"/>
                <w:b/>
                <w:color w:val="000000"/>
                <w:sz w:val="18"/>
              </w:rPr>
              <w:t>Verdict</w:t>
            </w:r>
          </w:p>
        </w:tc>
        <w:tc>
          <w:tcPr>
            <w:tcW w:type="dxa" w:w="2438"/>
            <w:vAlign w:val="center"/>
            <w:shd w:fill="EAEAEA"/>
          </w:tcPr>
          <w:p>
            <w:pPr>
              <w:keepNext/>
              <w:spacing w:after="40" w:line="240" w:lineRule="auto"/>
            </w:pPr>
            <w:r>
              <w:rPr>
                <w:rFonts w:ascii="Arial" w:hAnsi="Arial"/>
                <w:b/>
                <w:color w:val="000000"/>
                <w:sz w:val="18"/>
              </w:rPr>
              <w:t>Evidence location</w:t>
            </w:r>
          </w:p>
        </w:tc>
      </w:tr>
      <w:tr>
        <w:trPr>
          <w:cantSplit/>
        </w:trPr>
        <w:tc>
          <w:tcPr>
            <w:tcW w:type="dxa" w:w="3061"/>
            <w:vAlign w:val="center"/>
          </w:tcPr>
          <w:p>
            <w:pPr>
              <w:keepNext/>
              <w:spacing w:after="40" w:line="240" w:lineRule="auto"/>
            </w:pPr>
            <w:r>
              <w:rPr>
                <w:rFonts w:ascii="Arial" w:hAnsi="Arial"/>
                <w:color w:val="000000"/>
                <w:sz w:val="18"/>
              </w:rPr>
              <w:t>ER1: The peak to off-peak ratio of median absolute TomTom-2GIS difference is at least 1.5.</w:t>
            </w:r>
          </w:p>
        </w:tc>
        <w:tc>
          <w:tcPr>
            <w:tcW w:type="dxa" w:w="2948"/>
            <w:vAlign w:val="center"/>
          </w:tcPr>
          <w:p>
            <w:pPr>
              <w:keepNext/>
              <w:spacing w:after="40" w:line="240" w:lineRule="auto"/>
            </w:pPr>
            <w:r>
              <w:rPr>
                <w:rFonts w:ascii="Arial" w:hAnsi="Arial"/>
                <w:color w:val="000000"/>
                <w:sz w:val="18"/>
              </w:rPr>
              <w:t>0 primary pairs; no permitted traffic-aware comparison.</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ER2: At least 70% of eligible primary pairs have lengths within 5% of their pair mean.</w:t>
            </w:r>
          </w:p>
        </w:tc>
        <w:tc>
          <w:tcPr>
            <w:tcW w:type="dxa" w:w="2948"/>
            <w:vAlign w:val="center"/>
          </w:tcPr>
          <w:p>
            <w:pPr>
              <w:keepNext/>
              <w:spacing w:after="40" w:line="240" w:lineRule="auto"/>
            </w:pPr>
            <w:r>
              <w:rPr>
                <w:rFonts w:ascii="Arial" w:hAnsi="Arial"/>
                <w:color w:val="000000"/>
                <w:sz w:val="18"/>
              </w:rPr>
              <w:t>0 primary pairs; no permitted traffic-aware comparison.</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ER3: Median signed difference TomTom minus 2GIS is positive in the completed sample.</w:t>
            </w:r>
          </w:p>
        </w:tc>
        <w:tc>
          <w:tcPr>
            <w:tcW w:type="dxa" w:w="2948"/>
            <w:vAlign w:val="center"/>
          </w:tcPr>
          <w:p>
            <w:pPr>
              <w:keepNext/>
              <w:spacing w:after="40" w:line="240" w:lineRule="auto"/>
            </w:pPr>
            <w:r>
              <w:rPr>
                <w:rFonts w:ascii="Arial" w:hAnsi="Arial"/>
                <w:color w:val="000000"/>
                <w:sz w:val="18"/>
              </w:rPr>
              <w:t>0 primary pairs; no permitted traffic-aware comparison.</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ER4: The peak IQR of signed differences exceeds the off-peak IQR.</w:t>
            </w:r>
          </w:p>
        </w:tc>
        <w:tc>
          <w:tcPr>
            <w:tcW w:type="dxa" w:w="2948"/>
            <w:vAlign w:val="center"/>
          </w:tcPr>
          <w:p>
            <w:pPr>
              <w:keepNext/>
              <w:spacing w:after="40" w:line="240" w:lineRule="auto"/>
            </w:pPr>
            <w:r>
              <w:rPr>
                <w:rFonts w:ascii="Arial" w:hAnsi="Arial"/>
                <w:color w:val="000000"/>
                <w:sz w:val="18"/>
              </w:rPr>
              <w:t>0 primary pairs; no permitted traffic-aware comparison.</w:t>
            </w:r>
          </w:p>
        </w:tc>
        <w:tc>
          <w:tcPr>
            <w:tcW w:type="dxa" w:w="1191"/>
            <w:vAlign w:val="center"/>
          </w:tcPr>
          <w:p>
            <w:pPr>
              <w:keepNext/>
              <w:spacing w:after="40" w:line="240" w:lineRule="auto"/>
            </w:pPr>
            <w:r>
              <w:rPr>
                <w:rFonts w:ascii="Arial" w:hAnsi="Arial"/>
                <w:color w:val="000000"/>
                <w:sz w:val="18"/>
              </w:rPr>
              <w:t>cannot judge</w:t>
            </w:r>
          </w:p>
        </w:tc>
        <w:tc>
          <w:tcPr>
            <w:tcW w:type="dxa" w:w="2438"/>
            <w:vAlign w:val="center"/>
          </w:tcPr>
          <w:p>
            <w:pPr>
              <w:keepNext/>
              <w:spacing w:after="40" w:line="240" w:lineRule="auto"/>
            </w:pPr>
            <w:r>
              <w:rPr>
                <w:rFonts w:ascii="Arial" w:hAnsi="Arial"/>
                <w:color w:val="000000"/>
                <w:sz w:val="18"/>
              </w:rPr>
              <w:t>results/summary.json; results/pairs.csv</w:t>
            </w:r>
          </w:p>
        </w:tc>
      </w:tr>
      <w:tr>
        <w:trPr>
          <w:cantSplit/>
        </w:trPr>
        <w:tc>
          <w:tcPr>
            <w:tcW w:type="dxa" w:w="3061"/>
            <w:vAlign w:val="center"/>
          </w:tcPr>
          <w:p>
            <w:pPr>
              <w:keepNext/>
              <w:spacing w:after="40" w:line="240" w:lineRule="auto"/>
            </w:pPr>
            <w:r>
              <w:rPr>
                <w:rFonts w:ascii="Arial" w:hAnsi="Arial"/>
                <w:color w:val="000000"/>
                <w:sz w:val="18"/>
              </w:rPr>
              <w:t>ER5: Fewer than 2% of ORS instrument requests fail to return a valid route.</w:t>
            </w:r>
          </w:p>
        </w:tc>
        <w:tc>
          <w:tcPr>
            <w:tcW w:type="dxa" w:w="2948"/>
            <w:vAlign w:val="center"/>
          </w:tcPr>
          <w:p>
            <w:pPr>
              <w:keepNext/>
              <w:spacing w:after="40" w:line="240" w:lineRule="auto"/>
            </w:pPr>
            <w:r>
              <w:rPr>
                <w:rFonts w:ascii="Arial" w:hAnsi="Arial"/>
                <w:color w:val="000000"/>
                <w:sz w:val="18"/>
              </w:rPr>
              <w:t>0/64 unique ORS requests failed the valid-route screen (0%).</w:t>
            </w:r>
          </w:p>
        </w:tc>
        <w:tc>
          <w:tcPr>
            <w:tcW w:type="dxa" w:w="1191"/>
            <w:vAlign w:val="center"/>
          </w:tcPr>
          <w:p>
            <w:pPr>
              <w:keepNext/>
              <w:spacing w:after="40" w:line="240" w:lineRule="auto"/>
            </w:pPr>
            <w:r>
              <w:rPr>
                <w:rFonts w:ascii="Arial" w:hAnsi="Arial"/>
                <w:color w:val="000000"/>
                <w:sz w:val="18"/>
              </w:rPr>
              <w:t>trending toward</w:t>
            </w:r>
          </w:p>
        </w:tc>
        <w:tc>
          <w:tcPr>
            <w:tcW w:type="dxa" w:w="2438"/>
            <w:vAlign w:val="center"/>
          </w:tcPr>
          <w:p>
            <w:pPr>
              <w:keepNext/>
              <w:spacing w:after="40" w:line="240" w:lineRule="auto"/>
            </w:pPr>
            <w:r>
              <w:rPr>
                <w:rFonts w:ascii="Arial" w:hAnsi="Arial"/>
                <w:color w:val="000000"/>
                <w:sz w:val="18"/>
              </w:rPr>
              <w:t>results/observations.csv; results/request_quality.csv</w:t>
            </w:r>
          </w:p>
        </w:tc>
      </w:tr>
      <w:tr>
        <w:trPr>
          <w:cantSplit/>
        </w:trPr>
        <w:tc>
          <w:tcPr>
            <w:tcW w:type="dxa" w:w="3061"/>
            <w:vAlign w:val="center"/>
          </w:tcPr>
          <w:p>
            <w:pPr>
              <w:keepNext/>
              <w:spacing w:after="40" w:line="240" w:lineRule="auto"/>
            </w:pPr>
            <w:r>
              <w:rPr>
                <w:rFonts w:ascii="Arial" w:hAnsi="Arial"/>
                <w:color w:val="000000"/>
                <w:sz w:val="18"/>
              </w:rPr>
              <w:t>ER6: At least 95% of ORS instrument requests finish within 10 seconds.</w:t>
            </w:r>
          </w:p>
        </w:tc>
        <w:tc>
          <w:tcPr>
            <w:tcW w:type="dxa" w:w="2948"/>
            <w:vAlign w:val="center"/>
          </w:tcPr>
          <w:p>
            <w:pPr>
              <w:keepNext/>
              <w:spacing w:after="40" w:line="240" w:lineRule="auto"/>
            </w:pPr>
            <w:r>
              <w:rPr>
                <w:rFonts w:ascii="Arial" w:hAnsi="Arial"/>
                <w:color w:val="000000"/>
                <w:sz w:val="18"/>
              </w:rPr>
              <w:t>64/64 unique ORS requests finished within 10 seconds (100%).</w:t>
            </w:r>
          </w:p>
        </w:tc>
        <w:tc>
          <w:tcPr>
            <w:tcW w:type="dxa" w:w="1191"/>
            <w:vAlign w:val="center"/>
          </w:tcPr>
          <w:p>
            <w:pPr>
              <w:keepNext/>
              <w:spacing w:after="40" w:line="240" w:lineRule="auto"/>
            </w:pPr>
            <w:r>
              <w:rPr>
                <w:rFonts w:ascii="Arial" w:hAnsi="Arial"/>
                <w:color w:val="000000"/>
                <w:sz w:val="18"/>
              </w:rPr>
              <w:t>trending toward</w:t>
            </w:r>
          </w:p>
        </w:tc>
        <w:tc>
          <w:tcPr>
            <w:tcW w:type="dxa" w:w="2438"/>
            <w:vAlign w:val="center"/>
          </w:tcPr>
          <w:p>
            <w:pPr>
              <w:keepNext/>
              <w:spacing w:after="40" w:line="240" w:lineRule="auto"/>
            </w:pPr>
            <w:r>
              <w:rPr>
                <w:rFonts w:ascii="Arial" w:hAnsi="Arial"/>
                <w:color w:val="000000"/>
                <w:sz w:val="18"/>
              </w:rPr>
              <w:t>results/observations.csv; figures/analysis_request_latency.png</w:t>
            </w:r>
          </w:p>
        </w:tc>
      </w:tr>
      <w:tr>
        <w:trPr>
          <w:cantSplit/>
        </w:trPr>
        <w:tc>
          <w:tcPr>
            <w:tcW w:type="dxa" w:w="3061"/>
            <w:vAlign w:val="center"/>
          </w:tcPr>
          <w:p>
            <w:pPr>
              <w:keepNext/>
              <w:spacing w:after="40" w:line="240" w:lineRule="auto"/>
            </w:pPr>
            <w:r>
              <w:rPr>
                <w:rFonts w:ascii="Arial" w:hAnsi="Arial"/>
                <w:color w:val="000000"/>
                <w:sz w:val="18"/>
              </w:rPr>
              <w:t>ER7: All 20 routes produce at least one valid ORS result during the three pilot cycles.</w:t>
            </w:r>
          </w:p>
        </w:tc>
        <w:tc>
          <w:tcPr>
            <w:tcW w:type="dxa" w:w="2948"/>
            <w:vAlign w:val="center"/>
          </w:tcPr>
          <w:p>
            <w:pPr>
              <w:keepNext/>
              <w:spacing w:after="40" w:line="240" w:lineRule="auto"/>
            </w:pPr>
            <w:r>
              <w:rPr>
                <w:rFonts w:ascii="Arial" w:hAnsi="Arial"/>
                <w:color w:val="000000"/>
                <w:sz w:val="18"/>
              </w:rPr>
              <w:t>20/20 routes have a usable pilot response; 3/3 pilot cycles are represented.</w:t>
            </w:r>
          </w:p>
        </w:tc>
        <w:tc>
          <w:tcPr>
            <w:tcW w:type="dxa" w:w="1191"/>
            <w:vAlign w:val="center"/>
          </w:tcPr>
          <w:p>
            <w:pPr>
              <w:keepNext/>
              <w:spacing w:after="40" w:line="240" w:lineRule="auto"/>
            </w:pPr>
            <w:r>
              <w:rPr>
                <w:rFonts w:ascii="Arial" w:hAnsi="Arial"/>
                <w:color w:val="000000"/>
                <w:sz w:val="18"/>
              </w:rPr>
              <w:t>trending toward</w:t>
            </w:r>
          </w:p>
        </w:tc>
        <w:tc>
          <w:tcPr>
            <w:tcW w:type="dxa" w:w="2438"/>
            <w:vAlign w:val="center"/>
          </w:tcPr>
          <w:p>
            <w:pPr>
              <w:keepNext/>
              <w:spacing w:after="40" w:line="240" w:lineRule="auto"/>
            </w:pPr>
            <w:r>
              <w:rPr>
                <w:rFonts w:ascii="Arial" w:hAnsi="Arial"/>
                <w:color w:val="000000"/>
                <w:sz w:val="18"/>
              </w:rPr>
              <w:t>results/observations.csv; figures/analysis_provider_durations.png</w:t>
            </w:r>
          </w:p>
        </w:tc>
      </w:tr>
      <w:tr>
        <w:trPr>
          <w:cantSplit/>
        </w:trPr>
        <w:tc>
          <w:tcPr>
            <w:tcW w:type="dxa" w:w="3061"/>
            <w:vAlign w:val="center"/>
          </w:tcPr>
          <w:p>
            <w:pPr>
              <w:keepNext w:val="0"/>
              <w:spacing w:after="40" w:line="240" w:lineRule="auto"/>
            </w:pPr>
            <w:r>
              <w:rPr>
                <w:rFonts w:ascii="Arial" w:hAnsi="Arial"/>
                <w:color w:val="000000"/>
                <w:sz w:val="18"/>
              </w:rPr>
              <w:t>ER8: At least 90% of the 768 nominal ORS scheduled requests are recorded in the 48-hour window.</w:t>
            </w:r>
          </w:p>
        </w:tc>
        <w:tc>
          <w:tcPr>
            <w:tcW w:type="dxa" w:w="2948"/>
            <w:vAlign w:val="center"/>
          </w:tcPr>
          <w:p>
            <w:pPr>
              <w:keepNext w:val="0"/>
              <w:spacing w:after="40" w:line="240" w:lineRule="auto"/>
            </w:pPr>
            <w:r>
              <w:rPr>
                <w:rFonts w:ascii="Arial" w:hAnsi="Arial"/>
                <w:color w:val="000000"/>
                <w:sz w:val="18"/>
              </w:rPr>
              <w:t>0 verified cron-triggered attempts; 4 manual workflow_dispatch verification records (collector phase scheduled); collection window still open.</w:t>
            </w:r>
          </w:p>
        </w:tc>
        <w:tc>
          <w:tcPr>
            <w:tcW w:type="dxa" w:w="1191"/>
            <w:vAlign w:val="center"/>
          </w:tcPr>
          <w:p>
            <w:pPr>
              <w:keepNext w:val="0"/>
              <w:spacing w:after="40" w:line="240" w:lineRule="auto"/>
            </w:pPr>
            <w:r>
              <w:rPr>
                <w:rFonts w:ascii="Arial" w:hAnsi="Arial"/>
                <w:color w:val="000000"/>
                <w:sz w:val="18"/>
              </w:rPr>
              <w:t>cannot judge</w:t>
            </w:r>
          </w:p>
        </w:tc>
        <w:tc>
          <w:tcPr>
            <w:tcW w:type="dxa" w:w="2438"/>
            <w:vAlign w:val="center"/>
          </w:tcPr>
          <w:p>
            <w:pPr>
              <w:keepNext w:val="0"/>
              <w:spacing w:after="40" w:line="240" w:lineRule="auto"/>
            </w:pPr>
            <w:r>
              <w:rPr>
                <w:rFonts w:ascii="Arial" w:hAnsi="Arial"/>
                <w:color w:val="000000"/>
                <w:sz w:val="18"/>
              </w:rPr>
              <w:t>results/observations.csv; docs/cloud_run.json; config/study.json</w:t>
            </w:r>
          </w:p>
        </w:tc>
      </w:tr>
    </w:tbl>
    <w:p>
      <w:pPr>
        <w:spacing w:after="20"/>
      </w:pPr>
    </w:p>
    <w:p>
      <w:pPr>
        <w:pStyle w:val="Heading2"/>
      </w:pPr>
      <w:r>
        <w:t>T3 Answer in continuous text</w:t>
      </w:r>
    </w:p>
    <w:p>
      <w:pPr>
        <w:widowControl/>
      </w:pPr>
      <w:r>
        <w:rPr>
          <w:rFonts w:ascii="Arial" w:hAnsi="Arial"/>
          <w:color w:val="000000"/>
        </w:rPr>
        <w:t>The first records test whether the instrument can produce traceable, usable data. They cannot answer the traffic-provider question. The no-traffic field is unavailable as a separate ORS measurement, and all primary disagreement measures lack an eligible provider pair. These are substantive limits of the available instrument, not evidence that traffic effects or provider differences are absent. Pilot success is assessed against the predeclared reliability expectations; it is not a conclusion that one route service is more accurate or that an observed estimate matches a real trip.</w:t>
      </w:r>
    </w:p>
    <w:p>
      <w:pPr>
        <w:widowControl/>
      </w:pPr>
      <w:r>
        <w:rPr>
          <w:rFonts w:ascii="Arial" w:hAnsi="Arial"/>
          <w:color w:val="000000"/>
        </w:rPr>
        <w:t>Access and terms behaved differently from the initial assumption that a working key would be sufficient for research publication. The amendment on 24 October 2026 consequently restricted active collection to ORS and reduced the scheduled workload to rotating batches. The primary hypotheses, fixed endpoints, time classification and falsification thresholds remain unchanged. Any later traffic-provider collection requires documented permission and a dated activation decision. Earlier ORS observations will retain their control status. This preserves comparability of the instrument record while acknowledging that a permitted, paired traffic sample is still required before the main study can be interpreted.</w:t>
      </w:r>
    </w:p>
    <w:p>
      <w:pPr>
        <w:widowControl/>
      </w:pPr>
      <w:r>
        <w:rPr>
          <w:rFonts w:ascii="Arial" w:hAnsi="Arial"/>
          <w:color w:val="000000"/>
        </w:rPr>
        <w:t>The earlier literature supports this restraint. Bastarianto et al. (2025) and Valero et al. (2025) distinguish calculated from reported journeys; neither kind can simply be treated as error-free truth. Boeing and Zhou (2026) and Verma et al. (2025) demonstrate useful reference comparisons without removing that distinction. Mansurova et al. (2025) provide local bus data, but its mode and stopping behavior do not validate private-car estimates. Future interpretation must therefore separate model agreement, sampling coverage and independent journey validation instead of using one as a substitute for another.</w:t>
      </w:r>
    </w:p>
    <w:p>
      <w:pPr>
        <w:pStyle w:val="Heading1"/>
      </w:pPr>
      <w:r>
        <w:t>References</w:t>
      </w:r>
    </w:p>
    <w:p>
      <w:pPr>
        <w:widowControl/>
      </w:pPr>
      <w:r>
        <w:rPr>
          <w:rFonts w:ascii="Arial" w:hAnsi="Arial"/>
          <w:color w:val="000000"/>
        </w:rPr>
        <w:t xml:space="preserve">2GIS (2026) Routing API overview. Available at: </w:t>
      </w:r>
      <w:hyperlink r:id="rId39">
        <w:r>
          <w:rPr>
            <w:color w:val="174B76"/>
            <w:sz w:val="18"/>
          </w:rPr>
          <w:t>https://docs.2gis.com/en/api/navigation/routing/overview</w:t>
        </w:r>
      </w:hyperlink>
      <w:r>
        <w:rPr>
          <w:rFonts w:ascii="Arial" w:hAnsi="Arial"/>
          <w:color w:val="000000"/>
        </w:rPr>
        <w:t xml:space="preserve"> (Accessed: 24 October 2026).</w:t>
      </w:r>
    </w:p>
    <w:p>
      <w:pPr>
        <w:widowControl/>
      </w:pPr>
      <w:r>
        <w:rPr>
          <w:rFonts w:ascii="Arial" w:hAnsi="Arial"/>
          <w:color w:val="000000"/>
        </w:rPr>
        <w:t xml:space="preserve">2GIS (2026) WebAPI licence offer. Available at: </w:t>
      </w:r>
      <w:hyperlink r:id="rId42">
        <w:r>
          <w:rPr>
            <w:color w:val="174B76"/>
            <w:sz w:val="18"/>
          </w:rPr>
          <w:t>https://law.2gis.ru/offer-license-agreement-webapi</w:t>
        </w:r>
      </w:hyperlink>
      <w:r>
        <w:rPr>
          <w:rFonts w:ascii="Arial" w:hAnsi="Arial"/>
          <w:color w:val="000000"/>
        </w:rPr>
        <w:t xml:space="preserve"> (Accessed: 24 October 2026).</w:t>
      </w:r>
    </w:p>
    <w:p>
      <w:pPr>
        <w:widowControl/>
      </w:pPr>
      <w:r>
        <w:rPr>
          <w:rFonts w:ascii="Arial" w:hAnsi="Arial"/>
          <w:color w:val="000000"/>
        </w:rPr>
        <w:t xml:space="preserve">Bastarianto, F.F., Hancock, T.O., Ilahi, A., Manley, E. and Choudhury, C.F. (2025) '‘Mind the Gap’—The impact of discrepancies between Google Maps API and reported travel data in the Global South', Case Studies on Transport Policy, 21, 101508. </w:t>
      </w:r>
      <w:hyperlink r:id="rId43">
        <w:r>
          <w:rPr>
            <w:color w:val="174B76"/>
            <w:sz w:val="18"/>
          </w:rPr>
          <w:t>https://doi.org/10.1016/j.cstp.2025.101508</w:t>
        </w:r>
      </w:hyperlink>
    </w:p>
    <w:p>
      <w:pPr>
        <w:widowControl/>
      </w:pPr>
      <w:r>
        <w:rPr>
          <w:rFonts w:ascii="Arial" w:hAnsi="Arial"/>
          <w:color w:val="000000"/>
        </w:rPr>
        <w:t xml:space="preserve">Boeing, G. and Zhou, Y. (2026) 'Travel time prediction from sparse open data', International Journal of Geographical Information Science, 40(10), pp. 3412–3428. </w:t>
      </w:r>
      <w:hyperlink r:id="rId44">
        <w:r>
          <w:rPr>
            <w:color w:val="174B76"/>
            <w:sz w:val="18"/>
          </w:rPr>
          <w:t>https://doi.org/10.1080/13658816.2026.2628193</w:t>
        </w:r>
      </w:hyperlink>
    </w:p>
    <w:p>
      <w:pPr>
        <w:widowControl/>
      </w:pPr>
      <w:r>
        <w:rPr>
          <w:rFonts w:ascii="Arial" w:hAnsi="Arial"/>
          <w:color w:val="000000"/>
        </w:rPr>
        <w:t xml:space="preserve">Derrow-Pinion, A., She, J., Wong, D., Lange, O., Hester, T., Perez, L., Nunkesser, M., Lee, S., Guo, X., Wiltshire, B., Battaglia, P.W., Gupta, V., Li, A., Xu, Z., Sanchez-Gonzalez, A., Li, Y. and Veličković, P. (2021) 'ETA Prediction with Graph Neural Networks in Google Maps', Proceedings of the 30th ACM International Conference on Information &amp; Knowledge Management, pp. 3767–3776. </w:t>
      </w:r>
      <w:hyperlink r:id="rId45">
        <w:r>
          <w:rPr>
            <w:color w:val="174B76"/>
            <w:sz w:val="18"/>
          </w:rPr>
          <w:t>https://doi.org/10.1145/3459637.3481916</w:t>
        </w:r>
      </w:hyperlink>
    </w:p>
    <w:p>
      <w:pPr>
        <w:widowControl/>
      </w:pPr>
      <w:r>
        <w:rPr>
          <w:rFonts w:ascii="Arial" w:hAnsi="Arial"/>
          <w:color w:val="000000"/>
        </w:rPr>
        <w:t xml:space="preserve">Elnaggar, G.R., Al-Hourani, S. and Abutaha, R. (2025) 'Real-Time Urban Congestion Monitoring in Jeddah, Saudi Arabia, Using the Google Maps API: A Data-Driven Framework for Middle Eastern Cities', Sustainability, 17(18), 8194. </w:t>
      </w:r>
      <w:hyperlink r:id="rId46">
        <w:r>
          <w:rPr>
            <w:color w:val="174B76"/>
            <w:sz w:val="18"/>
          </w:rPr>
          <w:t>https://doi.org/10.3390/su17188194</w:t>
        </w:r>
      </w:hyperlink>
    </w:p>
    <w:p>
      <w:pPr>
        <w:widowControl/>
      </w:pPr>
      <w:r>
        <w:rPr>
          <w:rFonts w:ascii="Arial" w:hAnsi="Arial"/>
          <w:color w:val="000000"/>
        </w:rPr>
        <w:t xml:space="preserve">Fu, X., Kakkar, D., Chen, J., Moynihan, K.M., Hegland, T.A. and Blossom, J. (2023) 'A comparative study of methods for drive time estimation on geospatial big data: A case study in USA', The International Archives of the Photogrammetry, Remote Sensing and Spatial Information Sciences, XLVIII-4/W7-2023, pp. 53–60. </w:t>
      </w:r>
      <w:hyperlink r:id="rId47">
        <w:r>
          <w:rPr>
            <w:color w:val="174B76"/>
            <w:sz w:val="18"/>
          </w:rPr>
          <w:t>https://doi.org/10.5194/isprs-archives-XLVIII-4-W7-2023-53-2023</w:t>
        </w:r>
      </w:hyperlink>
    </w:p>
    <w:p>
      <w:pPr>
        <w:widowControl/>
      </w:pPr>
      <w:r>
        <w:rPr>
          <w:rFonts w:ascii="Arial" w:hAnsi="Arial"/>
          <w:color w:val="000000"/>
        </w:rPr>
        <w:t xml:space="preserve">HeiGIT (2026) Isochrone traffic data: maintainer response. Available at: </w:t>
      </w:r>
      <w:hyperlink r:id="rId48">
        <w:r>
          <w:rPr>
            <w:color w:val="174B76"/>
            <w:sz w:val="18"/>
          </w:rPr>
          <w:t>https://ask.openrouteservice.org/t/isochrone-trafic-data/7875</w:t>
        </w:r>
      </w:hyperlink>
      <w:r>
        <w:rPr>
          <w:rFonts w:ascii="Arial" w:hAnsi="Arial"/>
          <w:color w:val="000000"/>
        </w:rPr>
        <w:t xml:space="preserve"> (Accessed: 24 October 2026).</w:t>
      </w:r>
    </w:p>
    <w:p>
      <w:pPr>
        <w:widowControl/>
      </w:pPr>
      <w:r>
        <w:rPr>
          <w:rFonts w:ascii="Arial" w:hAnsi="Arial"/>
          <w:color w:val="000000"/>
        </w:rPr>
        <w:t xml:space="preserve">HeiGIT (2026) openrouteservice API reference. Available at: </w:t>
      </w:r>
      <w:hyperlink r:id="rId49">
        <w:r>
          <w:rPr>
            <w:color w:val="174B76"/>
            <w:sz w:val="18"/>
          </w:rPr>
          <w:t>https://giscience.github.io/openrouteservice/api-reference/</w:t>
        </w:r>
      </w:hyperlink>
      <w:r>
        <w:rPr>
          <w:rFonts w:ascii="Arial" w:hAnsi="Arial"/>
          <w:color w:val="000000"/>
        </w:rPr>
        <w:t xml:space="preserve"> (Accessed: 24 October 2026).</w:t>
      </w:r>
    </w:p>
    <w:p>
      <w:pPr>
        <w:widowControl/>
      </w:pPr>
      <w:r>
        <w:rPr>
          <w:rFonts w:ascii="Arial" w:hAnsi="Arial"/>
          <w:color w:val="000000"/>
        </w:rPr>
        <w:t xml:space="preserve">HeiGIT (2026) openrouteservice frequently asked questions. Available at: </w:t>
      </w:r>
      <w:hyperlink r:id="rId50">
        <w:r>
          <w:rPr>
            <w:color w:val="174B76"/>
            <w:sz w:val="18"/>
          </w:rPr>
          <w:t>https://giscience.github.io/openrouteservice/frequently-asked-questions</w:t>
        </w:r>
      </w:hyperlink>
      <w:r>
        <w:rPr>
          <w:rFonts w:ascii="Arial" w:hAnsi="Arial"/>
          <w:color w:val="000000"/>
        </w:rPr>
        <w:t xml:space="preserve"> (Accessed: 24 October 2026).</w:t>
      </w:r>
    </w:p>
    <w:p>
      <w:pPr>
        <w:widowControl/>
      </w:pPr>
      <w:r>
        <w:rPr>
          <w:rFonts w:ascii="Arial" w:hAnsi="Arial"/>
          <w:color w:val="000000"/>
        </w:rPr>
        <w:t xml:space="preserve">HeiGIT (2026) Terms of service. Available at: </w:t>
      </w:r>
      <w:hyperlink r:id="rId36">
        <w:r>
          <w:rPr>
            <w:color w:val="174B76"/>
            <w:sz w:val="18"/>
          </w:rPr>
          <w:t>https://account.heigit.org/info/tos</w:t>
        </w:r>
      </w:hyperlink>
      <w:r>
        <w:rPr>
          <w:rFonts w:ascii="Arial" w:hAnsi="Arial"/>
          <w:color w:val="000000"/>
        </w:rPr>
        <w:t xml:space="preserve"> (Accessed: 24 October 2026).</w:t>
      </w:r>
    </w:p>
    <w:p>
      <w:pPr>
        <w:widowControl/>
      </w:pPr>
      <w:r>
        <w:rPr>
          <w:rFonts w:ascii="Arial" w:hAnsi="Arial"/>
          <w:color w:val="000000"/>
        </w:rPr>
        <w:t xml:space="preserve">Hodson, T.O. (2022) 'Root-mean-square error (RMSE) or mean absolute error (MAE): when to use them or not', Geoscientific Model Development, 15(14), pp. 5481–5487. </w:t>
      </w:r>
      <w:hyperlink r:id="rId51">
        <w:r>
          <w:rPr>
            <w:color w:val="174B76"/>
            <w:sz w:val="18"/>
          </w:rPr>
          <w:t>https://doi.org/10.5194/gmd-15-5481-2022</w:t>
        </w:r>
      </w:hyperlink>
    </w:p>
    <w:p>
      <w:pPr>
        <w:widowControl/>
      </w:pPr>
      <w:r>
        <w:rPr>
          <w:rFonts w:ascii="Arial" w:hAnsi="Arial"/>
          <w:color w:val="000000"/>
        </w:rPr>
        <w:t xml:space="preserve">Mansurova, A., Mussina, A., Aubakirov, S., Nugumanova, A. and Yedilkhan, D. (2025) 'From Raw GPS to GTFS: A Real-World Open Dataset for Bus Travel Time Prediction', Data, 10(8), 119. </w:t>
      </w:r>
      <w:hyperlink r:id="rId52">
        <w:r>
          <w:rPr>
            <w:color w:val="174B76"/>
            <w:sz w:val="18"/>
          </w:rPr>
          <w:t>https://doi.org/10.3390/data10080119</w:t>
        </w:r>
      </w:hyperlink>
    </w:p>
    <w:p>
      <w:pPr>
        <w:widowControl/>
      </w:pPr>
      <w:r>
        <w:rPr>
          <w:rFonts w:ascii="Arial" w:hAnsi="Arial"/>
          <w:color w:val="000000"/>
        </w:rPr>
        <w:t xml:space="preserve">OpenStreetMap contributors (2026) Copyright and licence. Available at: </w:t>
      </w:r>
      <w:hyperlink r:id="rId37">
        <w:r>
          <w:rPr>
            <w:color w:val="174B76"/>
            <w:sz w:val="18"/>
          </w:rPr>
          <w:t>https://www.openstreetmap.org/copyright</w:t>
        </w:r>
      </w:hyperlink>
      <w:r>
        <w:rPr>
          <w:rFonts w:ascii="Arial" w:hAnsi="Arial"/>
          <w:color w:val="000000"/>
        </w:rPr>
        <w:t xml:space="preserve"> (Accessed: 24 October 2026).</w:t>
      </w:r>
    </w:p>
    <w:p>
      <w:pPr>
        <w:widowControl/>
      </w:pPr>
      <w:r>
        <w:rPr>
          <w:rFonts w:ascii="Arial" w:hAnsi="Arial"/>
          <w:color w:val="000000"/>
        </w:rPr>
        <w:t xml:space="preserve">Soon, K.L., Chan, R.K.C., Lim, J.M.-Y. and Parthiban, R. (2023) 'Short-term traffic forecasting model: prevailing trends and guidelines', Transportation Safety and Environment, 5(3), tdac058. </w:t>
      </w:r>
      <w:hyperlink r:id="rId53">
        <w:r>
          <w:rPr>
            <w:color w:val="174B76"/>
            <w:sz w:val="18"/>
          </w:rPr>
          <w:t>https://doi.org/10.1093/tse/tdac058</w:t>
        </w:r>
      </w:hyperlink>
    </w:p>
    <w:p>
      <w:pPr>
        <w:widowControl/>
      </w:pPr>
      <w:r>
        <w:rPr>
          <w:rFonts w:ascii="Arial" w:hAnsi="Arial"/>
          <w:color w:val="000000"/>
        </w:rPr>
        <w:t xml:space="preserve">TomTom (2026) Calculate Route documentation. Available at: </w:t>
      </w:r>
      <w:hyperlink r:id="rId54">
        <w:r>
          <w:rPr>
            <w:color w:val="174B76"/>
            <w:sz w:val="18"/>
          </w:rPr>
          <w:t>https://docs.tomtom.com/routing-api/documentation/tomtom-maps/v1/calculate-route</w:t>
        </w:r>
      </w:hyperlink>
      <w:r>
        <w:rPr>
          <w:rFonts w:ascii="Arial" w:hAnsi="Arial"/>
          <w:color w:val="000000"/>
        </w:rPr>
        <w:t xml:space="preserve"> (Accessed: 24 October 2026).</w:t>
      </w:r>
    </w:p>
    <w:p>
      <w:pPr>
        <w:widowControl/>
      </w:pPr>
      <w:r>
        <w:rPr>
          <w:rFonts w:ascii="Arial" w:hAnsi="Arial"/>
          <w:color w:val="000000"/>
        </w:rPr>
        <w:t xml:space="preserve">TomTom (2026) Portal terms and conditions. Available at: </w:t>
      </w:r>
      <w:hyperlink r:id="rId38">
        <w:r>
          <w:rPr>
            <w:color w:val="174B76"/>
            <w:sz w:val="18"/>
          </w:rPr>
          <w:t>https://docs.tomtom.com/legal/terms-and-conditions</w:t>
        </w:r>
      </w:hyperlink>
      <w:r>
        <w:rPr>
          <w:rFonts w:ascii="Arial" w:hAnsi="Arial"/>
          <w:color w:val="000000"/>
        </w:rPr>
        <w:t xml:space="preserve"> (Accessed: 24 October 2026).</w:t>
      </w:r>
    </w:p>
    <w:p>
      <w:pPr>
        <w:widowControl/>
      </w:pPr>
      <w:r>
        <w:rPr>
          <w:rFonts w:ascii="Arial" w:hAnsi="Arial"/>
          <w:color w:val="000000"/>
        </w:rPr>
        <w:t xml:space="preserve">TomTom (2026) Pricing. Available at: </w:t>
      </w:r>
      <w:hyperlink r:id="rId55">
        <w:r>
          <w:rPr>
            <w:color w:val="174B76"/>
            <w:sz w:val="18"/>
          </w:rPr>
          <w:t>https://docs.tomtom.com/pricing</w:t>
        </w:r>
      </w:hyperlink>
      <w:r>
        <w:rPr>
          <w:rFonts w:ascii="Arial" w:hAnsi="Arial"/>
          <w:color w:val="000000"/>
        </w:rPr>
        <w:t xml:space="preserve"> (Accessed: 24 October 2026).</w:t>
      </w:r>
    </w:p>
    <w:p>
      <w:pPr>
        <w:widowControl/>
      </w:pPr>
      <w:r>
        <w:rPr>
          <w:rFonts w:ascii="Arial" w:hAnsi="Arial"/>
          <w:color w:val="000000"/>
        </w:rPr>
        <w:t xml:space="preserve">Valero, A., Negm, H. and El-Geneidy, A. (2025) 'Exploring the (Mis)match between Reported and Calculated Commute Travel Times', Findings, August. </w:t>
      </w:r>
      <w:hyperlink r:id="rId56">
        <w:r>
          <w:rPr>
            <w:color w:val="174B76"/>
            <w:sz w:val="18"/>
          </w:rPr>
          <w:t>https://doi.org/10.32866/001c.143380</w:t>
        </w:r>
      </w:hyperlink>
    </w:p>
    <w:p>
      <w:pPr>
        <w:widowControl/>
      </w:pPr>
      <w:r>
        <w:rPr>
          <w:rFonts w:ascii="Arial" w:hAnsi="Arial"/>
          <w:color w:val="000000"/>
        </w:rPr>
        <w:t xml:space="preserve">Verma, R., Mittal, S. and Ukkusuri, S.V. (2025) 'Spatial Access of America: Multiple indicators of accessibility to opportunities', Scientific Data, 12(1), 1223. </w:t>
      </w:r>
      <w:hyperlink r:id="rId57">
        <w:r>
          <w:rPr>
            <w:color w:val="174B76"/>
            <w:sz w:val="18"/>
          </w:rPr>
          <w:t>https://doi.org/10.1038/s41597-025-05440-8</w:t>
        </w:r>
      </w:hyperlink>
    </w:p>
    <w:p>
      <w:pPr>
        <w:pStyle w:val="Heading1"/>
      </w:pPr>
      <w:r>
        <w:t>Free-access links</w:t>
      </w:r>
    </w:p>
    <w:p>
      <w:pPr>
        <w:widowControl/>
      </w:pPr>
      <w:r>
        <w:rPr>
          <w:rFonts w:ascii="Arial" w:hAnsi="Arial"/>
          <w:color w:val="000000"/>
        </w:rPr>
        <w:t xml:space="preserve">Bastarianto, F.F., Hancock, T.O., Ilahi, A., Manley, E. and Choudhury, C.F. (2025): </w:t>
      </w:r>
      <w:hyperlink r:id="rId58">
        <w:r>
          <w:rPr>
            <w:color w:val="174B76"/>
            <w:sz w:val="18"/>
          </w:rPr>
          <w:t>https://eprints.whiterose.ac.uk/id/eprint/228392/1/1-s2.0-S2213624X25001452-main.pdf</w:t>
        </w:r>
      </w:hyperlink>
    </w:p>
    <w:p>
      <w:pPr>
        <w:widowControl/>
      </w:pPr>
      <w:r>
        <w:rPr>
          <w:rFonts w:ascii="Arial" w:hAnsi="Arial"/>
          <w:color w:val="000000"/>
        </w:rPr>
        <w:t xml:space="preserve">Boeing, G. and Zhou, Y. (2026): </w:t>
      </w:r>
      <w:hyperlink r:id="rId59">
        <w:r>
          <w:rPr>
            <w:color w:val="174B76"/>
            <w:sz w:val="18"/>
          </w:rPr>
          <w:t>https://escholarship.org/content/qt4cm065kz/qt4cm065kz.pdf?v=lg</w:t>
        </w:r>
      </w:hyperlink>
    </w:p>
    <w:p>
      <w:pPr>
        <w:widowControl/>
      </w:pPr>
      <w:r>
        <w:rPr>
          <w:rFonts w:ascii="Arial" w:hAnsi="Arial"/>
          <w:color w:val="000000"/>
        </w:rPr>
        <w:t xml:space="preserve">Derrow-Pinion, A., She, J., Wong, D., Lange, O., Hester, T., Perez, L., Nunkesser, M., Lee, S., Guo, X., Wiltshire, B., Battaglia, P.W., Gupta, V., Li, A., Xu, Z., Sanchez-Gonzalez, A., Li, Y. and Veličković, P. (2021): </w:t>
      </w:r>
      <w:hyperlink r:id="rId60">
        <w:r>
          <w:rPr>
            <w:color w:val="174B76"/>
            <w:sz w:val="18"/>
          </w:rPr>
          <w:t>https://luisperez.me/files/eta-prediction.pdf</w:t>
        </w:r>
      </w:hyperlink>
    </w:p>
    <w:p>
      <w:pPr>
        <w:widowControl/>
      </w:pPr>
      <w:r>
        <w:rPr>
          <w:rFonts w:ascii="Arial" w:hAnsi="Arial"/>
          <w:color w:val="000000"/>
        </w:rPr>
        <w:t xml:space="preserve">Elnaggar, G.R., Al-Hourani, S. and Abutaha, R. (2025): </w:t>
      </w:r>
      <w:hyperlink r:id="rId61">
        <w:r>
          <w:rPr>
            <w:color w:val="174B76"/>
            <w:sz w:val="18"/>
          </w:rPr>
          <w:t>https://mdpi-res.com/d_attachment/sustainability/sustainability-17-08194/article_deploy/sustainability-17-08194.pdf</w:t>
        </w:r>
      </w:hyperlink>
    </w:p>
    <w:p>
      <w:pPr>
        <w:widowControl/>
      </w:pPr>
      <w:r>
        <w:rPr>
          <w:rFonts w:ascii="Arial" w:hAnsi="Arial"/>
          <w:color w:val="000000"/>
        </w:rPr>
        <w:t xml:space="preserve">Fu, X., Kakkar, D., Chen, J., Moynihan, K.M., Hegland, T.A. and Blossom, J. (2023): </w:t>
      </w:r>
      <w:hyperlink r:id="rId62">
        <w:r>
          <w:rPr>
            <w:color w:val="174B76"/>
            <w:sz w:val="18"/>
          </w:rPr>
          <w:t>https://isprs-archives.copernicus.org/articles/XLVIII-4-W7-2023/53/2023/isprs-archives-XLVIII-4-W7-2023-53-2023.pdf</w:t>
        </w:r>
      </w:hyperlink>
    </w:p>
    <w:p>
      <w:pPr>
        <w:widowControl/>
      </w:pPr>
      <w:r>
        <w:rPr>
          <w:rFonts w:ascii="Arial" w:hAnsi="Arial"/>
          <w:color w:val="000000"/>
        </w:rPr>
        <w:t xml:space="preserve">Hodson, T.O. (2022): </w:t>
      </w:r>
      <w:hyperlink r:id="rId63">
        <w:r>
          <w:rPr>
            <w:color w:val="174B76"/>
            <w:sz w:val="18"/>
          </w:rPr>
          <w:t>https://gmd.copernicus.org/articles/15/5481/2022/gmd-15-5481-2022.pdf</w:t>
        </w:r>
      </w:hyperlink>
    </w:p>
    <w:p>
      <w:pPr>
        <w:widowControl/>
      </w:pPr>
      <w:r>
        <w:rPr>
          <w:rFonts w:ascii="Arial" w:hAnsi="Arial"/>
          <w:color w:val="000000"/>
        </w:rPr>
        <w:t xml:space="preserve">Mansurova, A., Mussina, A., Aubakirov, S., Nugumanova, A. and Yedilkhan, D. (2025): </w:t>
      </w:r>
      <w:hyperlink r:id="rId64">
        <w:r>
          <w:rPr>
            <w:color w:val="174B76"/>
            <w:sz w:val="18"/>
          </w:rPr>
          <w:t>https://mdpi-res.com/d_attachment/data/data-10-00119/article_deploy/data-10-00119.pdf</w:t>
        </w:r>
      </w:hyperlink>
    </w:p>
    <w:p>
      <w:pPr>
        <w:widowControl/>
      </w:pPr>
      <w:r>
        <w:rPr>
          <w:rFonts w:ascii="Arial" w:hAnsi="Arial"/>
          <w:color w:val="000000"/>
        </w:rPr>
        <w:t xml:space="preserve">Soon, K.L., Chan, R.K.C., Lim, J.M.-Y. and Parthiban, R. (2023): </w:t>
      </w:r>
      <w:hyperlink r:id="rId65">
        <w:r>
          <w:rPr>
            <w:color w:val="174B76"/>
            <w:sz w:val="18"/>
          </w:rPr>
          <w:t>https://researchmgt.monash.edu/ws/portalfiles/portal/528840794/488448406_oa.pdf</w:t>
        </w:r>
      </w:hyperlink>
    </w:p>
    <w:p>
      <w:pPr>
        <w:widowControl/>
      </w:pPr>
      <w:r>
        <w:rPr>
          <w:rFonts w:ascii="Arial" w:hAnsi="Arial"/>
          <w:color w:val="000000"/>
        </w:rPr>
        <w:t xml:space="preserve">Valero, A., Negm, H. and El-Geneidy, A. (2025): </w:t>
      </w:r>
      <w:hyperlink r:id="rId66">
        <w:r>
          <w:rPr>
            <w:color w:val="174B76"/>
            <w:sz w:val="18"/>
          </w:rPr>
          <w:t>https://findingspress.org/article/143380.pdf</w:t>
        </w:r>
      </w:hyperlink>
    </w:p>
    <w:p>
      <w:pPr>
        <w:widowControl/>
      </w:pPr>
      <w:r>
        <w:rPr>
          <w:rFonts w:ascii="Arial" w:hAnsi="Arial"/>
          <w:color w:val="000000"/>
        </w:rPr>
        <w:t xml:space="preserve">Verma, R., Mittal, S. and Ukkusuri, S.V. (2025): </w:t>
      </w:r>
      <w:hyperlink r:id="rId67">
        <w:r>
          <w:rPr>
            <w:color w:val="174B76"/>
            <w:sz w:val="18"/>
          </w:rPr>
          <w:t>https://www.nature.com/articles/s41597-025-05440-8</w:t>
        </w:r>
      </w:hyperlink>
    </w:p>
    <w:p>
      <w:pPr>
        <w:widowControl/>
      </w:pPr>
      <w:r>
        <w:rPr>
          <w:rFonts w:ascii="Arial" w:hAnsi="Arial"/>
          <w:color w:val="000000"/>
        </w:rPr>
        <w:t xml:space="preserve">Project evidence: </w:t>
      </w:r>
      <w:hyperlink r:id="rId10">
        <w:r>
          <w:rPr>
            <w:color w:val="174B76"/>
            <w:sz w:val="18"/>
          </w:rPr>
          <w:t>https://github.com/SuperFlyTK/rmt-a3-travel-time-astana</w:t>
        </w:r>
      </w:hyperlink>
      <w:r>
        <w:rPr>
          <w:rFonts w:ascii="Arial" w:hAnsi="Arial"/>
          <w:color w:val="000000"/>
        </w:rPr>
        <w:br/>
        <w:t xml:space="preserve">Cloud folder: </w:t>
      </w:r>
      <w:hyperlink r:id="rId11">
        <w:r>
          <w:rPr>
            <w:color w:val="174B76"/>
            <w:sz w:val="18"/>
          </w:rPr>
          <w:t>https://drive.google.com/drive/folders/1hEVyoDFR0XzRWSv3yIm2EGExC427-yE6</w:t>
        </w:r>
      </w:hyperlink>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SE-2424 | Assignment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4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after="12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uperFlyTK/rmt-a3-travel-time-astana" TargetMode="External"/><Relationship Id="rId11" Type="http://schemas.openxmlformats.org/officeDocument/2006/relationships/hyperlink" Target="https://drive.google.com/drive/folders/1hEVyoDFR0XzRWSv3yIm2EGExC427-yE6" TargetMode="External"/><Relationship Id="rId12" Type="http://schemas.openxmlformats.org/officeDocument/2006/relationships/hyperlink" Target="https://github.com/SuperFlyTK/rmt-a3-travel-time-astana/blob/main/data/routes.csv" TargetMode="External"/><Relationship Id="rId13" Type="http://schemas.openxmlformats.org/officeDocument/2006/relationships/hyperlink" Target="https://github.com/SuperFlyTK/rmt-a3-travel-time-astana/tree/main/data/source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github.com/SuperFlyTK/rmt-a3-travel-time-astana/blob/main/collector/collect.py" TargetMode="External"/><Relationship Id="rId25" Type="http://schemas.openxmlformats.org/officeDocument/2006/relationships/hyperlink" Target="https://github.com/SuperFlyTK/rmt-a3-travel-time-astana/tree/main/.github/workflows" TargetMode="External"/><Relationship Id="rId26" Type="http://schemas.openxmlformats.org/officeDocument/2006/relationships/hyperlink" Target="https://github.com/SuperFlyTK/rmt-a3-travel-time-astana/blob/main/analysis/process.py" TargetMode="External"/><Relationship Id="rId27" Type="http://schemas.openxmlformats.org/officeDocument/2006/relationships/hyperlink" Target="https://github.com/SuperFlyTK/rmt-a3-travel-time-astana/blob/main/docs/reproduce_report.md" TargetMode="External"/><Relationship Id="rId28" Type="http://schemas.openxmlformats.org/officeDocument/2006/relationships/hyperlink" Target="https://github.com/SuperFlyTK/rmt-a3-travel-time-astana/blob/main/docs/research_log.md" TargetMode="External"/><Relationship Id="rId29" Type="http://schemas.openxmlformats.org/officeDocument/2006/relationships/hyperlink" Target="https://github.com/SuperFlyTK/rmt-a3-travel-time-astana/tree/main/data/raw" TargetMode="External"/><Relationship Id="rId30" Type="http://schemas.openxmlformats.org/officeDocument/2006/relationships/hyperlink" Target="https://github.com/SuperFlyTK/rmt-a3-travel-time-astana/blob/main/results/observations.csv" TargetMode="External"/><Relationship Id="rId31" Type="http://schemas.openxmlformats.org/officeDocument/2006/relationships/hyperlink" Target="https://github.com/SuperFlyTK/rmt-a3-travel-time-astana/blob/main/results/version_manifest.json" TargetMode="External"/><Relationship Id="rId32" Type="http://schemas.openxmlformats.org/officeDocument/2006/relationships/hyperlink" Target="https://github.com/SuperFlyTK/rmt-a3-travel-time-astana/tree/main/collector" TargetMode="External"/><Relationship Id="rId33" Type="http://schemas.openxmlformats.org/officeDocument/2006/relationships/hyperlink" Target="https://github.com/SuperFlyTK/rmt-a3-travel-time-astana/tree/main/analysis" TargetMode="External"/><Relationship Id="rId34" Type="http://schemas.openxmlformats.org/officeDocument/2006/relationships/hyperlink" Target="https://github.com/SuperFlyTK/rmt-a3-travel-time-astana/blob/main/report/build_report.py" TargetMode="External"/><Relationship Id="rId35" Type="http://schemas.openxmlformats.org/officeDocument/2006/relationships/hyperlink" Target="https://github.com/SuperFlyTK/rmt-a3-travel-time-astana/tree/main/docs" TargetMode="External"/><Relationship Id="rId36" Type="http://schemas.openxmlformats.org/officeDocument/2006/relationships/hyperlink" Target="https://account.heigit.org/info/tos" TargetMode="External"/><Relationship Id="rId37" Type="http://schemas.openxmlformats.org/officeDocument/2006/relationships/hyperlink" Target="https://www.openstreetmap.org/copyright" TargetMode="External"/><Relationship Id="rId38" Type="http://schemas.openxmlformats.org/officeDocument/2006/relationships/hyperlink" Target="https://docs.tomtom.com/legal/terms-and-conditions" TargetMode="External"/><Relationship Id="rId39" Type="http://schemas.openxmlformats.org/officeDocument/2006/relationships/hyperlink" Target="https://docs.2gis.com/en/api/navigation/routing/overview" TargetMode="External"/><Relationship Id="rId40" Type="http://schemas.openxmlformats.org/officeDocument/2006/relationships/hyperlink" Target="https://github.com/SuperFlyTK/rmt-a3-travel-time-astana/tree/main/data" TargetMode="External"/><Relationship Id="rId41" Type="http://schemas.openxmlformats.org/officeDocument/2006/relationships/hyperlink" Target="https://github.com/SuperFlyTK/rmt-a3-travel-time-astana/blob/main/figures/analysis_manifest.json" TargetMode="External"/><Relationship Id="rId42" Type="http://schemas.openxmlformats.org/officeDocument/2006/relationships/hyperlink" Target="https://law.2gis.ru/offer-license-agreement-webapi" TargetMode="External"/><Relationship Id="rId43" Type="http://schemas.openxmlformats.org/officeDocument/2006/relationships/hyperlink" Target="https://doi.org/10.1016/j.cstp.2025.101508" TargetMode="External"/><Relationship Id="rId44" Type="http://schemas.openxmlformats.org/officeDocument/2006/relationships/hyperlink" Target="https://doi.org/10.1080/13658816.2026.2628193" TargetMode="External"/><Relationship Id="rId45" Type="http://schemas.openxmlformats.org/officeDocument/2006/relationships/hyperlink" Target="https://doi.org/10.1145/3459637.3481916" TargetMode="External"/><Relationship Id="rId46" Type="http://schemas.openxmlformats.org/officeDocument/2006/relationships/hyperlink" Target="https://doi.org/10.3390/su17188194" TargetMode="External"/><Relationship Id="rId47" Type="http://schemas.openxmlformats.org/officeDocument/2006/relationships/hyperlink" Target="https://doi.org/10.5194/isprs-archives-XLVIII-4-W7-2023-53-2023" TargetMode="External"/><Relationship Id="rId48" Type="http://schemas.openxmlformats.org/officeDocument/2006/relationships/hyperlink" Target="https://ask.openrouteservice.org/t/isochrone-trafic-data/7875" TargetMode="External"/><Relationship Id="rId49" Type="http://schemas.openxmlformats.org/officeDocument/2006/relationships/hyperlink" Target="https://giscience.github.io/openrouteservice/api-reference/" TargetMode="External"/><Relationship Id="rId50" Type="http://schemas.openxmlformats.org/officeDocument/2006/relationships/hyperlink" Target="https://giscience.github.io/openrouteservice/frequently-asked-questions" TargetMode="External"/><Relationship Id="rId51" Type="http://schemas.openxmlformats.org/officeDocument/2006/relationships/hyperlink" Target="https://doi.org/10.5194/gmd-15-5481-2022" TargetMode="External"/><Relationship Id="rId52" Type="http://schemas.openxmlformats.org/officeDocument/2006/relationships/hyperlink" Target="https://doi.org/10.3390/data10080119" TargetMode="External"/><Relationship Id="rId53" Type="http://schemas.openxmlformats.org/officeDocument/2006/relationships/hyperlink" Target="https://doi.org/10.1093/tse/tdac058" TargetMode="External"/><Relationship Id="rId54" Type="http://schemas.openxmlformats.org/officeDocument/2006/relationships/hyperlink" Target="https://docs.tomtom.com/routing-api/documentation/tomtom-maps/v1/calculate-route" TargetMode="External"/><Relationship Id="rId55" Type="http://schemas.openxmlformats.org/officeDocument/2006/relationships/hyperlink" Target="https://docs.tomtom.com/pricing" TargetMode="External"/><Relationship Id="rId56" Type="http://schemas.openxmlformats.org/officeDocument/2006/relationships/hyperlink" Target="https://doi.org/10.32866/001c.143380" TargetMode="External"/><Relationship Id="rId57" Type="http://schemas.openxmlformats.org/officeDocument/2006/relationships/hyperlink" Target="https://doi.org/10.1038/s41597-025-05440-8" TargetMode="External"/><Relationship Id="rId58" Type="http://schemas.openxmlformats.org/officeDocument/2006/relationships/hyperlink" Target="https://eprints.whiterose.ac.uk/id/eprint/228392/1/1-s2.0-S2213624X25001452-main.pdf" TargetMode="External"/><Relationship Id="rId59" Type="http://schemas.openxmlformats.org/officeDocument/2006/relationships/hyperlink" Target="https://escholarship.org/content/qt4cm065kz/qt4cm065kz.pdf?v=lg" TargetMode="External"/><Relationship Id="rId60" Type="http://schemas.openxmlformats.org/officeDocument/2006/relationships/hyperlink" Target="https://luisperez.me/files/eta-prediction.pdf" TargetMode="External"/><Relationship Id="rId61" Type="http://schemas.openxmlformats.org/officeDocument/2006/relationships/hyperlink" Target="https://mdpi-res.com/d_attachment/sustainability/sustainability-17-08194/article_deploy/sustainability-17-08194.pdf" TargetMode="External"/><Relationship Id="rId62" Type="http://schemas.openxmlformats.org/officeDocument/2006/relationships/hyperlink" Target="https://isprs-archives.copernicus.org/articles/XLVIII-4-W7-2023/53/2023/isprs-archives-XLVIII-4-W7-2023-53-2023.pdf" TargetMode="External"/><Relationship Id="rId63" Type="http://schemas.openxmlformats.org/officeDocument/2006/relationships/hyperlink" Target="https://gmd.copernicus.org/articles/15/5481/2022/gmd-15-5481-2022.pdf" TargetMode="External"/><Relationship Id="rId64" Type="http://schemas.openxmlformats.org/officeDocument/2006/relationships/hyperlink" Target="https://mdpi-res.com/d_attachment/data/data-10-00119/article_deploy/data-10-00119.pdf" TargetMode="External"/><Relationship Id="rId65" Type="http://schemas.openxmlformats.org/officeDocument/2006/relationships/hyperlink" Target="https://researchmgt.monash.edu/ws/portalfiles/portal/528840794/488448406_oa.pdf" TargetMode="External"/><Relationship Id="rId66" Type="http://schemas.openxmlformats.org/officeDocument/2006/relationships/hyperlink" Target="https://findingspress.org/article/143380.pdf" TargetMode="External"/><Relationship Id="rId67" Type="http://schemas.openxmlformats.org/officeDocument/2006/relationships/hyperlink" Target="https://www.nature.com/articles/s41597-025-054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Astana route-estimate instrument and methodology</dc:title>
  <dc:subject>ORS instrument pilot; prospective traffic-provider comparison</dc:subject>
  <dc:creator>Akhanov Yerdaulet, Shadiyarbek Syrym, Sabyrzhan Akylbek</dc:creator>
  <cp:keywords/>
  <dc:description>generated by python-docx</dc:description>
  <cp:lastModifiedBy/>
  <cp:revision>1</cp:revision>
  <dcterms:created xsi:type="dcterms:W3CDTF">2013-12-23T23:15:00Z</dcterms:created>
  <dcterms:modified xsi:type="dcterms:W3CDTF">2013-12-23T23:15:00Z</dcterms:modified>
  <cp:category/>
</cp:coreProperties>
</file>