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>
      <w:pPr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5" type="#_x0000_t202" style="height:123pt;margin-left:0;margin-top:-75.6pt;mso-height-relative:page;mso-position-horizontal:left;mso-position-horizontal-relative:page;mso-width-relative:page;position:absolute;width:196.5pt;z-index:251661312" coordsize="21600,21600" filled="t" fillcolor="white" stroked="f">
            <o:lock v:ext="edit" aspectratio="f"/>
            <v:textbox>
              <w:txbxContent>
                <w:p>
                  <w:r>
                    <w:drawing>
                      <wp:inline distT="0" distB="0" distL="0" distR="0">
                        <wp:extent cx="2672080" cy="1428750"/>
                        <wp:effectExtent l="0" t="0" r="20320" b="19050"/>
                        <wp:docPr id="256483092" name="图片 5" descr="徽标, 公司名称&#10;&#10;描述已自动生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483092" name="图片 5" descr="徽标, 公司名称&#10;&#10;描述已自动生成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5294" cy="1430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/>
    <w:p/>
    <w:p/>
    <w:p/>
    <w:p>
      <w:pP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instrText xml:space="preserve"> HYPERLINK "http://www.jingpaiconsulting.com" </w:instrTex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w:t>www.jingpaiconsulting.com</w:t>
      </w:r>
      <w: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w:fldChar w:fldCharType="end"/>
      </w:r>
    </w:p>
    <w:p>
      <w:r>
        <w:pict>
          <v:oval id="椭圆 3" o:spid="_x0000_s1026" style="height:157.5pt;margin-left:328.75pt;margin-top:2.45pt;mso-height-relative:page;mso-position-horizontal-relative:margin;mso-width-relative:page;position:absolute;v-text-anchor:middle;width:173.6pt;z-index:251660288" coordsize="21600,21600" filled="t" fillcolor="#c9a063" stroked="f">
            <v:stroke joinstyle="miter"/>
            <o:lock v:ext="edit" aspectratio="f"/>
            <w10:wrap anchorx="margin"/>
          </v:oval>
        </w:pic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45085</wp:posOffset>
                </wp:positionV>
                <wp:extent cx="5814695" cy="1976120"/>
                <wp:effectExtent l="0" t="0" r="0" b="5080"/>
                <wp:wrapNone/>
                <wp:docPr id="15888618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14695" cy="1976120"/>
                        </a:xfrm>
                        <a:prstGeom prst="rect">
                          <a:avLst/>
                        </a:prstGeom>
                        <a:solidFill>
                          <a:srgbClr val="CDC1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刊黑_Consolas" w:eastAsia="方正兰亭刊黑_Consolas" w:hAnsi="宋体" w:hint="default"/>
                                <w:b w:val="0"/>
                                <w:bCs w:val="0"/>
                                <w:color w:val="FFFFFF" w:themeColor="background1"/>
                                <w:sz w:val="66"/>
                                <w:szCs w:val="6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盖盖测试报告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矩形 2" o:spid="_x0000_s1027" type="#_x0000_t202" style="height:155.6pt;margin-left:0.75pt;margin-top:3.55pt;mso-position-horizontal-relative:page;mso-wrap-distance-bottom:0;mso-wrap-distance-left:9pt;mso-wrap-distance-right:9pt;mso-wrap-distance-top:0;position:absolute;v-text-anchor:middle;width:457.85pt;z-index:251658240" fillcolor="#cdc1a1" stroked="f">
                <v:textbox>
                  <w:txbxContent>
                    <w:p>
                      <w:pPr>
                        <w:ind w:firstLine="210" w:firstLineChars="100"/>
                        <w:rPr>
                          <w:rFonts w:hint="default"/>
                          <w:color w:val="FFFFFF" w:themeColor="background1"/>
                        </w:rPr>
                      </w:pPr>
                      <w:r>
                        <w:rPr>
                          <w:rFonts w:ascii="方正兰亭刊黑_Consolas" w:eastAsia="方正兰亭刊黑_Consolas" w:hAnsi="宋体" w:hint="default"/>
                          <w:b w:val="0"/>
                          <w:bCs w:val="0"/>
                          <w:color w:val="FFFFFF" w:themeColor="background1"/>
                          <w:sz w:val="66"/>
                          <w:szCs w:val="66"/>
                        </w:rPr>
                        <w:t>盖盖测试报告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3"/>
        <w:gridCol w:w="4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ind w:firstLine="420" w:firstLineChars="200"/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ascii="方正兰亭细黑_GBK" w:eastAsia="方正兰亭细黑_GBK" w:hAnsi="宋体" w:cstheme="minorBidi" w:hint="default"/>
                <w:b/>
                <w:bCs/>
                <w:color w:val="auto"/>
                <w:kern w:val="2"/>
                <w:sz w:val="24"/>
                <w:szCs w:val="28"/>
                <w:lang w:val="en-US" w:eastAsia="zh-CN" w:bidi="ar-SA"/>
              </w:rPr>
              <w:t>姓名：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ind w:firstLine="420" w:firstLineChars="200"/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ascii="方正兰亭细黑_GBK" w:eastAsia="方正兰亭细黑_GBK" w:hAnsi="宋体" w:cstheme="minorBidi" w:hint="default"/>
                <w:b/>
                <w:bCs/>
                <w:color w:val="auto"/>
                <w:kern w:val="2"/>
                <w:sz w:val="24"/>
                <w:szCs w:val="28"/>
                <w:lang w:val="en-US" w:eastAsia="zh-CN" w:bidi="ar-SA"/>
              </w:rPr>
              <w:t>盖盖2025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</w:p>
        </w:tc>
      </w:tr>
    </w:tbl>
    <w:p>
      <w:pPr>
        <w:tabs>
          <w:tab w:val="left" w:pos="1245"/>
        </w:tabs>
        <w:rPr>
          <w:rFonts w:ascii="方正兰亭细黑_GBK" w:eastAsia="方正兰亭细黑_GBK" w:hAnsi="宋体" w:cs="Arial Unicode MS" w:hint="default"/>
          <w:b w:val="0"/>
          <w:bCs w:val="0"/>
          <w:color w:val="0000FF"/>
          <w:sz w:val="24"/>
          <w:szCs w:val="28"/>
        </w:rPr>
      </w:pPr>
    </w:p>
    <w:p>
      <w:pPr>
        <w:tabs>
          <w:tab w:val="left" w:pos="1245"/>
        </w:tabs>
        <w:rPr>
          <w:rFonts w:ascii="方正兰亭细黑_GBK" w:eastAsia="方正兰亭细黑_GBK" w:hAnsi="宋体"/>
          <w:b w:val="0"/>
          <w:bCs w:val="0"/>
          <w:color w:val="0000FF"/>
          <w:sz w:val="24"/>
          <w:szCs w:val="28"/>
        </w:rPr>
      </w:pPr>
    </w:p>
    <w:p>
      <w:pPr>
        <w:tabs>
          <w:tab w:val="left" w:pos="1245"/>
        </w:tabs>
        <w:ind w:firstLine="420" w:firstLineChars="200"/>
        <w:rPr>
          <w:rFonts w:ascii="方正兰亭细黑_GBK" w:eastAsia="方正兰亭细黑_GBK" w:hAnsi="宋体"/>
          <w:b/>
          <w:bCs/>
          <w:sz w:val="24"/>
          <w:szCs w:val="28"/>
        </w:rPr>
      </w:pPr>
      <w:r>
        <w:rPr>
          <w:rFonts w:ascii="方正兰亭细黑_GBK" w:eastAsia="方正兰亭细黑_GBK" w:hAnsi="宋体" w:hint="eastAsia"/>
          <w:b/>
          <w:bCs/>
          <w:sz w:val="24"/>
          <w:szCs w:val="28"/>
        </w:rPr>
        <w:t>日期：</w:t>
      </w:r>
    </w:p>
    <w:p>
      <w:pPr>
        <w:tabs>
          <w:tab w:val="left" w:pos="1245"/>
        </w:tabs>
        <w:ind w:firstLine="420" w:firstLineChars="200"/>
        <w:rPr>
          <w:rFonts w:ascii="方正兰亭细黑_GBK" w:eastAsia="方正兰亭细黑_GBK" w:hAnsi="宋体" w:hint="default"/>
          <w:b/>
          <w:bCs/>
          <w:sz w:val="24"/>
          <w:szCs w:val="28"/>
        </w:rPr>
      </w:pPr>
      <w:r>
        <w:rPr>
          <w:rFonts w:ascii="方正兰亭细黑_GBK" w:eastAsia="方正兰亭细黑_GBK" w:hAnsi="宋体" w:hint="default"/>
          <w:b/>
          <w:bCs/>
          <w:sz w:val="24"/>
          <w:szCs w:val="28"/>
        </w:rPr>
        <w:t>2023-06-04</w:t>
      </w: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tabs>
          <w:tab w:val="left" w:pos="1245"/>
        </w:tabs>
        <w:rPr>
          <w:rStyle w:val="Hyperlink"/>
          <w:rFonts w:ascii="方正兰亭细黑_GBK" w:eastAsia="方正兰亭细黑_GBK" w:hAnsi="宋体"/>
          <w:sz w:val="24"/>
          <w:szCs w:val="28"/>
        </w:rPr>
      </w:pPr>
      <w:r>
        <w:rPr>
          <w:rFonts w:ascii="方正兰亭细黑_GBK" w:eastAsia="方正兰亭细黑_GBK" w:hAnsi="宋体" w:hint="eastAsia"/>
          <w:sz w:val="24"/>
          <w:szCs w:val="28"/>
        </w:rPr>
        <w:t xml:space="preserve"> </w:t>
      </w:r>
      <w:r>
        <w:rPr>
          <w:rFonts w:ascii="方正兰亭细黑_GBK" w:eastAsia="方正兰亭细黑_GBK" w:hAnsi="宋体"/>
          <w:sz w:val="24"/>
          <w:szCs w:val="28"/>
        </w:rPr>
        <w:t xml:space="preserve"> </w:t>
      </w:r>
      <w:r>
        <w:rPr>
          <w:rFonts w:ascii="方正兰亭细黑_GBK" w:eastAsia="方正兰亭细黑_GBK" w:hAnsi="宋体" w:hint="default"/>
          <w:sz w:val="24"/>
          <w:szCs w:val="28"/>
        </w:rPr>
        <w:t xml:space="preserve">  </w:t>
      </w:r>
      <w:r>
        <w:fldChar w:fldCharType="begin"/>
      </w:r>
      <w:r>
        <w:instrText xml:space="preserve"> HYPERLINK "http://www.jingpaiconsulting.com" </w:instrText>
      </w:r>
      <w:r>
        <w:fldChar w:fldCharType="separate"/>
      </w:r>
      <w:r>
        <w:rPr>
          <w:rStyle w:val="Hyperlink"/>
          <w:rFonts w:ascii="方正兰亭细黑_GBK" w:eastAsia="方正兰亭细黑_GBK" w:hAnsi="宋体"/>
          <w:sz w:val="24"/>
          <w:szCs w:val="28"/>
        </w:rPr>
        <w:t>www.jingpaiconsulting.com</w:t>
      </w:r>
      <w:r>
        <w:rPr>
          <w:rStyle w:val="Hyperlink"/>
          <w:rFonts w:ascii="方正兰亭细黑_GBK" w:eastAsia="方正兰亭细黑_GBK" w:hAnsi="宋体"/>
          <w:sz w:val="24"/>
          <w:szCs w:val="28"/>
        </w:rPr>
        <w:fldChar w:fldCharType="end"/>
      </w:r>
    </w:p>
    <w:p>
      <w:pPr>
        <w:tabs>
          <w:tab w:val="left" w:pos="1245"/>
        </w:tabs>
        <w:rPr>
          <w:rStyle w:val="Hyperlink"/>
          <w:rFonts w:ascii="方正兰亭细黑_GBK" w:eastAsia="方正兰亭细黑_GBK" w:hAnsi="宋体" w:hint="default"/>
          <w:sz w:val="24"/>
          <w:szCs w:val="28"/>
        </w:rPr>
      </w:pPr>
    </w:p>
    <w:p>
      <w:pPr>
        <w:tabs>
          <w:tab w:val="left" w:pos="1245"/>
        </w:tabs>
        <w:rPr>
          <w:rStyle w:val="Hyperlink"/>
          <w:rFonts w:ascii="方正兰亭细黑_GBK" w:eastAsia="方正兰亭细黑_GBK" w:hAnsi="宋体" w:hint="default"/>
          <w:sz w:val="24"/>
          <w:szCs w:val="28"/>
        </w:rPr>
      </w:pPr>
    </w:p>
    <w:p>
      <w:pPr>
        <w:tabs>
          <w:tab w:val="left" w:pos="1245"/>
        </w:tabs>
        <w:jc w:val="center"/>
        <w:rPr>
          <w:rStyle w:val="Hyperlink"/>
          <w:rFonts w:ascii="方正兰亭细黑_GBK" w:eastAsia="方正兰亭细黑_GBK" w:hAnsi="宋体" w:hint="eastAsia"/>
          <w:color w:val="000000" w:themeColor="text1"/>
          <w:sz w:val="36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Hyperlink"/>
          <w:rFonts w:ascii="方正兰亭细黑_GBK" w:eastAsia="方正兰亭细黑_GBK" w:hAnsi="宋体" w:hint="eastAsia"/>
          <w:color w:val="000000" w:themeColor="text1"/>
          <w:sz w:val="36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目录</w:t>
      </w: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bookmarkStart w:id="0" w:name="_GoBack"/>
      <w:r>
        <w:rPr>
          <w:rFonts w:ascii="方正兰亭细黑_GBK" w:eastAsia="方正兰亭细黑_GBK" w:hAnsi="宋体"/>
          <w:sz w:val="32"/>
          <w:szCs w:val="36"/>
        </w:rPr>
        <w:fldChar w:fldCharType="begin"/>
      </w:r>
      <w:r>
        <w:rPr>
          <w:rFonts w:ascii="方正兰亭细黑_GBK" w:eastAsia="方正兰亭细黑_GBK" w:hAnsi="宋体"/>
          <w:sz w:val="32"/>
          <w:szCs w:val="36"/>
        </w:rPr>
        <w:instrText xml:space="preserve">TOC \o "1-1" \h \u </w:instrText>
      </w:r>
      <w:r>
        <w:rPr>
          <w:rFonts w:ascii="方正兰亭细黑_GBK" w:eastAsia="方正兰亭细黑_GBK" w:hAnsi="宋体"/>
          <w:sz w:val="32"/>
          <w:szCs w:val="36"/>
        </w:rPr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</w:rPr>
        <w:t>报告简介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</w:rPr>
        <w:t>阅读建议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</w:rPr>
        <w:t>答题情况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rPr>
          <w:rStyle w:val="Hyperlink"/>
        </w:rPr>
        <w:t>综合得分情况（基于测评答题情况成长得分）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Style w:val="Hyperlink"/>
        </w:rPr>
        <w:t>指标得分情况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Style w:val="Hyperlink"/>
        </w:rPr>
        <w:t>逻辑推理分析报告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</w:rPr>
        <w:t>能力分析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</w:rPr>
        <w:t>关于报告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tabs>
          <w:tab w:val="left" w:pos="1245"/>
        </w:tabs>
        <w:spacing w:line="360" w:lineRule="auto"/>
        <w:rPr>
          <w:rFonts w:ascii="方正兰亭细黑_GBK" w:eastAsia="方正兰亭细黑_GBK" w:hAnsi="宋体"/>
          <w:sz w:val="24"/>
          <w:szCs w:val="36"/>
        </w:rPr>
      </w:pPr>
      <w:r>
        <w:rPr>
          <w:rFonts w:ascii="方正兰亭细黑_GBK" w:eastAsia="方正兰亭细黑_GBK" w:hAnsi="宋体"/>
          <w:sz w:val="24"/>
          <w:szCs w:val="36"/>
        </w:rPr>
        <w:fldChar w:fldCharType="end"/>
      </w:r>
      <w:bookmarkEnd w:id="0"/>
    </w:p>
    <w:p>
      <w:pPr>
        <w:rPr>
          <w:rFonts w:ascii="方正兰亭细黑_GBK" w:eastAsia="方正兰亭细黑_GBK" w:hAnsi="宋体"/>
          <w:sz w:val="24"/>
          <w:szCs w:val="28"/>
        </w:rPr>
      </w:pPr>
    </w:p>
    <w:p>
      <w:pPr>
        <w:pStyle w:val="Heading1"/>
      </w:pPr>
      <w:bookmarkStart w:id="1" w:name="_Toc256000000"/>
      <w:r>
        <w:t>报告简介</w:t>
      </w:r>
      <w:bookmarkEnd w:id="1"/>
    </w:p>
    <w:p>
      <w:pPr>
        <w:pStyle w:val="Normal0"/>
        <w:spacing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     招聘选拔是企业保障人才供应的重要手段，主要包括社会招聘、校园招聘、内部竞聘等。社会招聘的人才往往拥有专业的技能和一定的工作实践经验，能为企业节省大量的培训成本，也有利于为企业注入新的活力。校园招聘的人才是刚刚走出校园的毕业生，尽管缺乏工作经验，但他们可塑性强，更容易接受公司的管理理念和文化。内部竞聘是在企业内部选拔合适的人才，相对与外部招聘，内部竞聘为员工搭建了实现个人价值的舞台，有利于激发内部员工的工作热情和上进心，减少人才流失。</w:t>
      </w:r>
    </w:p>
    <w:p>
      <w:pPr>
        <w:pStyle w:val="Normal0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      无论是外部招聘还是内部竞聘，企业都需要对候选人进行精确、客观、公正的评价。人才素质与岗位胜任行为（KCI）高度相关，是岗位胜任行为的有力支撑，并且展现了人才的发展潜力。人才素质测评作为一种先进、高效、客观的人才选拔理念和工具，在招聘过程中，能够在短时间内对应聘者进行准确评价，减少面试的工作量和压力，提高招聘的效率和科学性。而在内部竞聘选拔过程中，能够依照岗位的不同，设置严格的、统一的标准对竞聘人员进行客观的定量考评，提高了竞聘的公平性和客观性。</w:t>
      </w:r>
    </w:p>
    <w:p>
      <w:pPr>
        <w:pStyle w:val="Normal0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      精派作为一家人才测评和人才管理的专业机构，通过结合多年的人才评估选拔拔经验以及雄厚的研发实力，针对不同行业、层级、岗位等特点，开发了招聘选拔测评系列产品。该系列产品充分体现了“人岗匹配”的人才选拔观，为企业提供全面的员工能力、个性、动力数据和相应的面试建议和用人建议，为企业招聘和选拔优秀人才提供有效参考。</w:t>
      </w:r>
    </w:p>
    <w:p w:rsidR="00A77B3E">
      <w:pPr>
        <w:pStyle w:val="Normal0"/>
        <w:rPr>
          <w:rStyle w:val="DefaultParagraphFont"/>
          <w:rFonts w:ascii="Times New Roman" w:eastAsia="Times New Roman" w:hAnsi="Times New Roman" w:cs="Times New Roman"/>
        </w:rPr>
      </w:pPr>
    </w:p>
    <w:p>
      <w:pPr>
        <w:pStyle w:val="Heading1"/>
      </w:pPr>
      <w:bookmarkStart w:id="2" w:name="_Toc256000001"/>
      <w:r>
        <w:t>阅读建议</w:t>
      </w:r>
      <w:bookmarkEnd w:id="2"/>
    </w:p>
    <w:p>
      <w:pPr>
        <w:pStyle w:val="Normal1"/>
        <w:spacing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1. 测评结果的准确性和可靠性依赖于被评价者在测验中态度是否认真、能否如实作答，是否答完题目以及答题所用时间是否在合理范围内等信息。</w:t>
      </w:r>
    </w:p>
    <w:p>
      <w:pPr>
        <w:pStyle w:val="Normal1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2. 人才素质测评遵循匹配原理、推断原理和误差原理。在使用测评结果时，需要与目标岗位具体情况相结合，并以科学的态度看待测评结果。</w:t>
      </w:r>
    </w:p>
    <w:p>
      <w:pPr>
        <w:pStyle w:val="Normal1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3. 若您是初次阅读此类报告，最好是在专业人士的指导下阅读，或请专业人士为您进行解释。</w:t>
      </w:r>
    </w:p>
    <w:p>
      <w:pPr>
        <w:pStyle w:val="Normal1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Normal1"/>
        <w:spacing w:before="240" w:after="240"/>
        <w:jc w:val="right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</w:p>
    <w:p w:rsidR="00A77B3E">
      <w:pPr>
        <w:pStyle w:val="Normal1"/>
        <w:rPr>
          <w:rStyle w:val="DefaultParagraphFont"/>
          <w:rFonts w:ascii="Times New Roman" w:eastAsia="Times New Roman" w:hAnsi="Times New Roman" w:cs="Times New Roman"/>
        </w:rPr>
      </w:pPr>
    </w:p>
    <w:p>
      <w:pPr>
        <w:pStyle w:val="Heading1"/>
      </w:pPr>
      <w:bookmarkStart w:id="3" w:name="_Toc256000002"/>
      <w:r>
        <w:t>答题情况</w:t>
      </w:r>
      <w:bookmarkEnd w:id="3"/>
    </w:p>
    <w:tbl>
      <w:tblPr>
        <w:tblStyle w:val="PlainTable50"/>
        <w:tblW w:w="9815" w:type="dxa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2150"/>
        <w:gridCol w:w="2032"/>
        <w:gridCol w:w="4208"/>
      </w:tblGrid>
      <w:tr>
        <w:tblPrEx>
          <w:tblW w:w="9815" w:type="dxa"/>
          <w:tblInd w:w="14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/>
        </w:trPr>
        <w:tc>
          <w:tcPr>
            <w:tcW w:w="1425" w:type="dxa"/>
            <w:tcBorders>
              <w:bottom w:val="single" w:sz="4" w:space="0" w:color="7E7E7E" w:themeColor="text1" w:themeTint="80"/>
              <w:right w:val="nil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</w:rPr>
              <w:t>答题情况</w:t>
            </w:r>
          </w:p>
        </w:tc>
        <w:tc>
          <w:tcPr>
            <w:tcW w:w="2150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</w:rPr>
              <w:t>参考值</w:t>
            </w:r>
          </w:p>
        </w:tc>
        <w:tc>
          <w:tcPr>
            <w:tcW w:w="2032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</w:rPr>
              <w:t>实际值</w:t>
            </w:r>
          </w:p>
        </w:tc>
        <w:tc>
          <w:tcPr>
            <w:tcW w:w="4208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W w:w="9815" w:type="dxa"/>
          <w:tblInd w:w="14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/>
        </w:trPr>
        <w:tc>
          <w:tcPr>
            <w:tcW w:w="1425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答题真实性</w:t>
            </w:r>
          </w:p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（掩饰性）</w:t>
            </w:r>
          </w:p>
        </w:tc>
        <w:tc>
          <w:tcPr>
            <w:tcW w:w="2150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1-9</w:t>
            </w:r>
          </w:p>
        </w:tc>
        <w:tc>
          <w:tcPr>
            <w:tcW w:w="2032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0</w:t>
            </w:r>
          </w:p>
        </w:tc>
        <w:tc>
          <w:tcPr>
            <w:tcW w:w="4208" w:type="dxa"/>
            <w:shd w:val="clear" w:color="auto" w:fill="F1F1F1" w:themeFill="background1" w:themeFillShade="F2"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盖盖2025</w:t>
            </w: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空值</w:t>
            </w:r>
          </w:p>
        </w:tc>
      </w:tr>
      <w:tr>
        <w:tblPrEx>
          <w:tblW w:w="9815" w:type="dxa"/>
          <w:tblInd w:w="14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/>
        </w:trPr>
        <w:tc>
          <w:tcPr>
            <w:tcW w:w="1425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答题时间</w:t>
            </w:r>
          </w:p>
        </w:tc>
        <w:tc>
          <w:tcPr>
            <w:tcW w:w="2150" w:type="dxa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  <w:highlight w:val="yellow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1小时43分钟</w:t>
            </w:r>
          </w:p>
        </w:tc>
        <w:tc>
          <w:tcPr>
            <w:tcW w:w="2032" w:type="dxa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  <w:highlight w:val="yellow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0小时0分钟</w:t>
            </w:r>
          </w:p>
        </w:tc>
        <w:tc>
          <w:tcPr>
            <w:tcW w:w="4208" w:type="dxa"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盖盖2025</w:t>
            </w: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答题时间远未达到规定答题时间，测评过程异常，请谨慎使用此测评结果.</w:t>
            </w:r>
          </w:p>
        </w:tc>
      </w:tr>
      <w:tr>
        <w:tblPrEx>
          <w:tblW w:w="9815" w:type="dxa"/>
          <w:tblInd w:w="14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/>
        </w:trPr>
        <w:tc>
          <w:tcPr>
            <w:tcW w:w="1425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答题数量</w:t>
            </w:r>
          </w:p>
        </w:tc>
        <w:tc>
          <w:tcPr>
            <w:tcW w:w="2150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189</w:t>
            </w:r>
          </w:p>
        </w:tc>
        <w:tc>
          <w:tcPr>
            <w:tcW w:w="2032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151</w:t>
            </w:r>
          </w:p>
        </w:tc>
        <w:tc>
          <w:tcPr>
            <w:tcW w:w="4208" w:type="dxa"/>
            <w:shd w:val="clear" w:color="auto" w:fill="F1F1F1" w:themeFill="background1" w:themeFillShade="F2"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盖盖2025</w:t>
            </w: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Microsoft YaHei" w:eastAsia="Microsoft YaHei" w:hAnsi="Microsoft YaHei" w:cs="Microsoft YaHei" w:hint="eastAsia"/>
                <w:b w:val="0"/>
                <w:bCs w:val="0"/>
                <w:i w:val="0"/>
                <w:iCs w:val="0"/>
                <w:color w:val="000000"/>
                <w:kern w:val="0"/>
                <w:sz w:val="22"/>
              </w:rPr>
              <w:t>本次答题数量在合理范围内.</w:t>
            </w:r>
          </w:p>
        </w:tc>
      </w:tr>
    </w:tbl>
    <w:p>
      <w:pPr>
        <w:pStyle w:val="Normal3"/>
        <w:rPr>
          <w:rStyle w:val="DefaultParagraphFont"/>
          <w:rFonts w:ascii="Microsoft YaHei Regular" w:eastAsia="Microsoft YaHei Regular" w:hAnsi="Microsoft YaHei Regular" w:cs="Microsoft YaHei Regular" w:hint="eastAsia"/>
          <w:i w:val="0"/>
        </w:rPr>
      </w:pPr>
    </w:p>
    <w:p>
      <w:pPr>
        <w:pStyle w:val="Normal3"/>
        <w:tabs>
          <w:tab w:val="left" w:pos="1245"/>
        </w:tabs>
        <w:rPr>
          <w:rStyle w:val="DefaultParagraphFont"/>
          <w:rFonts w:ascii="Microsoft YaHei Regular" w:eastAsia="Microsoft YaHei Regular" w:hAnsi="Microsoft YaHei Regular" w:cs="Microsoft YaHei Regular" w:hint="eastAsia"/>
          <w:i w:val="0"/>
          <w:sz w:val="24"/>
          <w:szCs w:val="28"/>
        </w:rPr>
      </w:pPr>
      <w:r>
        <w:rPr>
          <w:rStyle w:val="DefaultParagraphFont"/>
          <w:rFonts w:ascii="Microsoft YaHei Regular" w:eastAsia="Microsoft YaHei Regular" w:hAnsi="Microsoft YaHei Regular" w:cs="Microsoft YaHei Regular" w:hint="eastAsia"/>
          <w:i w:val="0"/>
          <w:sz w:val="24"/>
          <w:szCs w:val="28"/>
        </w:rPr>
        <w:t>报告参考价值</w:t>
      </w:r>
    </w:p>
    <w:p>
      <w:pPr>
        <w:pStyle w:val="Normal3"/>
        <w:rPr>
          <w:rStyle w:val="DefaultParagraphFont"/>
          <w:rFonts w:ascii="Microsoft YaHei Regular" w:eastAsia="Microsoft YaHei Regular" w:hAnsi="Microsoft YaHei Regular" w:cs="Microsoft YaHei Regular" w:hint="eastAsia"/>
          <w:i w:val="0"/>
          <w:highlight w:val="yellow"/>
        </w:rPr>
      </w:pPr>
      <w:r>
        <w:rPr>
          <w:rStyle w:val="DefaultParagraphFont"/>
          <w:rFonts w:ascii="Microsoft YaHei Regular" w:eastAsia="Microsoft YaHei Regular" w:hAnsi="Microsoft YaHei Regular" w:cs="Microsoft YaHei Regular" w:hint="eastAsia"/>
          <w:i w:val="0"/>
          <w:color w:val="000000"/>
          <w:kern w:val="0"/>
          <w:sz w:val="22"/>
          <w:highlight w:val="yellow"/>
        </w:rPr>
        <w:t>盖盖2025答题时间异常，报告结果的准确性需要进一步考察。</w:t>
      </w:r>
    </w:p>
    <w:p>
      <w:pPr>
        <w:pStyle w:val="Heading1"/>
      </w:pPr>
      <w:bookmarkStart w:id="4" w:name="_Toc256000003"/>
      <w:r>
        <w:t>综合得分情况（基于测评答题情况成长得分）</w:t>
      </w:r>
      <w:bookmarkEnd w:id="4"/>
    </w:p>
    <w:p>
      <w:pPr>
        <w:pStyle w:val="a2"/>
      </w:pPr>
      <w:r>
        <w:drawing>
          <wp:inline>
            <wp:extent cx="5486400" cy="3200400"/>
            <wp:docPr id="10000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a2"/>
      </w:pPr>
    </w:p>
    <w:p>
      <w:pPr>
        <w:pStyle w:val="Heading1"/>
      </w:pPr>
      <w:bookmarkStart w:id="5" w:name="_Toc256000004"/>
      <w:r>
        <w:t>指标得分情况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25"/>
        <w:gridCol w:w="785"/>
        <w:gridCol w:w="2576"/>
        <w:gridCol w:w="478"/>
        <w:gridCol w:w="533"/>
        <w:gridCol w:w="533"/>
        <w:gridCol w:w="538"/>
        <w:gridCol w:w="533"/>
        <w:gridCol w:w="533"/>
        <w:gridCol w:w="527"/>
        <w:gridCol w:w="533"/>
        <w:gridCol w:w="53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gridSpan w:val="2"/>
            <w:vAlign w:val="bottom"/>
          </w:tcPr>
          <w:p>
            <w:r>
              <w:t>指标分类</w:t>
            </w:r>
          </w:p>
        </w:tc>
        <w:tc>
          <w:tcPr>
            <w:vAlign w:val="bottom"/>
          </w:tcPr>
          <w:p>
            <w:r>
              <w:t>指标</w:t>
            </w:r>
          </w:p>
        </w:tc>
        <w:tc>
          <w:tcPr>
            <w:gridSpan w:val="9"/>
            <w:vAlign w:val="bottom"/>
          </w:tcPr>
          <w:p>
            <w:r>
              <w:t>得分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管理潜力</w:t>
            </w:r>
          </w:p>
        </w:tc>
        <w:tc>
          <w:tcPr>
            <w:vMerge w:val="restart"/>
            <w:vAlign w:val="bottom"/>
          </w:tcPr>
          <w:p>
            <w:r>
              <w:t>3.0</w:t>
            </w:r>
          </w:p>
        </w:tc>
        <w:tc>
          <w:tcPr>
            <w:vAlign w:val="bottom"/>
          </w:tcPr>
          <w:p>
            <w:r>
              <w:t>人际洞察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shd w:val="clear" w:color="auto" w:fill="FFFF00"/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3.0</w:t>
            </w:r>
          </w:p>
        </w:tc>
        <w:tc>
          <w:tcPr>
            <w:vAlign w:val="bottom"/>
          </w:tcPr>
          <w:p>
            <w:r>
              <w:t>结果导向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shd w:val="clear" w:color="auto" w:fill="FFFF00"/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3.0</w:t>
            </w:r>
          </w:p>
        </w:tc>
        <w:tc>
          <w:tcPr>
            <w:vAlign w:val="bottom"/>
          </w:tcPr>
          <w:p>
            <w:r>
              <w:t>勇于担责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shd w:val="clear" w:color="auto" w:fill="FFFF00"/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3.0</w:t>
            </w:r>
          </w:p>
        </w:tc>
        <w:tc>
          <w:tcPr>
            <w:vAlign w:val="bottom"/>
          </w:tcPr>
          <w:p>
            <w:r>
              <w:t>计划能力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shd w:val="clear" w:color="auto" w:fill="FFFF00"/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3.0</w:t>
            </w:r>
          </w:p>
        </w:tc>
        <w:tc>
          <w:tcPr>
            <w:vAlign w:val="bottom"/>
          </w:tcPr>
          <w:p>
            <w:r>
              <w:t>识人用人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shd w:val="clear" w:color="auto" w:fill="FFFF00"/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自我管理</w:t>
            </w:r>
          </w:p>
        </w:tc>
        <w:tc>
          <w:tcPr>
            <w:vMerge w:val="restart"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问题分析与解决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shd w:val="clear" w:color="auto" w:fill="FFFF00"/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沟通能力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shd w:val="clear" w:color="auto" w:fill="FFFF00"/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时间管理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shd w:val="clear" w:color="auto" w:fill="FFFF00"/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学习能力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逻辑推理</w:t>
            </w:r>
          </w:p>
        </w:tc>
        <w:tc>
          <w:tcPr>
            <w:vMerge w:val="restart"/>
            <w:vAlign w:val="bottom"/>
          </w:tcPr>
          <w:p>
            <w:r>
              <w:t>0.0</w:t>
            </w:r>
          </w:p>
        </w:tc>
        <w:tc>
          <w:tcPr>
            <w:vAlign w:val="bottom"/>
          </w:tcPr>
          <w:p>
            <w:r>
              <w:t>逻辑推理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个性</w:t>
            </w:r>
          </w:p>
        </w:tc>
        <w:tc>
          <w:tcPr>
            <w:vMerge w:val="restart"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积极主动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shd w:val="clear" w:color="auto" w:fill="FFFF00"/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进取心</w:t>
            </w:r>
          </w:p>
        </w:tc>
        <w:tc>
          <w:tcPr>
            <w:shd w:val="clear" w:color="auto" w:fill="FFFF00"/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情绪控制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shd w:val="clear" w:color="auto" w:fill="FFFF00"/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信守承诺</w:t>
            </w:r>
          </w:p>
        </w:tc>
        <w:tc>
          <w:tcPr>
            <w:shd w:val="clear" w:color="auto" w:fill="FFFF00"/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压力承受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shd w:val="clear" w:color="auto" w:fill="FFFF00"/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创新精神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shd w:val="clear" w:color="auto" w:fill="FFFF00"/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2.0</w:t>
            </w:r>
          </w:p>
        </w:tc>
        <w:tc>
          <w:tcPr>
            <w:vAlign w:val="bottom"/>
          </w:tcPr>
          <w:p>
            <w:r>
              <w:t>合作精神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shd w:val="clear" w:color="auto" w:fill="FFFF00"/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bottom"/>
          </w:tcPr>
          <w:p>
            <w:r>
              <w:t>掩饰性</w:t>
            </w:r>
          </w:p>
        </w:tc>
        <w:tc>
          <w:tcPr>
            <w:vAlign w:val="bottom"/>
          </w:tcPr>
          <w:p>
            <w:r>
              <w:t>0.0</w:t>
            </w:r>
          </w:p>
        </w:tc>
        <w:tc>
          <w:tcPr>
            <w:vAlign w:val="bottom"/>
          </w:tcPr>
          <w:p>
            <w:r>
              <w:t>掩饰性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</w:tbl>
    <w:p/>
    <w:p>
      <w:pPr>
        <w:pStyle w:val="a2"/>
      </w:pPr>
    </w:p>
    <w:p>
      <w:pPr>
        <w:pStyle w:val="Heading1"/>
      </w:pPr>
      <w:bookmarkStart w:id="6" w:name="_Toc256000005"/>
      <w:r>
        <w:t>逻辑推理分析报告</w:t>
      </w:r>
      <w:bookmarkEnd w:id="6"/>
    </w:p>
    <w:p>
      <w:pPr>
        <w:pStyle w:val="a2"/>
      </w:pPr>
      <w:r>
        <w:t>逻辑推理能是以敏锐的思考分析、快捷的反应、迅速地掌握问题的核心，在最短时间找出其事物内在的逻辑关系，从而推理出符合逻辑关系的结论的能力。具备了逻辑推理能力，才能对事物做出符合逻辑关系的正确判断，因此逻辑推理能力也是个人重要的基础素质之一。在人才评估中，逻辑推理能力经常用于评估人才的智商/潜力。</w:t>
      </w:r>
    </w:p>
    <w:p>
      <w:pPr>
        <w:pStyle w:val="a2"/>
      </w:pPr>
      <w:r>
        <w:t>你的逻辑得分为:1</w:t>
      </w:r>
    </w:p>
    <w:p>
      <w:pPr>
        <w:pStyle w:val="a2"/>
      </w:pPr>
    </w:p>
    <w:p>
      <w:pPr>
        <w:pStyle w:val="Heading1"/>
      </w:pPr>
      <w:bookmarkStart w:id="7" w:name="_Toc256000006"/>
      <w:r>
        <w:t>能力分析</w:t>
      </w:r>
      <w:bookmarkEnd w:id="7"/>
    </w:p>
    <w:p>
      <w:pPr>
        <w:pStyle w:val="Heading1"/>
      </w:pPr>
      <w:bookmarkStart w:id="8" w:name="_Toc256000007"/>
      <w:r>
        <w:t>关于报告</w:t>
      </w:r>
      <w:bookmarkEnd w:id="8"/>
    </w:p>
    <w:p>
      <w:pPr>
        <w:pStyle w:val="Normal4"/>
        <w:spacing w:after="24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本报告由精派咨询开发的人才素质测评系统自动生成。本报告是基于答题者对测验的回答结果所生成，并且充分体现了答题者所选答案反映的各项素质的水平。</w:t>
      </w:r>
    </w:p>
    <w:p>
      <w:pPr>
        <w:pStyle w:val="Normal4"/>
        <w:spacing w:before="240" w:after="24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本测验的结果只是为了解被评价者提供不同角度的信息，但不能作为唯一的依据。应该与其他有关的信息，如教育背景、日常工作行为、工作经历和工作业绩等结合分析，以更好地提高人才评价的准确性。</w:t>
      </w:r>
    </w:p>
    <w:p>
      <w:pPr>
        <w:pStyle w:val="Normal4"/>
        <w:spacing w:before="240" w:after="24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本报告内容属于个人隐私，请注意保密。</w:t>
      </w:r>
    </w:p>
    <w:p>
      <w:pPr>
        <w:pStyle w:val="Normal4"/>
        <w:spacing w:before="240" w:after="24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若有任何疑问，请咨询精派咨询专业咨询顾问。</w:t>
      </w:r>
    </w:p>
    <w:p>
      <w:pPr>
        <w:pStyle w:val="Normal4"/>
        <w:spacing w:before="240" w:after="240"/>
        <w:jc w:val="right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黑体" w:eastAsia="黑体" w:hAnsi="黑体" w:cs="黑体"/>
        </w:rPr>
        <w:t>精派咨询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Normal4"/>
        <w:spacing w:before="240" w:after="240"/>
        <w:jc w:val="right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</w:p>
    <w:p w:rsidR="00A77B3E">
      <w:pPr>
        <w:pStyle w:val="Normal4"/>
        <w:rPr>
          <w:rStyle w:val="DefaultParagraphFont"/>
          <w:rFonts w:ascii="Times New Roman" w:eastAsia="Times New Roman" w:hAnsi="Times New Roman" w:cs="Times New Roman"/>
        </w:rPr>
      </w:pPr>
    </w:p>
    <w:sectPr>
      <w:pgSz w:w="11906" w:h="16838"/>
      <w:pgMar w:top="1440" w:right="1080" w:bottom="1440" w:left="108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SourceHanSansSC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方正兰亭细黑_GBK">
    <w:altName w:val="黑体-简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方正兰亭刊黑_Consolas">
    <w:altName w:val="汉仪中黑KW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antinghei TC Extralight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antinghei SC Extra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隶变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Microsoft YaHei Regular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Microsoft YaHei Bold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Microsoft YaHei">
    <w:panose1 w:val="020B0503020204020204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qFormat="1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Title"/>
    <w:next w:val="Normal"/>
    <w:uiPriority w:val="9"/>
    <w:qFormat/>
    <w:pPr>
      <w:keepNext/>
      <w:keepLines/>
      <w:numPr>
        <w:ilvl w:val="0"/>
        <w:numId w:val="0"/>
      </w:numPr>
      <w:spacing w:before="220" w:beforeLines="0" w:beforeAutospacing="0" w:after="210" w:afterLines="0" w:afterAutospacing="0" w:line="576" w:lineRule="auto"/>
      <w:jc w:val="left"/>
      <w:outlineLvl w:val="0"/>
    </w:pPr>
    <w:rPr>
      <w:rFonts w:asciiTheme="minorAscii" w:hAnsiTheme="minorAscii"/>
      <w:b w:val="0"/>
      <w:kern w:val="44"/>
      <w:sz w:val="3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0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Date">
    <w:name w:val="Date"/>
    <w:basedOn w:val="Normal"/>
    <w:next w:val="Normal"/>
    <w:link w:val="a1"/>
    <w:uiPriority w:val="99"/>
    <w:semiHidden/>
    <w:unhideWhenUsed/>
    <w:qFormat/>
    <w:pPr>
      <w:ind w:left="100" w:leftChars="2500"/>
    </w:p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日期 字符"/>
    <w:basedOn w:val="DefaultParagraphFont"/>
    <w:link w:val="Date"/>
    <w:uiPriority w:val="99"/>
    <w:semiHidden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qFormat/>
    <w:rPr>
      <w:rFonts w:ascii="SourceHanSansSC-Regular" w:hAnsi="SourceHanSansSC-Regular" w:hint="default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table" w:customStyle="1" w:styleId="PlainTable5">
    <w:name w:val="Plain Table 5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qFormat/>
    <w:tblPr>
      <w:tblBorders>
        <w:top w:val="single" w:sz="4" w:space="0" w:color="BEBEBE" w:themeColor="background1" w:themeShade="BF"/>
        <w:left w:val="single" w:sz="4" w:space="0" w:color="BEBEBE" w:themeColor="background1" w:themeShade="BF"/>
        <w:bottom w:val="single" w:sz="4" w:space="0" w:color="BEBEBE" w:themeColor="background1" w:themeShade="BF"/>
        <w:right w:val="single" w:sz="4" w:space="0" w:color="BEBEBE" w:themeColor="background1" w:themeShade="BF"/>
        <w:insideH w:val="single" w:sz="4" w:space="0" w:color="BEBEBE" w:themeColor="background1" w:themeShade="BF"/>
        <w:insideV w:val="single" w:sz="4" w:space="0" w:color="BEBEBE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EBEBE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ListTable3Accent3">
    <w:name w:val="List Table 3 Accent 3"/>
    <w:basedOn w:val="TableNormal"/>
    <w:uiPriority w:val="48"/>
    <w:qFormat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A5A5A5" w:themeColor="accent3"/>
          <w:left w:val="nil"/>
        </w:tcBorders>
      </w:tcPr>
    </w:tblStylePr>
    <w:tblStylePr w:type="swCell"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qFormat/>
    <w:tblPr/>
    <w:tblStylePr w:type="firstRow">
      <w:rPr>
        <w:b/>
        <w:bCs/>
        <w:caps/>
      </w:rPr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7E7E7E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p1">
    <w:name w:val="p1"/>
    <w:basedOn w:val="Normal"/>
    <w:qFormat/>
    <w:pPr>
      <w:spacing w:before="0" w:beforeAutospacing="0" w:after="0" w:afterAutospacing="0"/>
      <w:ind w:left="0" w:right="0"/>
      <w:jc w:val="left"/>
    </w:pPr>
    <w:rPr>
      <w:rFonts w:ascii="menlo" w:eastAsia="menlo" w:hAnsi="menlo" w:cs="menlo"/>
      <w:color w:val="2A00FF"/>
      <w:kern w:val="0"/>
      <w:sz w:val="24"/>
      <w:szCs w:val="24"/>
      <w:lang w:val="en-US" w:eastAsia="zh-CN" w:bidi="ar"/>
    </w:rPr>
  </w:style>
  <w:style w:type="paragraph" w:customStyle="1" w:styleId="a2">
    <w:name w:val="正文样式"/>
    <w:basedOn w:val="Normal"/>
    <w:qFormat/>
    <w:pPr>
      <w:tabs>
        <w:tab w:val="left" w:pos="1245"/>
      </w:tabs>
      <w:ind w:firstLine="480" w:firstLineChars="200"/>
    </w:pPr>
    <w:rPr>
      <w:rFonts w:ascii="方正兰亭细黑_GBK" w:eastAsia="方正兰亭细黑_GBK" w:hAnsi="方正兰亭细黑_GBK" w:hint="eastAsia"/>
      <w:sz w:val="24"/>
      <w:szCs w:val="28"/>
    </w:rPr>
  </w:style>
  <w:style w:type="paragraph" w:customStyle="1" w:styleId="Normal0">
    <w:name w:val="Normal_0"/>
    <w:qFormat/>
    <w:rPr>
      <w:rFonts w:eastAsia="Times New Roman"/>
      <w:sz w:val="24"/>
      <w:szCs w:val="24"/>
    </w:rPr>
  </w:style>
  <w:style w:type="paragraph" w:customStyle="1" w:styleId="Normal1">
    <w:name w:val="Normal_1"/>
    <w:qFormat/>
    <w:rPr>
      <w:rFonts w:eastAsia="Times New Roman"/>
      <w:sz w:val="24"/>
      <w:szCs w:val="24"/>
    </w:rPr>
  </w:style>
  <w:style w:type="paragraph" w:customStyle="1" w:styleId="Normal2">
    <w:name w:val="Normal_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table" w:customStyle="1" w:styleId="PlainTable50">
    <w:name w:val="Plain Table 5_0"/>
    <w:basedOn w:val="TableNormal"/>
    <w:uiPriority w:val="45"/>
    <w:qFormat/>
    <w:rPr>
      <w:rFonts w:asciiTheme="minorHAnsi" w:eastAsiaTheme="minorEastAsia" w:hAnsiTheme="minorHAnsi" w:cstheme="minorBidi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Normal3">
    <w:name w:val="Normal_3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customStyle="1" w:styleId="Normal4">
    <w:name w:val="Normal_4"/>
    <w:qFormat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chart" Target="charts/chart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v>管理潜力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3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3</c:v>
              </c:pt>
            </c:numLit>
          </c:val>
        </c:ser>
        <c:ser>
          <c:idx val="1"/>
          <c:order val="1"/>
          <c:tx>
            <c:v>自我管理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2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2"/>
          <c:order val="2"/>
          <c:tx>
            <c:v>逻辑推理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0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0</c:v>
              </c:pt>
            </c:numLit>
          </c:val>
        </c:ser>
        <c:ser>
          <c:idx val="3"/>
          <c:order val="3"/>
          <c:tx>
            <c:v>个性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2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4"/>
          <c:order val="4"/>
          <c:tx>
            <c:v>掩饰性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0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</c:catAx>
      <c:valAx>
        <c:axId val="305318568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QZ3516</dc:creator>
  <cp:lastModifiedBy>你的盖盖</cp:lastModifiedBy>
  <cp:revision>3</cp:revision>
  <dcterms:created xsi:type="dcterms:W3CDTF">2023-05-12T23:51:00Z</dcterms:created>
  <dcterms:modified xsi:type="dcterms:W3CDTF">2023-08-19T20:34:51Z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46DDCF774DFC2DD4C26E7C64383DA3F4_42</vt:lpwstr>
  </property>
  <property fmtid="{D5CDD505-2E9C-101B-9397-08002B2CF9AE}" pid="3" name="KSOProductBuildVer">
    <vt:lpwstr>2052-5.4.0.7910</vt:lpwstr>
  </property>
</Properties>
</file>