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Despliegue de FoodInka</w:t>
      </w:r>
    </w:p>
    <w:p>
      <w:r>
        <w:rPr>
          <w:i/>
          <w:color w:val="595959"/>
        </w:rPr>
        <w:t>Vercel para frontend y Render para backend</w:t>
      </w:r>
    </w:p>
    <w:p>
      <w:pPr>
        <w:pStyle w:val="IntenseQuote"/>
      </w:pPr>
      <w:r>
        <w:t>Proyecto FoodInka / Antojia. Informe elaborado a partir de la estructura y configuración actuales de los repositorios backend y frontend. Los secretos se representan como xxxx.</w:t>
      </w:r>
    </w:p>
    <w:p>
      <w:pPr>
        <w:pStyle w:val="Heading1"/>
      </w:pPr>
      <w:r>
        <w:t>Resumen ejecutivo</w:t>
      </w:r>
    </w:p>
    <w:p>
      <w:r>
        <w:t>La arquitectura de despliegue separa la aplicación React/Vite, publicada como contenido estático en Vercel, de la API Node/Express, ejecutada como contenedor Docker en Render. El backend conecta Prisma con PostgreSQL y utiliza servicios externos para autenticación, imágenes, consulta RUC y pagos.</w:t>
      </w:r>
    </w:p>
    <w:p>
      <w:pPr>
        <w:pStyle w:val="Heading1"/>
      </w:pPr>
      <w:r>
        <w:t>Flujo de despliegue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Configuración observada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Build npm run build; salida dist; rewrite a index.html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SPA con React Router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Render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Servicio web Docker; health check /health; autoDeploy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API REST en /api/v1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PostgreSQL gestionado</w:t>
            </w:r>
          </w:p>
        </w:tc>
        <w:tc>
          <w:tcPr>
            <w:tcW w:type="dxa" w:w="388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DATABASE_URL pooler y DIRECT_URL directo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Persistencia con Prisma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Imágenes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Cloudinary</w:t>
            </w:r>
          </w:p>
        </w:tc>
        <w:tc>
          <w:tcPr>
            <w:tcW w:type="dxa" w:w="388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Credenciales solo en backend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Carga firmada y URLs públicas</w:t>
            </w:r>
          </w:p>
        </w:tc>
      </w:tr>
    </w:tbl>
    <w:p>
      <w:pPr>
        <w:spacing w:after="40"/>
      </w:pPr>
    </w:p>
    <w:p>
      <w:pPr>
        <w:pStyle w:val="Heading2"/>
      </w:pPr>
      <w:r>
        <w:t>Variables de entorno</w:t>
      </w:r>
    </w:p>
    <w:p>
      <w:r>
        <w:t>Los nombres se mantienen, pero los valores sensibles se documentan como xxxx. En Vercel se usan variables VITE_*; Vite las incorpora al bundle, por lo que no deben contener secretos. En Render se mantienen tokens y secretos exclusivamente del lado servidor.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Plataforma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Variables documentadas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VITE_API_URL=xxxx; VITE_AUTH0_CONNECTION=xxxx; VITE_AUTH0_CLIENT_ID=xxxx; VITE_AUTH0_DOMAIN=xxxx; VITE_AUTH0_AUDIENCE=xxxx</w:t>
            </w:r>
          </w:p>
        </w:tc>
      </w:tr>
      <w:tr>
        <w:tc>
          <w:tcPr>
            <w:tcW w:type="dxa" w:w="144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Render</w:t>
            </w:r>
          </w:p>
        </w:tc>
        <w:tc>
          <w:tcPr>
            <w:tcW w:type="dxa" w:w="777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APIPERUDEV_API_TOKEN=xxxx; APIPERUDEV_API_URL=xxxx; AUTH0_AUDIENCE=xxxx; AUTH0_DOMAIN=xxxx; BACKEND_URL=xxxx; CLOUDINARY_API_KEY=xxxx; CLOUDINARY_API_SECRET=xxxx; CLOUDINARY_CLOUD_NAME=xxxx; DATABASE_URL=xxxx; DB_POOL_SIZE=xxxx; DIRECT_URL=xxxx; FRONTEND_URL=xxxx; MERCADOPAGO_ACCESS_TOKEN=xxxx; MERCADOPAGO_TEST_ACCESS_TOKEN=xxxx; MERCADOPAGO_WEBHOOK_SECRET=xxxx; NODE_ENV=xxxx; SUNAT_MOCK_ENABLED=xxxx; WEB_CONCURRENCY=xxxx; WITHDRAWAL_DATA_ENCRYPTION_KEY=xxxx</w:t>
            </w:r>
          </w:p>
        </w:tc>
      </w:tr>
    </w:tbl>
    <w:p>
      <w:pPr>
        <w:spacing w:after="40"/>
      </w:pPr>
    </w:p>
    <w:p>
      <w:pPr>
        <w:pStyle w:val="Heading1"/>
      </w:pPr>
      <w:r>
        <w:t>Seguridad y operación</w:t>
      </w:r>
    </w:p>
    <w:p>
      <w:pPr>
        <w:pStyle w:val="ListBullet"/>
      </w:pPr>
      <w:r>
        <w:t>Helmet, CORS restringido, compresión y rate limiting global de 300 solicitudes por minuto.</w:t>
      </w:r>
    </w:p>
    <w:p>
      <w:pPr>
        <w:pStyle w:val="ListBullet"/>
      </w:pPr>
      <w:r>
        <w:t>Auth0 protege rutas mediante JWT y autorización por roles.</w:t>
      </w:r>
    </w:p>
    <w:p>
      <w:pPr>
        <w:pStyle w:val="ListBullet"/>
      </w:pPr>
      <w:r>
        <w:t>El webhook de Mercado Pago se registra públicamente antes del router autenticado.</w:t>
      </w:r>
    </w:p>
    <w:p>
      <w:pPr>
        <w:pStyle w:val="ListBullet"/>
      </w:pPr>
      <w:r>
        <w:t>El contenedor ejecuta prisma migrate deploy antes de iniciar la API.</w:t>
      </w:r>
    </w:p>
    <w:p>
      <w:pPr>
        <w:pStyle w:val="ListBullet"/>
      </w:pPr>
      <w:r>
        <w:t>La clave de cifrado de retiros debe permanecer estable; cambiarla impide descifrar datos ya almacenados.</w:t>
      </w:r>
    </w:p>
    <w:p>
      <w:pPr>
        <w:pStyle w:val="Heading1"/>
      </w:pPr>
      <w:r>
        <w:t>Pendientes de despliegue</w:t>
      </w:r>
    </w:p>
    <w:p>
      <w:pPr>
        <w:pStyle w:val="ListBullet"/>
      </w:pPr>
      <w:r>
        <w:t>Completar pruebas de pagos reales, retornos y webhooks de Mercado Pago.</w:t>
      </w:r>
    </w:p>
    <w:p>
      <w:pPr>
        <w:pStyle w:val="ListBullet"/>
      </w:pPr>
      <w:r>
        <w:t>Resolver la cuota de 100 consultas de ApiPeruDev: añadir caché por RUC, rate limit específico y/o evaluar otro proveedor.</w:t>
      </w:r>
    </w:p>
    <w:p>
      <w:pPr>
        <w:pStyle w:val="ListBullet"/>
      </w:pPr>
      <w:r>
        <w:t>Corregir los errores de ESLint y repetir el build de producción en un entorno con permisos de escritura.</w:t>
      </w:r>
    </w:p>
    <w:p>
      <w:pPr>
        <w:pStyle w:val="ListBullet"/>
      </w:pPr>
      <w:r>
        <w:t>Configurar DIRECT_URL en los entornos locales antes de validar o migrar Prisma.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FoodInka - Informe técnico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