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Estructura y arquitectura de FoodInka</w:t>
      </w:r>
    </w:p>
    <w:p>
      <w:r>
        <w:rPr>
          <w:i/>
          <w:color w:val="595959"/>
        </w:rPr>
        <w:t>Organización del backend, frontend y persistencia</w:t>
      </w:r>
    </w:p>
    <w:p>
      <w:pPr>
        <w:pStyle w:val="IntenseQuote"/>
      </w:pPr>
      <w:r>
        <w:t>Proyecto FoodInka / Antojia. Informe elaborado a partir de la estructura y configuración actuales de los repositorios backend y frontend. Los secretos se representan como xxxx.</w:t>
      </w:r>
    </w:p>
    <w:p>
      <w:pPr>
        <w:pStyle w:val="Heading1"/>
      </w:pPr>
      <w:r>
        <w:t>Resumen</w:t>
      </w:r>
    </w:p>
    <w:p>
      <w:r>
        <w:t>FoodInka implementa una SPA que consume una API REST versionada. El backend está organizado por módulos de negocio, con controladores, servicios y rutas; Prisma centraliza el modelo de datos y las migraciones.</w:t>
      </w:r>
    </w:p>
    <w:p>
      <w:pPr>
        <w:pStyle w:val="Heading1"/>
      </w:pPr>
      <w:r>
        <w:t>Estructura del backend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Carpeta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src/app.js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Middlewares, CORS, seguridad, límites, health check y montaje de rutas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src/server.js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Arranque, conexión a BD, cluster en producción y apagado controlado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src/config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Prisma, Auth0 y caché en memoria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src/middleware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Autenticación JWT, autorización por roles y carga de usuario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src/modules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auth, restaurants, products, orders, payments, drivers, admin, storage y reports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src/shared/services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Consulta RUC y cliente de Mercado Pago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prisma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Schema, seeds y migraciones SQL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Dockerfile/render.yaml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Imagen de producción y definición de servicio Render</w:t>
            </w:r>
          </w:p>
        </w:tc>
      </w:tr>
    </w:tbl>
    <w:p>
      <w:pPr>
        <w:spacing w:after="40"/>
      </w:pPr>
    </w:p>
    <w:p>
      <w:pPr>
        <w:pStyle w:val="Heading1"/>
      </w:pPr>
      <w:r>
        <w:t>Estructura del frontend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2592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Carpeta</w:t>
            </w:r>
          </w:p>
        </w:tc>
        <w:tc>
          <w:tcPr>
            <w:tcW w:type="dxa" w:w="6624"/>
            <w:vAlign w:val="center"/>
            <w:shd w:fill="1F4E79"/>
          </w:tcPr>
          <w:p>
            <w:pPr>
              <w:spacing w:after="40"/>
            </w:pPr>
            <w:r/>
            <w:r>
              <w:rPr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src/App.jsx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Rutas y protección de vistas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src/main.jsx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Providers de Router, Auth0, React Query y notificaciones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src/config/api.js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Axios y token Bearer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src/hooks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Consultas y mutaciones por dominio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src/pages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Vistas de usuario, restaurante, repartidor y administración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src/components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Marketplace, checkout, delivery, layout y paneles admin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src/store</w:t>
            </w:r>
          </w:p>
        </w:tc>
        <w:tc>
          <w:tcPr>
            <w:tcW w:type="dxa" w:w="6624"/>
            <w:vAlign w:val="center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Carrito global persistido con Zustand</w:t>
            </w:r>
          </w:p>
        </w:tc>
      </w:tr>
      <w:tr>
        <w:tc>
          <w:tcPr>
            <w:tcW w:type="dxa" w:w="2592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public/vercel.json</w:t>
            </w:r>
          </w:p>
        </w:tc>
        <w:tc>
          <w:tcPr>
            <w:tcW w:type="dxa" w:w="6624"/>
            <w:vAlign w:val="center"/>
            <w:shd w:fill="F3F6F9"/>
          </w:tcPr>
          <w:p>
            <w:pPr>
              <w:spacing w:after="40"/>
            </w:pPr>
            <w:r/>
            <w:r>
              <w:rPr>
                <w:b w:val="0"/>
                <w:sz w:val="18"/>
              </w:rPr>
              <w:t>Rewrite para navegación SPA</w:t>
            </w:r>
          </w:p>
        </w:tc>
      </w:tr>
    </w:tbl>
    <w:p>
      <w:pPr>
        <w:spacing w:after="40"/>
      </w:pPr>
    </w:p>
    <w:p>
      <w:pPr>
        <w:pStyle w:val="Heading1"/>
      </w:pPr>
      <w:r>
        <w:t>Modelo de datos</w:t>
      </w:r>
    </w:p>
    <w:p>
      <w:r>
        <w:t>El esquema Prisma contiene usuarios y roles; restaurantes, productos y categorías; pedidos, items y pagos; repartidores, ganancias y calificaciones; perfiles y direcciones; sesiones administrativas; reportes; invitaciones y recompensas; liquidaciones y retiros. Las migraciones recientes cubren administración, soporte, bancos, liquidaciones y marketing.</w:t>
      </w:r>
    </w:p>
    <w:p>
      <w:pPr>
        <w:pStyle w:val="Heading2"/>
      </w:pPr>
      <w:r>
        <w:t>Flujo principal</w:t>
      </w:r>
    </w:p>
    <w:p>
      <w:r>
        <w:t>El usuario se autentica en Auth0, el frontend obtiene un JWT y lo envía en Axios, el middleware del backend valida el token y carga el usuario, el servicio aplica reglas de negocio y Prisma persiste la operación. Para pagos, la API crea una preferencia, Mercado Pago redirige al usuario y el webhook consulta nuevamente el pago antes de actualizar el estado.</w:t>
      </w:r>
    </w:p>
    <w:p>
      <w:pPr>
        <w:pStyle w:val="Heading1"/>
      </w:pPr>
      <w:r>
        <w:t>Riesgos estructurales</w:t>
      </w:r>
    </w:p>
    <w:p>
      <w:pPr>
        <w:pStyle w:val="ListBullet"/>
      </w:pPr>
      <w:r>
        <w:t>La caché actual es en memoria y no es compartida entre workers; no debe usarse como almacenamiento persistente.</w:t>
      </w:r>
    </w:p>
    <w:p>
      <w:pPr>
        <w:pStyle w:val="ListBullet"/>
      </w:pPr>
      <w:r>
        <w:t>El uso de cluster exige revisar la consistencia de sesiones y cachés si WEB_CONCURRENCY aumenta.</w:t>
      </w:r>
    </w:p>
    <w:p>
      <w:pPr>
        <w:pStyle w:val="ListBullet"/>
      </w:pPr>
      <w:r>
        <w:t>La persistencia de datos bancarios depende de WITHDRAWAL_DATA_ENCRYPTION_KEY estable.</w:t>
      </w:r>
    </w:p>
    <w:p>
      <w:pPr>
        <w:pStyle w:val="ListBullet"/>
      </w:pPr>
      <w:r>
        <w:t>La validación RUC debe mantenerse en backend para evitar exponer APIPERUDEV_API_TOKEN.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FoodInka - Informe técnico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