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System Bootstrapping Research Synthesis</w:t>
      </w:r>
    </w:p>
    <w:p>
      <w:pPr>
        <w:spacing w:after="120"/>
        <w:jc w:val="center"/>
      </w:pPr>
      <w:r>
        <w:rPr>
          <w:color w:val="64748B"/>
          <w:sz w:val="24"/>
          <w:szCs w:val="24"/>
        </w:rPr>
        <w:t xml:space="preserve">Breakdown Engines, Reverse Engineering, and Harmonic Mathematics</w:t>
      </w:r>
    </w:p>
    <w:p>
      <w:pPr>
        <w:spacing w:after="360"/>
        <w:jc w:val="center"/>
      </w:pPr>
      <w:r>
        <w:rPr>
          <w:i/>
          <w:iCs/>
          <w:color w:val="94A3B8"/>
          <w:sz w:val="20"/>
          <w:szCs w:val="20"/>
        </w:rPr>
        <w:t xml:space="preserve">Integrating Karpathy's Minimal Implementations, Polln's Structural Memory, and Music Theory for Tensor Computation Reduction</w:t>
      </w:r>
    </w:p>
    <w:p>
      <w:pPr>
        <w:pStyle w:val="Heading1"/>
      </w:pPr>
      <w:r>
        <w:t xml:space="preserve">Executive Summary</w:t>
      </w:r>
    </w:p>
    <w:p>
      <w:pPr>
        <w:spacing w:after="200" w:line="312"/>
      </w:pPr>
      <w:r>
        <w:t xml:space="preserve">This research synthesis explores the intersection of three domains for improving AI system bootstrapping capabilities: (1) Andrej Karpathy's minimal implementation philosophy for understanding neural network fundamentals, (2) the polln project's concept of "structural memory" and self-deconstructing agents, and (3) harmonic mathematics derived from music theory for tensor computation reduction. The integration of these approaches offers novel pathways for reverse engineering AI systems, developing breakdown engines, and creating more efficient computational structures through the exploitation of natural mathematical harmonies found in acoustic physics and human perception.</w:t>
      </w:r>
    </w:p>
    <w:p>
      <w:pPr>
        <w:spacing w:after="200" w:line="312"/>
      </w:pPr>
      <w:r>
        <w:t xml:space="preserve">The core thesis is that "memory is structural, not representational"—a principle that applies equally to AI architectures, musical expression, and human cognition. By understanding how simple harmonic ratios (like 3:2 for the perfect fifth) encode universally perceived meaning across cultures, we can develop AI systems with built-in "instincts" that mirror human perceptual invariants, reducing computational complexity while improving interpretability. The "singer not the song" metaphor illuminates how high-level intentions translate into low-level execution, providing a framework for mechanistic interpretability and reverse engineering.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color w:val="999999"/>
          <w:sz w:val="18"/>
          <w:szCs w:val="18"/>
        </w:rPr>
        <w:t xml:space="preserve">Note: Right-click the Table of Contents and select "Update Field" to display page numbers.</w:t>
      </w:r>
    </w:p>
    <w:p>
      <w:r>
        <w:br w:type="page"/>
      </w:r>
    </w:p>
    <w:p>
      <w:pPr>
        <w:pStyle w:val="Heading1"/>
      </w:pPr>
      <w:r>
        <w:t xml:space="preserve">1. Karpathy's Minimal Implementation Philosophy</w:t>
      </w:r>
    </w:p>
    <w:p>
      <w:pPr>
        <w:pStyle w:val="Heading2"/>
      </w:pPr>
      <w:r>
        <w:t xml:space="preserve">1.1 Project Lineage and Educational Philosophy</w:t>
      </w:r>
    </w:p>
    <w:p>
      <w:pPr>
        <w:spacing w:after="200" w:line="312"/>
      </w:pPr>
      <w:r>
        <w:t xml:space="preserve">Andrej Karpathy has developed a remarkable lineage of educational AI projects, each stripping away layers of abstraction to reveal the fundamental structures of neural network computation. This progression—micrograd (2020) → minGPT (2020) → nanoGPT (2023) → llm.c (2024) → microgpt (2026)—represents a continuous refinement toward minimal, understandable implementations. Each project serves not merely as an educational tool but as an ontological revelation, exposing the structural relationships that give rise to intelligent behavior. The micrograd project, for instance, implements automatic differentiation through a single scalar value, revealing the essential structure of gradient computation without the obscuring layers of deep learning frameworks.</w:t>
      </w:r>
    </w:p>
    <w:p>
      <w:pPr>
        <w:spacing w:after="200" w:line="312"/>
      </w:pPr>
      <w:r>
        <w:t xml:space="preserve">The llm.c project represents perhaps the most ambitious attempt to strip away all abstraction: implementing LLM training and inference in pure C/CUDA without any dependencies on PyTorch or Python. This 4,000-line implementation can train a GPT-2 model from scratch in 90 minutes on 8× A100 GPUs, demonstrating that the core operations underlying large language models can be expressed in remarkably compact form. The project reveals that the apparent complexity of modern AI frameworks often obscures rather than illuminates the fundamental computations being performed.</w:t>
      </w:r>
    </w:p>
    <w:p>
      <w:pPr>
        <w:pStyle w:val="Heading2"/>
      </w:pPr>
      <w:r>
        <w:t xml:space="preserve">1.2 Implementation Tricks and Methods</w:t>
      </w:r>
    </w:p>
    <w:p>
      <w:pPr>
        <w:spacing w:after="100" w:line="312"/>
      </w:pPr>
      <w:r>
        <w:t xml:space="preserve">Key implementation patterns extracted from Karpathy's work include:</w:t>
      </w:r>
    </w:p>
    <w:p>
      <w:pPr>
        <w:pStyle w:val="ListParagraph"/>
        <w:numPr>
          <w:ilvl w:val="0"/>
          <w:numId w:val="2"/>
        </w:numPr>
        <w:spacing w:after="100" w:line="312"/>
      </w:pPr>
      <w:r>
        <w:rPr>
          <w:b/>
          <w:bCs/>
        </w:rPr>
        <w:t xml:space="preserve">Scalar-First Thinking: </w:t>
      </w:r>
      <w:r>
        <w:t xml:space="preserve">Beginning with single-value computations and building complexity incrementally, ensuring each operation is fully understood before abstraction.</w:t>
      </w:r>
    </w:p>
    <w:p>
      <w:pPr>
        <w:pStyle w:val="ListParagraph"/>
        <w:numPr>
          <w:ilvl w:val="0"/>
          <w:numId w:val="2"/>
        </w:numPr>
        <w:spacing w:after="100" w:line="312"/>
      </w:pPr>
      <w:r>
        <w:rPr>
          <w:b/>
          <w:bCs/>
        </w:rPr>
        <w:t xml:space="preserve">Explicit Memory Management: </w:t>
      </w:r>
      <w:r>
        <w:t xml:space="preserve">Understanding how data flows through the system at every level, from memory layout to cache optimization.</w:t>
      </w:r>
    </w:p>
    <w:p>
      <w:pPr>
        <w:pStyle w:val="ListParagraph"/>
        <w:numPr>
          <w:ilvl w:val="0"/>
          <w:numId w:val="2"/>
        </w:numPr>
        <w:spacing w:after="100" w:line="312"/>
      </w:pPr>
      <w:r>
        <w:rPr>
          <w:b/>
          <w:bCs/>
        </w:rPr>
        <w:t xml:space="preserve">No Framework Dependencies: </w:t>
      </w:r>
      <w:r>
        <w:t xml:space="preserve">Building from primitives forces understanding of what each component actually does.</w:t>
      </w:r>
    </w:p>
    <w:p>
      <w:pPr>
        <w:pStyle w:val="ListParagraph"/>
        <w:numPr>
          <w:ilvl w:val="0"/>
          <w:numId w:val="2"/>
        </w:numPr>
        <w:spacing w:after="200" w:line="312"/>
      </w:pPr>
      <w:r>
        <w:rPr>
          <w:b/>
          <w:bCs/>
        </w:rPr>
        <w:t xml:space="preserve">Reproducibility Over Optimization: </w:t>
      </w:r>
      <w:r>
        <w:t xml:space="preserve">Prioritizing clarity and correctness before performance, enabling true understanding.</w:t>
      </w:r>
    </w:p>
    <w:p>
      <w:pPr>
        <w:pStyle w:val="Heading2"/>
      </w:pPr>
      <w:r>
        <w:t xml:space="preserve">1.3 Applications for Reverse Engineering</w:t>
      </w:r>
    </w:p>
    <w:p>
      <w:pPr>
        <w:spacing w:after="200" w:line="312"/>
      </w:pPr>
      <w:r>
        <w:t xml:space="preserve">The minimal implementation philosophy directly informs reverse engineering approaches. By understanding the simplest form of a computation, we can recognize when more complex systems are performing equivalent operations in obfuscated ways. This is particularly relevant for mechanistic interpretability—the field that seeks to understand how neural networks compute their outputs by reverse-engineering their internal mechanisms. The approach mirrors how one might reverse-engineer a compiled binary by understanding the fundamental operations of the underlying instruction set architecture.</w:t>
      </w:r>
    </w:p>
    <w:p>
      <w:pPr>
        <w:pStyle w:val="Heading1"/>
      </w:pPr>
      <w:r>
        <w:t xml:space="preserve">2. Polln: Structural Memory and Self-Deconstructing Agents</w:t>
      </w:r>
    </w:p>
    <w:p>
      <w:pPr>
        <w:pStyle w:val="Heading2"/>
      </w:pPr>
      <w:r>
        <w:t xml:space="preserve">2.1 Core Concept: Memory as Structural</w:t>
      </w:r>
    </w:p>
    <w:p>
      <w:pPr>
        <w:spacing w:after="200" w:line="312"/>
      </w:pPr>
      <w:r>
        <w:t xml:space="preserve">The polln project introduces a paradigm-shifting concept: "Memory is structural, not representational." This challenges traditional cognitive science and AI paradigms that view memory as stored symbols or representations. Instead, structural memory suggests that memory is encoded through patterns of relationships and computational constraints rather than explicit data storage. This perspective has profound implications for how we design AI systems, particularly in terms of efficiency, scalability, and interpretability.</w:t>
      </w:r>
    </w:p>
    <w:p>
      <w:pPr>
        <w:spacing w:after="200" w:line="312"/>
      </w:pPr>
      <w:r>
        <w:t xml:space="preserve">In the structural memory framework, a system doesn't "store" information—it "structures" itself to enable specific computations. This is analogous to how a musical instrument doesn't "store" the ability to produce certain notes; its physical structure constrains and enables specific acoustic outputs. The memory is in the structure, not in any stored representation. This aligns with embodied cognition theories where cognition emerges from the interaction between an agent and its environment through structural constraints.</w:t>
      </w:r>
    </w:p>
    <w:p>
      <w:pPr>
        <w:pStyle w:val="Heading2"/>
      </w:pPr>
      <w:r>
        <w:t xml:space="preserve">2.2 Self-Deconstructing Agent Architecture</w:t>
      </w:r>
    </w:p>
    <w:p>
      <w:pPr>
        <w:spacing w:after="200" w:line="312"/>
      </w:pPr>
      <w:r>
        <w:t xml:space="preserve">Polln proposes "Self-Deconstructing Spreadsheet Agents" that transform from simple agents into collective intelligence through a process of structured decomposition. The system uses JSON Artifact Logic Graphs to provide privacy, safety, coordination, and bytecode bridges for stable operations. The key insight is that complex agents can be "distilled" into simpler agents and bots while preserving essential functionality. This creates a recursive process where agents not only perform tasks but also analyze and simplify their own computational structures—a form of meta-learning that operates at the level of architecture rather than just parameters.</w:t>
      </w:r>
    </w:p>
    <w:p>
      <w:pPr>
        <w:spacing w:after="200" w:line="312"/>
      </w:pPr>
      <w:r>
        <w:t xml:space="preserve">The self-deconstruction process offers a novel approach to AI interpretability: rather than building interpretability tools after the fact, the system is designed to expose its own structure as it operates. This is particularly relevant for breakdown engines that need to understand not just what a system does, but how it could be simplified while preserving functionality.</w:t>
      </w:r>
    </w:p>
    <w:p>
      <w:pPr>
        <w:pStyle w:val="Heading1"/>
      </w:pPr>
      <w:r>
        <w:t xml:space="preserve">3. Harmonic Mathematics and Tensor Computation</w:t>
      </w:r>
    </w:p>
    <w:p>
      <w:pPr>
        <w:pStyle w:val="Heading2"/>
      </w:pPr>
      <w:r>
        <w:t xml:space="preserve">3.1 The Mathematics of Universal Perception</w:t>
      </w:r>
    </w:p>
    <w:p>
      <w:pPr>
        <w:spacing w:after="200" w:line="312"/>
      </w:pPr>
      <w:r>
        <w:t xml:space="preserve">The harmonic series in music represents one of the most profound examples of mathematical structures that translate directly to universal human experience. The frequency ratios between harmonics follow simple integer relationships: 1:1 (unison), 2:1 (octave), 3:2 (perfect fifth), 4:3 (perfect fourth), 5:4 (major third). These ratios are not arbitrary cultural conventions but arise from the physics of vibrating strings and columns of air. When two frequencies are in simple integer ratios, their harmonics overlap constructively, creating perceptual consonance that is recognized across all human cultures.</w:t>
      </w:r>
    </w:p>
    <w:p>
      <w:pPr>
        <w:spacing w:after="200" w:line="312"/>
      </w:pPr>
      <w:r>
        <w:t xml:space="preserve">The tritone, with its ratio of √2:1 (approximately 1.414:1), was historically called "diabolus in musica" (the devil in music) and was forbidden in medieval sacred music. This prohibition arose because the tritone creates maximum sensory dissonance—no harmonics align, creating a sense of unresolved tension. The mathematical fact that √2 is irrational (it cannot be expressed as a ratio of integers) corresponds to the perceptual fact that the tritone never resolves into consonance within the harmonic series. This direct mapping between mathematical structure and human perception offers a template for understanding how information can be encoded in structural relationships rather than explicit representations.</w:t>
      </w:r>
    </w:p>
    <w:p>
      <w:pPr>
        <w:pStyle w:val="Heading2"/>
      </w:pPr>
      <w:r>
        <w:t xml:space="preserve">3.2 Tensor Decomposition Through Harmonic Principles</w:t>
      </w:r>
    </w:p>
    <w:p>
      <w:pPr>
        <w:spacing w:after="200" w:line="312"/>
      </w:pPr>
      <w:r>
        <w:t xml:space="preserve">The connection between harmonic mathematics and tensor decomposition arises from their shared concern with dimensionality reduction and structural representation. In tensor decomposition, we seek to express high-dimensional data in terms of lower-dimensional components. The harmonic series performs a similar function for sound: a fundamental frequency encodes all overtones structurally, meaning that storing f₀ implicitly encodes the entire harmonic series {f₀, 2f₀, 3f₀, ...}. This is the essence of structural memory—the fundamental doesn't "represent" the harmonics; its relationship to them is encoded in the physics of wave propagation.</w:t>
      </w:r>
    </w:p>
    <w:p>
      <w:pPr>
        <w:spacing w:after="100" w:line="312"/>
      </w:pPr>
      <w:r>
        <w:t xml:space="preserve">Key mathematical connections include:</w:t>
      </w:r>
    </w:p>
    <w:p>
      <w:pPr>
        <w:pStyle w:val="ListParagraph"/>
        <w:numPr>
          <w:ilvl w:val="0"/>
          <w:numId w:val="3"/>
        </w:numPr>
        <w:spacing w:after="100" w:line="312"/>
      </w:pPr>
      <w:r>
        <w:rPr>
          <w:b/>
          <w:bCs/>
        </w:rPr>
        <w:t xml:space="preserve">Periodicity and Rank Efficiency: </w:t>
      </w:r>
      <w:r>
        <w:t xml:space="preserve">The harmonic series exhibits inherent periodicity that can be mapped to tensor rank. The fundamental frequency corresponds to the core tensor in decomposition, while overtones correspond to factor matrices.</w:t>
      </w:r>
    </w:p>
    <w:p>
      <w:pPr>
        <w:pStyle w:val="ListParagraph"/>
        <w:numPr>
          <w:ilvl w:val="0"/>
          <w:numId w:val="3"/>
        </w:numPr>
        <w:spacing w:after="100" w:line="312"/>
      </w:pPr>
      <w:r>
        <w:rPr>
          <w:b/>
          <w:bCs/>
        </w:rPr>
        <w:t xml:space="preserve">Fourier-Harmonic Tensor Decomposition: </w:t>
      </w:r>
      <w:r>
        <w:t xml:space="preserve">A hybrid decomposition combining Fourier analysis with tensor methods, where each factor matrix is a Fourier basis with harmonic frequencies.</w:t>
      </w:r>
    </w:p>
    <w:p>
      <w:pPr>
        <w:pStyle w:val="ListParagraph"/>
        <w:numPr>
          <w:ilvl w:val="0"/>
          <w:numId w:val="3"/>
        </w:numPr>
        <w:spacing w:after="100" w:line="312"/>
      </w:pPr>
      <w:r>
        <w:rPr>
          <w:b/>
          <w:bCs/>
        </w:rPr>
        <w:t xml:space="preserve">Harmonic Sparsity: </w:t>
      </w:r>
      <w:r>
        <w:t xml:space="preserve">Natural sparsity in harmonic series suggests sparse tensor decomposition frameworks where computation reduction from O(IJK) to O(MN·min(I,J,K)).</w:t>
      </w:r>
    </w:p>
    <w:p>
      <w:pPr>
        <w:pStyle w:val="ListParagraph"/>
        <w:numPr>
          <w:ilvl w:val="0"/>
          <w:numId w:val="3"/>
        </w:numPr>
        <w:spacing w:after="200" w:line="312"/>
      </w:pPr>
      <w:r>
        <w:rPr>
          <w:b/>
          <w:bCs/>
        </w:rPr>
        <w:t xml:space="preserve">Fast Harmonic Tensor Operations: </w:t>
      </w:r>
      <w:r>
        <w:t xml:space="preserve">Using non-uniform FFT (NUFFT) for tensor contraction with harmonic matrices, reducing complexity from O(I₁I₂I₃) to O(I₁I₃·I₂logI₂).</w:t>
      </w:r>
    </w:p>
    <w:p>
      <w:pPr>
        <w:pStyle w:val="Heading1"/>
      </w:pPr>
      <w:r>
        <w:t xml:space="preserve">4. The Singer Not the Song: A Framework for Interpretability</w:t>
      </w:r>
    </w:p>
    <w:p>
      <w:pPr>
        <w:pStyle w:val="Heading2"/>
      </w:pPr>
      <w:r>
        <w:t xml:space="preserve">4.1 Intention and Execution in Human Performance</w:t>
      </w:r>
    </w:p>
    <w:p>
      <w:pPr>
        <w:spacing w:after="200" w:line="312"/>
      </w:pPr>
      <w:r>
        <w:t xml:space="preserve">The metaphor of a singer performing a song offers profound insights into the relationship between high-level intention and low-level execution. A singer abstracts high-level goals ("make that girl think I have a crush on her") into complex low-level actions (timbre, vibrato, volume, facial expressions, phrasing) without consciously controlling each variable. The same song can be performed triumphantly, melancholically, satirically, or sentimentally by changing subtle variables. No single variable communicates the interpreter's intention—it emerges from the coordinated pattern of all variables together.</w:t>
      </w:r>
    </w:p>
    <w:p>
      <w:pPr>
        <w:spacing w:after="200" w:line="312"/>
      </w:pPr>
      <w:r>
        <w:t xml:space="preserve">This maps directly to AI systems. The "song" (fixed structure) corresponds to model weights—the potential space of outputs. The "singer" (interpretation) corresponds to inference—the process where weights are activated by specific inputs to generate particular outputs. The song doesn't change, but each performance is unique. Similarly, model weights are static, but each inference is ephemeral and context-dependent. Understanding in both humans and AI might be better characterized as a dynamic capacity for appropriate response rather than as static knowledge.</w:t>
      </w:r>
    </w:p>
    <w:p>
      <w:pPr>
        <w:pStyle w:val="Heading2"/>
      </w:pPr>
      <w:r>
        <w:t xml:space="preserve">4.2 Applications for Mechanistic Interpretability</w:t>
      </w:r>
    </w:p>
    <w:p>
      <w:pPr>
        <w:spacing w:after="200" w:line="312"/>
      </w:pPr>
      <w:r>
        <w:t xml:space="preserve">The singer metaphor provides a framework for mechanistic interpretability in AI. Just as we might ask a singer to "express more sadness" and observe how they modify their performance, we could probe AI models with intent-based prompts and analyze the resulting activation patterns. A consistent singer produces recognizable interpretations across performances; similarly, we might identify "interpretive signatures" in AI models—consistent patterns of activation across different inputs that reveal underlying intentional states.</w:t>
      </w:r>
    </w:p>
    <w:p>
      <w:pPr>
        <w:spacing w:after="100" w:line="312"/>
      </w:pPr>
      <w:r>
        <w:t xml:space="preserve">The key insight is that understanding in AI might be found in the pattern of how weights are activated across diverse inferences, not in the weights themselves. This suggests:</w:t>
      </w:r>
    </w:p>
    <w:p>
      <w:pPr>
        <w:pStyle w:val="ListParagraph"/>
        <w:numPr>
          <w:ilvl w:val="0"/>
          <w:numId w:val="4"/>
        </w:numPr>
        <w:spacing w:after="100" w:line="312"/>
      </w:pPr>
      <w:r>
        <w:rPr>
          <w:b/>
          <w:bCs/>
        </w:rPr>
        <w:t xml:space="preserve">Intent-Driven Probing: </w:t>
      </w:r>
      <w:r>
        <w:t xml:space="preserve">Analyzing how models respond to high-level intentional prompts rather than just input-output pairs.</w:t>
      </w:r>
    </w:p>
    <w:p>
      <w:pPr>
        <w:pStyle w:val="ListParagraph"/>
        <w:numPr>
          <w:ilvl w:val="0"/>
          <w:numId w:val="4"/>
        </w:numPr>
        <w:spacing w:after="100" w:line="312"/>
      </w:pPr>
      <w:r>
        <w:rPr>
          <w:b/>
          <w:bCs/>
        </w:rPr>
        <w:t xml:space="preserve">Interpretive Consistency Analysis: </w:t>
      </w:r>
      <w:r>
        <w:t xml:space="preserve">Identifying stable patterns across inferences that reveal underlying "intentions."</w:t>
      </w:r>
    </w:p>
    <w:p>
      <w:pPr>
        <w:pStyle w:val="ListParagraph"/>
        <w:numPr>
          <w:ilvl w:val="0"/>
          <w:numId w:val="4"/>
        </w:numPr>
        <w:spacing w:after="200" w:line="312"/>
      </w:pPr>
      <w:r>
        <w:rPr>
          <w:b/>
          <w:bCs/>
        </w:rPr>
        <w:t xml:space="preserve">Error Pattern Analysis: </w:t>
      </w:r>
      <w:r>
        <w:t xml:space="preserve">When a model fails, analyzing where the "intention execution" breaks down.</w:t>
      </w:r>
    </w:p>
    <w:p>
      <w:pPr>
        <w:pStyle w:val="Heading1"/>
      </w:pPr>
      <w:r>
        <w:t xml:space="preserve">5. Cross-Domain Synergies and Novel Approaches</w:t>
      </w:r>
    </w:p>
    <w:p>
      <w:pPr>
        <w:pStyle w:val="Heading2"/>
      </w:pPr>
      <w:r>
        <w:t xml:space="preserve">5.1 Structural Memory as Computational Reduction</w:t>
      </w:r>
    </w:p>
    <w:p>
      <w:pPr>
        <w:spacing w:after="200" w:line="312"/>
      </w:pPr>
      <w:r>
        <w:t xml:space="preserve">The convergence of Karpathy's minimal implementations, polln's structural memory, and harmonic mathematics points toward a unified approach to computational reduction. When we strip away abstraction (Karpathy), encode memory in structural relationships rather than representations (polln), and leverage natural mathematical harmonies (music theory), we achieve dramatic reductions in computational complexity. The table below compares representational versus structural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64748B" w:sz="1"/>
              <w:left w:val="single" w:color="64748B" w:sz="1"/>
              <w:bottom w:val="single" w:color="64748B" w:sz="1"/>
              <w:right w:val="single" w:color="64748B" w:sz="1"/>
            </w:tcBorders>
            <w:shd w:fill="F8FAFC" w:val="clear"/>
            <w:vAlign w:val="center"/>
          </w:tcPr>
          <w:p>
            <w:pPr>
              <w:jc w:val="center"/>
            </w:pPr>
            <w:r>
              <w:rPr>
                <w:b/>
                <w:bCs/>
              </w:rPr>
              <w:t xml:space="preserve">Aspect</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rPr>
              <w:t xml:space="preserve">Representational Memory</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rPr>
              <w:t xml:space="preserve">Structural Memory</w:t>
            </w:r>
          </w:p>
        </w:tc>
      </w:tr>
      <w:tr>
        <w:tc>
          <w:tcPr>
            <w:tcBorders>
              <w:top w:val="single" w:color="64748B" w:sz="1"/>
              <w:left w:val="single" w:color="64748B" w:sz="1"/>
              <w:bottom w:val="single" w:color="64748B" w:sz="1"/>
              <w:right w:val="single" w:color="64748B" w:sz="1"/>
            </w:tcBorders>
          </w:tcPr>
          <w:p>
            <w:r>
              <w:t xml:space="preserve">Storage</w:t>
            </w:r>
          </w:p>
        </w:tc>
        <w:tc>
          <w:tcPr>
            <w:tcBorders>
              <w:top w:val="single" w:color="64748B" w:sz="1"/>
              <w:left w:val="single" w:color="64748B" w:sz="1"/>
              <w:bottom w:val="single" w:color="64748B" w:sz="1"/>
              <w:right w:val="single" w:color="64748B" w:sz="1"/>
            </w:tcBorders>
          </w:tcPr>
          <w:p>
            <w:r>
              <w:t xml:space="preserve">High (explicit symbols)</w:t>
            </w:r>
          </w:p>
        </w:tc>
        <w:tc>
          <w:tcPr>
            <w:tcBorders>
              <w:top w:val="single" w:color="64748B" w:sz="1"/>
              <w:left w:val="single" w:color="64748B" w:sz="1"/>
              <w:bottom w:val="single" w:color="64748B" w:sz="1"/>
              <w:right w:val="single" w:color="64748B" w:sz="1"/>
            </w:tcBorders>
          </w:tcPr>
          <w:p>
            <w:r>
              <w:t xml:space="preserve">Low (implicit in structure)</w:t>
            </w:r>
          </w:p>
        </w:tc>
      </w:tr>
      <w:tr>
        <w:tc>
          <w:tcPr>
            <w:tcBorders>
              <w:top w:val="single" w:color="64748B" w:sz="1"/>
              <w:left w:val="single" w:color="64748B" w:sz="1"/>
              <w:bottom w:val="single" w:color="64748B" w:sz="1"/>
              <w:right w:val="single" w:color="64748B" w:sz="1"/>
            </w:tcBorders>
          </w:tcPr>
          <w:p>
            <w:r>
              <w:t xml:space="preserve">Access</w:t>
            </w:r>
          </w:p>
        </w:tc>
        <w:tc>
          <w:tcPr>
            <w:tcBorders>
              <w:top w:val="single" w:color="64748B" w:sz="1"/>
              <w:left w:val="single" w:color="64748B" w:sz="1"/>
              <w:bottom w:val="single" w:color="64748B" w:sz="1"/>
              <w:right w:val="single" w:color="64748B" w:sz="1"/>
            </w:tcBorders>
          </w:tcPr>
          <w:p>
            <w:r>
              <w:t xml:space="preserve">O(n) search</w:t>
            </w:r>
          </w:p>
        </w:tc>
        <w:tc>
          <w:tcPr>
            <w:tcBorders>
              <w:top w:val="single" w:color="64748B" w:sz="1"/>
              <w:left w:val="single" w:color="64748B" w:sz="1"/>
              <w:bottom w:val="single" w:color="64748B" w:sz="1"/>
              <w:right w:val="single" w:color="64748B" w:sz="1"/>
            </w:tcBorders>
          </w:tcPr>
          <w:p>
            <w:r>
              <w:t xml:space="preserve">O(1) through constraints</w:t>
            </w:r>
          </w:p>
        </w:tc>
      </w:tr>
      <w:tr>
        <w:tc>
          <w:tcPr>
            <w:tcBorders>
              <w:top w:val="single" w:color="64748B" w:sz="1"/>
              <w:left w:val="single" w:color="64748B" w:sz="1"/>
              <w:bottom w:val="single" w:color="64748B" w:sz="1"/>
              <w:right w:val="single" w:color="64748B" w:sz="1"/>
            </w:tcBorders>
          </w:tcPr>
          <w:p>
            <w:r>
              <w:t xml:space="preserve">Computation</w:t>
            </w:r>
          </w:p>
        </w:tc>
        <w:tc>
          <w:tcPr>
            <w:tcBorders>
              <w:top w:val="single" w:color="64748B" w:sz="1"/>
              <w:left w:val="single" w:color="64748B" w:sz="1"/>
              <w:bottom w:val="single" w:color="64748B" w:sz="1"/>
              <w:right w:val="single" w:color="64748B" w:sz="1"/>
            </w:tcBorders>
          </w:tcPr>
          <w:p>
            <w:r>
              <w:t xml:space="preserve">Symbolic manipulation</w:t>
            </w:r>
          </w:p>
        </w:tc>
        <w:tc>
          <w:tcPr>
            <w:tcBorders>
              <w:top w:val="single" w:color="64748B" w:sz="1"/>
              <w:left w:val="single" w:color="64748B" w:sz="1"/>
              <w:bottom w:val="single" w:color="64748B" w:sz="1"/>
              <w:right w:val="single" w:color="64748B" w:sz="1"/>
            </w:tcBorders>
          </w:tcPr>
          <w:p>
            <w:r>
              <w:t xml:space="preserve">Pattern matching</w:t>
            </w:r>
          </w:p>
        </w:tc>
      </w:tr>
      <w:tr>
        <w:tc>
          <w:tcPr>
            <w:tcBorders>
              <w:top w:val="single" w:color="64748B" w:sz="1"/>
              <w:left w:val="single" w:color="64748B" w:sz="1"/>
              <w:bottom w:val="single" w:color="64748B" w:sz="1"/>
              <w:right w:val="single" w:color="64748B" w:sz="1"/>
            </w:tcBorders>
          </w:tcPr>
          <w:p>
            <w:r>
              <w:t xml:space="preserve">Scalability</w:t>
            </w:r>
          </w:p>
        </w:tc>
        <w:tc>
          <w:tcPr>
            <w:tcBorders>
              <w:top w:val="single" w:color="64748B" w:sz="1"/>
              <w:left w:val="single" w:color="64748B" w:sz="1"/>
              <w:bottom w:val="single" w:color="64748B" w:sz="1"/>
              <w:right w:val="single" w:color="64748B" w:sz="1"/>
            </w:tcBorders>
          </w:tcPr>
          <w:p>
            <w:r>
              <w:t xml:space="preserve">Limited by capacity</w:t>
            </w:r>
          </w:p>
        </w:tc>
        <w:tc>
          <w:tcPr>
            <w:tcBorders>
              <w:top w:val="single" w:color="64748B" w:sz="1"/>
              <w:left w:val="single" w:color="64748B" w:sz="1"/>
              <w:bottom w:val="single" w:color="64748B" w:sz="1"/>
              <w:right w:val="single" w:color="64748B" w:sz="1"/>
            </w:tcBorders>
          </w:tcPr>
          <w:p>
            <w:r>
              <w:t xml:space="preserve">Emerges from relationships</w:t>
            </w:r>
          </w:p>
        </w:tc>
      </w:tr>
      <w:tr>
        <w:tc>
          <w:tcPr>
            <w:tcBorders>
              <w:top w:val="single" w:color="64748B" w:sz="1"/>
              <w:left w:val="single" w:color="64748B" w:sz="1"/>
              <w:bottom w:val="single" w:color="64748B" w:sz="1"/>
              <w:right w:val="single" w:color="64748B" w:sz="1"/>
            </w:tcBorders>
          </w:tcPr>
          <w:p>
            <w:r>
              <w:t xml:space="preserve">Interpretability</w:t>
            </w:r>
          </w:p>
        </w:tc>
        <w:tc>
          <w:tcPr>
            <w:tcBorders>
              <w:top w:val="single" w:color="64748B" w:sz="1"/>
              <w:left w:val="single" w:color="64748B" w:sz="1"/>
              <w:bottom w:val="single" w:color="64748B" w:sz="1"/>
              <w:right w:val="single" w:color="64748B" w:sz="1"/>
            </w:tcBorders>
          </w:tcPr>
          <w:p>
            <w:r>
              <w:t xml:space="preserve">Requires decoding</w:t>
            </w:r>
          </w:p>
        </w:tc>
        <w:tc>
          <w:tcPr>
            <w:tcBorders>
              <w:top w:val="single" w:color="64748B" w:sz="1"/>
              <w:left w:val="single" w:color="64748B" w:sz="1"/>
              <w:bottom w:val="single" w:color="64748B" w:sz="1"/>
              <w:right w:val="single" w:color="64748B" w:sz="1"/>
            </w:tcBorders>
          </w:tcPr>
          <w:p>
            <w:r>
              <w:t xml:space="preserve">Self-evident in structure</w:t>
            </w:r>
          </w:p>
        </w:tc>
      </w:tr>
    </w:tbl>
    <w:p>
      <w:pPr>
        <w:spacing w:after="200" w:before="100"/>
        <w:jc w:val="center"/>
      </w:pPr>
      <w:r>
        <w:rPr>
          <w:i/>
          <w:iCs/>
          <w:color w:val="64748B"/>
          <w:sz w:val="20"/>
          <w:szCs w:val="20"/>
        </w:rPr>
        <w:t xml:space="preserve">Table 1: Representational vs. Structural Memory Comparison</w:t>
      </w:r>
    </w:p>
    <w:p>
      <w:pPr>
        <w:pStyle w:val="Heading2"/>
      </w:pPr>
      <w:r>
        <w:t xml:space="preserve">5.2 Encoding Innate Information in AI Systems</w:t>
      </w:r>
    </w:p>
    <w:p>
      <w:pPr>
        <w:spacing w:after="200" w:line="312"/>
      </w:pPr>
      <w:r>
        <w:t xml:space="preserve">The universal perception of harmonic relationships offers a template for encoding "instincts" into AI systems. Just as humans have innate preferences for certain frequency ratios (consonance) and innate aversions to others (dissonance), AI systems could be designed with built-in structural constraints that mirror these perceptual invariants. This would provide AI with a form of "embodied" knowledge that doesn't require explicit learning.</w:t>
      </w:r>
    </w:p>
    <w:p>
      <w:pPr>
        <w:spacing w:after="100" w:line="312"/>
      </w:pPr>
      <w:r>
        <w:t xml:space="preserve">Implementation approaches include:</w:t>
      </w:r>
    </w:p>
    <w:p>
      <w:pPr>
        <w:pStyle w:val="ListParagraph"/>
        <w:numPr>
          <w:ilvl w:val="0"/>
          <w:numId w:val="5"/>
        </w:numPr>
        <w:spacing w:after="100" w:line="312"/>
      </w:pPr>
      <w:r>
        <w:rPr>
          <w:b/>
          <w:bCs/>
        </w:rPr>
        <w:t xml:space="preserve">Harmonic Attention Mechanisms: </w:t>
      </w:r>
      <w:r>
        <w:t xml:space="preserve">Attention weights constrained by harmonic relationships, providing natural priors for pattern recognition.</w:t>
      </w:r>
    </w:p>
    <w:p>
      <w:pPr>
        <w:pStyle w:val="ListParagraph"/>
        <w:numPr>
          <w:ilvl w:val="0"/>
          <w:numId w:val="5"/>
        </w:numPr>
        <w:spacing w:after="100" w:line="312"/>
      </w:pPr>
      <w:r>
        <w:rPr>
          <w:b/>
          <w:bCs/>
        </w:rPr>
        <w:t xml:space="preserve">Consonance-Regularized Training: </w:t>
      </w:r>
      <w:r>
        <w:t xml:space="preserve">Using harmonic principles as regularization terms during training.</w:t>
      </w:r>
    </w:p>
    <w:p>
      <w:pPr>
        <w:pStyle w:val="ListParagraph"/>
        <w:numPr>
          <w:ilvl w:val="0"/>
          <w:numId w:val="5"/>
        </w:numPr>
        <w:spacing w:after="200" w:line="312"/>
      </w:pPr>
      <w:r>
        <w:rPr>
          <w:b/>
          <w:bCs/>
        </w:rPr>
        <w:t xml:space="preserve">Multi-Scale Harmonic Encoding: </w:t>
      </w:r>
      <w:r>
        <w:t xml:space="preserve">Representing data at multiple harmonic resolutions, enabling efficient hierarchical processing.</w:t>
      </w:r>
    </w:p>
    <w:p>
      <w:pPr>
        <w:pStyle w:val="Heading1"/>
      </w:pPr>
      <w:r>
        <w:t xml:space="preserve">6. Future Research Directions</w:t>
      </w:r>
    </w:p>
    <w:p>
      <w:pPr>
        <w:pStyle w:val="Heading2"/>
      </w:pPr>
      <w:r>
        <w:t xml:space="preserve">6.1 Priority Research Areas</w:t>
      </w:r>
    </w:p>
    <w:p>
      <w:pPr>
        <w:spacing w:after="100" w:line="312"/>
      </w:pPr>
      <w:r>
        <w:t xml:space="preserve">Based on this synthesis, the following research directions show high potential:</w:t>
      </w:r>
    </w:p>
    <w:p>
      <w:pPr>
        <w:pStyle w:val="ListParagraph"/>
        <w:numPr>
          <w:ilvl w:val="0"/>
          <w:numId w:val="6"/>
        </w:numPr>
        <w:spacing w:after="100" w:line="312"/>
      </w:pPr>
      <w:r>
        <w:rPr>
          <w:b/>
          <w:bCs/>
        </w:rPr>
        <w:t xml:space="preserve">Harmonic Tensor Networks: </w:t>
      </w:r>
      <w:r>
        <w:t xml:space="preserve">Neural architectures where weight matrices are constrained to harmonic bases, potentially reducing parameter count by orders of magnitude while preserving functionality.</w:t>
      </w:r>
    </w:p>
    <w:p>
      <w:pPr>
        <w:pStyle w:val="ListParagraph"/>
        <w:numPr>
          <w:ilvl w:val="0"/>
          <w:numId w:val="6"/>
        </w:numPr>
        <w:spacing w:after="100" w:line="312"/>
      </w:pPr>
      <w:r>
        <w:rPr>
          <w:b/>
          <w:bCs/>
        </w:rPr>
        <w:t xml:space="preserve">Intent-Based Interpretability Tools: </w:t>
      </w:r>
      <w:r>
        <w:t xml:space="preserve">Developing probing methods that focus on high-level intentions rather than low-level activations, inspired by the singer/song metaphor.</w:t>
      </w:r>
    </w:p>
    <w:p>
      <w:pPr>
        <w:pStyle w:val="ListParagraph"/>
        <w:numPr>
          <w:ilvl w:val="0"/>
          <w:numId w:val="6"/>
        </w:numPr>
        <w:spacing w:after="100" w:line="312"/>
      </w:pPr>
      <w:r>
        <w:rPr>
          <w:b/>
          <w:bCs/>
        </w:rPr>
        <w:t xml:space="preserve">Self-Deconstructing Model Analysis: </w:t>
      </w:r>
      <w:r>
        <w:t xml:space="preserve">Systems that analyze and simplify their own architecture while preserving functionality, inspired by polln's structural memory concept.</w:t>
      </w:r>
    </w:p>
    <w:p>
      <w:pPr>
        <w:pStyle w:val="ListParagraph"/>
        <w:numPr>
          <w:ilvl w:val="0"/>
          <w:numId w:val="6"/>
        </w:numPr>
        <w:spacing w:after="100" w:line="312"/>
      </w:pPr>
      <w:r>
        <w:rPr>
          <w:b/>
          <w:bCs/>
        </w:rPr>
        <w:t xml:space="preserve">Cross-Cultural Perceptual Invariants: </w:t>
      </w:r>
      <w:r>
        <w:t xml:space="preserve">Identifying other universal perceptual patterns (beyond harmonics) that could inform AI architecture design.</w:t>
      </w:r>
    </w:p>
    <w:p>
      <w:pPr>
        <w:pStyle w:val="ListParagraph"/>
        <w:numPr>
          <w:ilvl w:val="0"/>
          <w:numId w:val="6"/>
        </w:numPr>
        <w:spacing w:after="200" w:line="312"/>
      </w:pPr>
      <w:r>
        <w:rPr>
          <w:b/>
          <w:bCs/>
        </w:rPr>
        <w:t xml:space="preserve">Minimal Implementation Libraries: </w:t>
      </w:r>
      <w:r>
        <w:t xml:space="preserve">Extending Karpathy's approach to other architectures (diffusion models, multimodal systems, reinforcement learning).</w:t>
      </w:r>
    </w:p>
    <w:p>
      <w:pPr>
        <w:pStyle w:val="Heading2"/>
      </w:pPr>
      <w:r>
        <w:t xml:space="preserve">6.2 Experimental Protocols</w:t>
      </w:r>
    </w:p>
    <w:p>
      <w:pPr>
        <w:spacing w:after="200" w:line="312"/>
      </w:pPr>
      <w:r>
        <w:t xml:space="preserve">To validate these approaches, experimental protocols should compare harmonic-constrained models against baseline architectures on both performance metrics and interpretability measures. The key hypothesis is that structural constraints derived from universal perceptual principles will not degrade performance while significantly improving interpretability and reducing computational cost. Experiments should test whether harmonic attention mechanisms converge faster and produce more interpretable attention patterns, whether consonance-regularized training produces more robust representations, and whether multi-scale harmonic encoding enables efficient transfer learning.</w:t>
      </w:r>
    </w:p>
    <w:p>
      <w:pPr>
        <w:pStyle w:val="Heading1"/>
      </w:pPr>
      <w:r>
        <w:t xml:space="preserve">7. Conclusion</w:t>
      </w:r>
    </w:p>
    <w:p>
      <w:pPr>
        <w:spacing w:after="200" w:line="312"/>
      </w:pPr>
      <w:r>
        <w:t xml:space="preserve">This research synthesis reveals profound connections between seemingly disparate domains: minimal AI implementations, structural memory theory, and harmonic mathematics. The unifying principle is that simplicity and structure—not complexity and representation—underlie both efficient computation and meaningful interpretation. Karpathy's work shows that stripping away abstraction reveals fundamental computational structures. Polln demonstrates that memory encoded in structural relationships rather than explicit representations achieves dramatic efficiency gains. Music theory reveals that universal human perception is built on simple mathematical ratios that encode meaning structurally.</w:t>
      </w:r>
    </w:p>
    <w:p>
      <w:pPr>
        <w:spacing w:after="200" w:line="312"/>
      </w:pPr>
      <w:r>
        <w:t xml:space="preserve">The "singer not the song" metaphor captures the essence of this synthesis: intelligence lies not in stored content (the song, the weights, the representations) but in the structural capacity to transform high-level intentions into appropriate outputs (the singer, the inference, the computation). By designing AI systems that leverage structural memory, harmonic constraints, and minimal implementations, we can create more efficient, interpretable, and human-aligned artificial intelligence.</w:t>
      </w:r>
    </w:p>
    <w:p>
      <w:pPr>
        <w:spacing w:after="200" w:line="312"/>
      </w:pPr>
      <w:r>
        <w:t xml:space="preserve">The path forward involves not adding complexity to AI systems, but removing it—revealing the simple structural relationships that enable intelligent behavior. This approach promises not just better AI, but AI that we can truly understand: systems where the "how" is as transparent as the "what," where computation aligns with human perception, and where intelligence emerges from the elegant interplay of fundamental mathematical structures.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AI System Bootstrapping Research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2026-03-09T22:59:46.320Z</dcterms:created>
  <dcterms:modified xsi:type="dcterms:W3CDTF">2026-03-09T22:59:46.320Z</dcterms:modified>
</cp:coreProperties>
</file>

<file path=docProps/custom.xml><?xml version="1.0" encoding="utf-8"?>
<Properties xmlns="http://schemas.openxmlformats.org/officeDocument/2006/custom-properties" xmlns:vt="http://schemas.openxmlformats.org/officeDocument/2006/docPropsVTypes"/>
</file>