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400"/>
        <w:jc w:val="center"/>
      </w:pPr>
      <w:r>
        <w:rPr>
          <w:color w:val="64748B"/>
          <w:sz w:val="28"/>
          <w:szCs w:val="28"/>
        </w:rPr>
        <w:t xml:space="preserve">POLLN-RTT Round 5</w:t>
      </w:r>
    </w:p>
    <w:p>
      <w:pPr>
        <w:jc w:val="center"/>
      </w:pPr>
      <w:r>
        <w:rPr>
          <w:b/>
          <w:bCs/>
          <w:color w:val="020617"/>
          <w:sz w:val="72"/>
          <w:szCs w:val="72"/>
        </w:rPr>
        <w:t xml:space="preserve">LOG Framework</w:t>
      </w:r>
    </w:p>
    <w:p>
      <w:pPr>
        <w:spacing w:after="200" w:before="200"/>
        <w:jc w:val="center"/>
      </w:pPr>
      <w:r>
        <w:rPr>
          <w:color w:val="1E293B"/>
          <w:sz w:val="32"/>
          <w:szCs w:val="32"/>
        </w:rPr>
        <w:t xml:space="preserve">Official Naming Schema &amp; Documentation Standards</w:t>
      </w:r>
    </w:p>
    <w:p>
      <w:pPr>
        <w:spacing w:before="1000"/>
      </w:pPr>
    </w:p>
    <w:p>
      <w:pPr>
        <w:jc w:val="center"/>
      </w:pPr>
      <w:r>
        <w:rPr>
          <w:b/>
          <w:bCs/>
          <w:color w:val="020617"/>
          <w:sz w:val="36"/>
          <w:szCs w:val="36"/>
        </w:rPr>
        <w:t xml:space="preserve">Ledger-Origin-Geometry</w:t>
      </w:r>
    </w:p>
    <w:p>
      <w:pPr>
        <w:spacing w:after="100" w:before="100"/>
        <w:jc w:val="center"/>
      </w:pPr>
      <w:r>
        <w:rPr>
          <w:i/>
          <w:iCs/>
          <w:color w:val="64748B"/>
          <w:sz w:val="24"/>
          <w:szCs w:val="24"/>
        </w:rPr>
        <w:t xml:space="preserve">(Primary Technical Expansion)</w:t>
      </w:r>
    </w:p>
    <w:p>
      <w:pPr>
        <w:spacing w:before="200"/>
        <w:jc w:val="center"/>
      </w:pPr>
      <w:r>
        <w:rPr>
          <w:color w:val="1E293B"/>
          <w:sz w:val="28"/>
          <w:szCs w:val="28"/>
        </w:rPr>
        <w:t xml:space="preserve">Logic-of-Geometry</w:t>
      </w:r>
    </w:p>
    <w:p>
      <w:pPr>
        <w:jc w:val="center"/>
      </w:pPr>
      <w:r>
        <w:rPr>
          <w:i/>
          <w:iCs/>
          <w:color w:val="64748B"/>
          <w:sz w:val="24"/>
          <w:szCs w:val="24"/>
        </w:rPr>
        <w:t xml:space="preserve">(Secondary Public Expansion)</w:t>
      </w:r>
    </w:p>
    <w:p>
      <w:pPr>
        <w:spacing w:before="2000"/>
      </w:pPr>
    </w:p>
    <w:p>
      <w:pPr>
        <w:jc w:val="center"/>
      </w:pPr>
      <w:r>
        <w:rPr>
          <w:color w:val="94A3B8"/>
          <w:sz w:val="24"/>
          <w:szCs w:val="24"/>
        </w:rPr>
        <w:t xml:space="preserve">Multi-Context Naming Strategy</w:t>
      </w:r>
    </w:p>
    <w:p>
      <w:pPr>
        <w:jc w:val="center"/>
      </w:pPr>
      <w:r>
        <w:rPr>
          <w:color w:val="94A3B8"/>
          <w:sz w:val="24"/>
          <w:szCs w:val="24"/>
        </w:rPr>
        <w:t xml:space="preserve">Validated through 10-Persona Simulation</w:t>
      </w:r>
    </w:p>
    <w:p>
      <w:pPr>
        <w:sectPr>
          <w:pgSz w:w="11906" w:h="16838" w:orient="portrait"/>
          <w:pgMar w:top="0" w:right="0" w:bottom="0" w:left="0" w:header="708" w:footer="708" w:gutter="0"/>
          <w:pgNumType/>
          <w:docGrid w:linePitch="360"/>
        </w:sectPr>
      </w:pPr>
    </w:p>
    <w:p>
      <w:r>
        <w:br w:type="page"/>
      </w:r>
    </w:p>
    <w:sdt>
      <w:sdtPr>
        <w:alias w:val="Table of Contents"/>
      </w:sdtPr>
      <w:sdtContent>
        <w:p>
          <w:r>
            <w:fldChar w:fldCharType="begin" w:dirty="true"/>
            <w:instrText xml:space="preserve">TOC \h \o "1-3"</w:instrText>
            <w:fldChar w:fldCharType="separate"/>
          </w:r>
        </w:p>
        <w:p>
          <w:r>
            <w:fldChar w:fldCharType="end"/>
          </w:r>
        </w:p>
      </w:sdtContent>
    </w:sdt>
    <w:p>
      <w:pPr>
        <w:spacing w:before="200"/>
        <w:jc w:val="center"/>
      </w:pPr>
      <w:r>
        <w:rPr>
          <w:i/>
          <w:iCs/>
          <w:color w:val="999999"/>
          <w:sz w:val="18"/>
          <w:szCs w:val="18"/>
        </w:rPr>
        <w:t xml:space="preserve">Note: Right-click the Table of Contents and select "Update Field" to refresh page numbers.</w:t>
      </w:r>
    </w:p>
    <w:p>
      <w:r>
        <w:br w:type="page"/>
      </w:r>
    </w:p>
    <w:p>
      <w:pPr>
        <w:pStyle w:val="Heading1"/>
      </w:pPr>
      <w:r>
        <w:t xml:space="preserve">1. Executive Summary</w:t>
      </w:r>
    </w:p>
    <w:p>
      <w:pPr>
        <w:spacing w:after="200"/>
      </w:pPr>
      <w:r>
        <w:rPr>
          <w:color w:val="1E293B"/>
        </w:rPr>
        <w:t xml:space="preserve">This document establishes the official naming schema for the LOG Framework, following an extensive multi-persona simulation workshop. The naming decision represents a strategic balance between technical precision and public accessibility, recognizing that different audiences require different levels of abstraction when engaging with the system. The framework's dual-expansion approach acknowledges that technical engineers and rapid developers operate with distinct mental models and communication needs, while maintaining conceptual unity at the acronym level.</w:t>
      </w:r>
    </w:p>
    <w:p>
      <w:pPr>
        <w:spacing w:after="200"/>
      </w:pPr>
      <w:r>
        <w:rPr>
          <w:color w:val="1E293B"/>
        </w:rPr>
        <w:t xml:space="preserve">The LOG Framework represents a paradigm shift in how we conceptualize tensor operations and transformer architectures. By anchoring all computations to a reference origin and leveraging geometric principles, the system achieves dramatic performance improvements while maintaining mathematical rigor. The naming convention must capture this dual nature: the deterministic, ledger-like record of operations and the fundamental logic governing geometric AI interactions.</w:t>
      </w:r>
    </w:p>
    <w:p>
      <w:pPr>
        <w:pStyle w:val="Heading1"/>
      </w:pPr>
      <w:r>
        <w:t xml:space="preserve">2. Official Naming Decision</w:t>
      </w:r>
    </w:p>
    <w:p>
      <w:pPr>
        <w:pStyle w:val="Heading2"/>
      </w:pPr>
      <w:r>
        <w:t xml:space="preserve">2.1 Primary Technical Expansion</w:t>
      </w:r>
    </w:p>
    <w:p>
      <w:pPr>
        <w:spacing w:after="200"/>
      </w:pPr>
      <w:r>
        <w:rPr>
          <w:b/>
          <w:bCs/>
          <w:color w:val="020617"/>
          <w:sz w:val="28"/>
          <w:szCs w:val="28"/>
        </w:rPr>
        <w:t xml:space="preserve">Ledger-Origin-Geometry</w:t>
      </w:r>
    </w:p>
    <w:p>
      <w:pPr>
        <w:spacing w:after="100"/>
      </w:pPr>
      <w:r>
        <w:rPr>
          <w:color w:val="1E293B"/>
        </w:rPr>
        <w:t xml:space="preserve">This expansion is designated for all technical documentation, academic papers, internal engineering discussions, and implementation code. Each term provides a semantic anchor that can be precisely defined and extended:</w:t>
      </w:r>
    </w:p>
    <w:p>
      <w:pPr>
        <w:pStyle w:val="ListParagraph"/>
        <w:numPr>
          <w:ilvl w:val="0"/>
          <w:numId w:val="2"/>
        </w:numPr>
      </w:pPr>
      <w:r>
        <w:rPr>
          <w:b/>
          <w:bCs/>
        </w:rPr>
        <w:t xml:space="preserve">Ledger: </w:t>
      </w:r>
      <w:r>
        <w:t xml:space="preserve">The seed-deterministic operation record. This captures the Ghost Tile concept where operations are recorded immutably and can be replayed from a seed. The ledger metaphor emphasizes the auditability, reproducibility, and traceability of all tensor operations.</w:t>
      </w:r>
    </w:p>
    <w:p>
      <w:pPr>
        <w:pStyle w:val="ListParagraph"/>
        <w:numPr>
          <w:ilvl w:val="0"/>
          <w:numId w:val="2"/>
        </w:numPr>
      </w:pPr>
      <w:r>
        <w:rPr>
          <w:b/>
          <w:bCs/>
        </w:rPr>
        <w:t xml:space="preserve">Origin: </w:t>
      </w:r>
      <w:r>
        <w:t xml:space="preserve">The self-relative reference frame. This is the core principle that ORIGIN = SELF = REFERENCE FRAME. All positions, orientations, and computations are measured relative to this anchor point, enabling dramatic simplification of coordinate mathematics.</w:t>
      </w:r>
    </w:p>
    <w:p>
      <w:pPr>
        <w:pStyle w:val="ListParagraph"/>
        <w:numPr>
          <w:ilvl w:val="0"/>
          <w:numId w:val="2"/>
        </w:numPr>
        <w:spacing w:after="200"/>
      </w:pPr>
      <w:r>
        <w:rPr>
          <w:b/>
          <w:bCs/>
        </w:rPr>
        <w:t xml:space="preserve">Geometry: </w:t>
      </w:r>
      <w:r>
        <w:t xml:space="preserve">The spatial computation domain. This encompasses the base-12/360 architecture, sector divisions, travel planes, and all geometric optimizations that make the system efficient.</w:t>
      </w:r>
    </w:p>
    <w:p>
      <w:pPr>
        <w:pStyle w:val="Heading2"/>
      </w:pPr>
      <w:r>
        <w:t xml:space="preserve">2.2 Secondary Public Expansion</w:t>
      </w:r>
    </w:p>
    <w:p>
      <w:pPr>
        <w:spacing w:after="200"/>
      </w:pPr>
      <w:r>
        <w:rPr>
          <w:b/>
          <w:bCs/>
          <w:color w:val="1E293B"/>
          <w:sz w:val="28"/>
          <w:szCs w:val="28"/>
        </w:rPr>
        <w:t xml:space="preserve">Logic-of-Geometry</w:t>
      </w:r>
    </w:p>
    <w:p>
      <w:pPr>
        <w:spacing w:after="200"/>
      </w:pPr>
      <w:r>
        <w:rPr>
          <w:color w:val="1E293B"/>
        </w:rPr>
        <w:t xml:space="preserve">This expansion serves marketing materials, investor presentations, public-facing documentation, and elevator pitches. It captures the essence without requiring technical background knowledge. The phrase "Logic of Geometry" is self-explanatory and evokes the underlying mathematical truth that geometry follows logical rules, and the LOG system captures and leverages this logic for AI applications.</w:t>
      </w:r>
    </w:p>
    <w:p>
      <w:pPr>
        <w:pStyle w:val="Heading2"/>
      </w:pPr>
      <w:r>
        <w:t xml:space="preserve">2.3 Dual-Expansion Rationale</w:t>
      </w:r>
    </w:p>
    <w:p>
      <w:pPr>
        <w:spacing w:after="200"/>
      </w:pPr>
      <w:r>
        <w:rPr>
          <w:color w:val="1E293B"/>
        </w:rPr>
        <w:t xml:space="preserve">The decision to maintain dual expansions is not inconsistency but audience-awareness. Both expansions capture the same core truth: geometry has an underlying logic, and we capture it in a ledger anchored at the origin. Technical audiences need the precise nouns (Ledger, Origin, Geometry) to understand the implementation. Public audiences need the conceptual essence (Logic, Geometry) to understand the purpose.</w:t>
      </w:r>
    </w:p>
    <w:p>
      <w:pPr>
        <w:pStyle w:val="Heading1"/>
      </w:pPr>
      <w:r>
        <w:t xml:space="preserve">3. Persona Simulation Results</w:t>
      </w:r>
    </w:p>
    <w:p>
      <w:pPr>
        <w:spacing w:after="200"/>
      </w:pPr>
      <w:r>
        <w:rPr>
          <w:color w:val="1E293B"/>
        </w:rPr>
        <w:t xml:space="preserve">The naming workshop simulated reactions from 10 distinct personas across the engineering and business spectrum. Each persona was evaluated on comprehension (how quickly they understand the concept) and memorability (how well they retain and recall the naming). The simulation revealed clear patterns in how different audiences engage with technical naming.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2500"/>
        <w:gridCol w:w="2500"/>
        <w:gridCol w:w="2000"/>
        <w:gridCol w:w="2000"/>
      </w:tblGrid>
      <w:tr>
        <w:trPr>
          <w:tblHeader/>
        </w:trPr>
        <w:tc>
          <w:tcPr>
            <w:tcW w:type="dxa" w:w="2500"/>
            <w:tcBorders>
              <w:top w:val="single" w:color="CBD5E1" w:sz="1"/>
              <w:left w:val="single" w:color="CBD5E1" w:sz="1"/>
              <w:bottom w:val="single" w:color="CBD5E1" w:sz="1"/>
              <w:right w:val="single" w:color="CBD5E1" w:sz="1"/>
            </w:tcBorders>
            <w:shd w:fill="F8FAFC" w:val="clear"/>
          </w:tcPr>
          <w:p>
            <w:pPr>
              <w:jc w:val="center"/>
            </w:pPr>
            <w:r>
              <w:rPr>
                <w:b/>
                <w:bCs/>
              </w:rPr>
              <w:t xml:space="preserve">Persona</w:t>
            </w:r>
          </w:p>
        </w:tc>
        <w:tc>
          <w:tcPr>
            <w:tcW w:type="dxa" w:w="2500"/>
            <w:tcBorders>
              <w:top w:val="single" w:color="CBD5E1" w:sz="1"/>
              <w:left w:val="single" w:color="CBD5E1" w:sz="1"/>
              <w:bottom w:val="single" w:color="CBD5E1" w:sz="1"/>
              <w:right w:val="single" w:color="CBD5E1" w:sz="1"/>
            </w:tcBorders>
            <w:shd w:fill="F8FAFC" w:val="clear"/>
          </w:tcPr>
          <w:p>
            <w:pPr>
              <w:jc w:val="center"/>
            </w:pPr>
            <w:r>
              <w:rPr>
                <w:b/>
                <w:bCs/>
              </w:rPr>
              <w:t xml:space="preserve">Preferred Expansion</w:t>
            </w:r>
          </w:p>
        </w:tc>
        <w:tc>
          <w:tcPr>
            <w:tcW w:type="dxa" w:w="2000"/>
            <w:tcBorders>
              <w:top w:val="single" w:color="CBD5E1" w:sz="1"/>
              <w:left w:val="single" w:color="CBD5E1" w:sz="1"/>
              <w:bottom w:val="single" w:color="CBD5E1" w:sz="1"/>
              <w:right w:val="single" w:color="CBD5E1" w:sz="1"/>
            </w:tcBorders>
            <w:shd w:fill="F8FAFC" w:val="clear"/>
          </w:tcPr>
          <w:p>
            <w:pPr>
              <w:jc w:val="center"/>
            </w:pPr>
            <w:r>
              <w:rPr>
                <w:b/>
                <w:bCs/>
              </w:rPr>
              <w:t xml:space="preserve">Comprehension</w:t>
            </w:r>
          </w:p>
        </w:tc>
        <w:tc>
          <w:tcPr>
            <w:tcW w:type="dxa" w:w="2000"/>
            <w:tcBorders>
              <w:top w:val="single" w:color="CBD5E1" w:sz="1"/>
              <w:left w:val="single" w:color="CBD5E1" w:sz="1"/>
              <w:bottom w:val="single" w:color="CBD5E1" w:sz="1"/>
              <w:right w:val="single" w:color="CBD5E1" w:sz="1"/>
            </w:tcBorders>
            <w:shd w:fill="F8FAFC" w:val="clear"/>
          </w:tcPr>
          <w:p>
            <w:pPr>
              <w:jc w:val="center"/>
            </w:pPr>
            <w:r>
              <w:rPr>
                <w:b/>
                <w:bCs/>
              </w:rPr>
              <w:t xml:space="preserve">Memorability</w:t>
            </w:r>
          </w:p>
        </w:tc>
      </w:tr>
      <w:tr>
        <w:tc>
          <w:tcPr>
            <w:tcW w:type="dxa" w:w="2500"/>
            <w:tcBorders>
              <w:top w:val="single" w:color="CBD5E1" w:sz="1"/>
              <w:left w:val="single" w:color="CBD5E1" w:sz="1"/>
              <w:bottom w:val="single" w:color="CBD5E1" w:sz="1"/>
              <w:right w:val="single" w:color="CBD5E1" w:sz="1"/>
            </w:tcBorders>
          </w:tcPr>
          <w:p>
            <w:pPr>
              <w:jc w:val="left"/>
            </w:pPr>
            <w:r>
              <w:t xml:space="preserve">ML Researcher (PhD)</w:t>
            </w:r>
          </w:p>
        </w:tc>
        <w:tc>
          <w:tcPr>
            <w:tcW w:type="dxa" w:w="2500"/>
            <w:tcBorders>
              <w:top w:val="single" w:color="CBD5E1" w:sz="1"/>
              <w:left w:val="single" w:color="CBD5E1" w:sz="1"/>
              <w:bottom w:val="single" w:color="CBD5E1" w:sz="1"/>
              <w:right w:val="single" w:color="CBD5E1" w:sz="1"/>
            </w:tcBorders>
          </w:tcPr>
          <w:p>
            <w:pPr>
              <w:jc w:val="left"/>
            </w:pPr>
            <w:r>
              <w:t xml:space="preserve">Ledger-Origin-Geometry</w:t>
            </w:r>
          </w:p>
        </w:tc>
        <w:tc>
          <w:tcPr>
            <w:tcW w:type="dxa" w:w="2000"/>
            <w:tcBorders>
              <w:top w:val="single" w:color="CBD5E1" w:sz="1"/>
              <w:left w:val="single" w:color="CBD5E1" w:sz="1"/>
              <w:bottom w:val="single" w:color="CBD5E1" w:sz="1"/>
              <w:right w:val="single" w:color="CBD5E1" w:sz="1"/>
            </w:tcBorders>
          </w:tcPr>
          <w:p>
            <w:pPr>
              <w:jc w:val="center"/>
            </w:pPr>
            <w:r>
              <w:t xml:space="preserve">9/10</w:t>
            </w:r>
          </w:p>
        </w:tc>
        <w:tc>
          <w:tcPr>
            <w:tcW w:type="dxa" w:w="2000"/>
            <w:tcBorders>
              <w:top w:val="single" w:color="CBD5E1" w:sz="1"/>
              <w:left w:val="single" w:color="CBD5E1" w:sz="1"/>
              <w:bottom w:val="single" w:color="CBD5E1" w:sz="1"/>
              <w:right w:val="single" w:color="CBD5E1" w:sz="1"/>
            </w:tcBorders>
          </w:tcPr>
          <w:p>
            <w:pPr>
              <w:jc w:val="center"/>
            </w:pPr>
            <w:r>
              <w:t xml:space="preserve">8/10</w:t>
            </w:r>
          </w:p>
        </w:tc>
      </w:tr>
      <w:tr>
        <w:tc>
          <w:tcPr>
            <w:tcW w:type="dxa" w:w="2500"/>
            <w:tcBorders>
              <w:top w:val="single" w:color="CBD5E1" w:sz="1"/>
              <w:left w:val="single" w:color="CBD5E1" w:sz="1"/>
              <w:bottom w:val="single" w:color="CBD5E1" w:sz="1"/>
              <w:right w:val="single" w:color="CBD5E1" w:sz="1"/>
            </w:tcBorders>
          </w:tcPr>
          <w:p>
            <w:pPr>
              <w:jc w:val="left"/>
            </w:pPr>
            <w:r>
              <w:t xml:space="preserve">Geometry Specialist</w:t>
            </w:r>
          </w:p>
        </w:tc>
        <w:tc>
          <w:tcPr>
            <w:tcW w:type="dxa" w:w="2500"/>
            <w:tcBorders>
              <w:top w:val="single" w:color="CBD5E1" w:sz="1"/>
              <w:left w:val="single" w:color="CBD5E1" w:sz="1"/>
              <w:bottom w:val="single" w:color="CBD5E1" w:sz="1"/>
              <w:right w:val="single" w:color="CBD5E1" w:sz="1"/>
            </w:tcBorders>
          </w:tcPr>
          <w:p>
            <w:pPr>
              <w:jc w:val="left"/>
            </w:pPr>
            <w:r>
              <w:t xml:space="preserve">Ledger-Origin-Geometry</w:t>
            </w:r>
          </w:p>
        </w:tc>
        <w:tc>
          <w:tcPr>
            <w:tcW w:type="dxa" w:w="2000"/>
            <w:tcBorders>
              <w:top w:val="single" w:color="CBD5E1" w:sz="1"/>
              <w:left w:val="single" w:color="CBD5E1" w:sz="1"/>
              <w:bottom w:val="single" w:color="CBD5E1" w:sz="1"/>
              <w:right w:val="single" w:color="CBD5E1" w:sz="1"/>
            </w:tcBorders>
          </w:tcPr>
          <w:p>
            <w:pPr>
              <w:jc w:val="center"/>
            </w:pPr>
            <w:r>
              <w:t xml:space="preserve">10/10</w:t>
            </w:r>
          </w:p>
        </w:tc>
        <w:tc>
          <w:tcPr>
            <w:tcW w:type="dxa" w:w="2000"/>
            <w:tcBorders>
              <w:top w:val="single" w:color="CBD5E1" w:sz="1"/>
              <w:left w:val="single" w:color="CBD5E1" w:sz="1"/>
              <w:bottom w:val="single" w:color="CBD5E1" w:sz="1"/>
              <w:right w:val="single" w:color="CBD5E1" w:sz="1"/>
            </w:tcBorders>
          </w:tcPr>
          <w:p>
            <w:pPr>
              <w:jc w:val="center"/>
            </w:pPr>
            <w:r>
              <w:t xml:space="preserve">9/10</w:t>
            </w:r>
          </w:p>
        </w:tc>
      </w:tr>
      <w:tr>
        <w:tc>
          <w:tcPr>
            <w:tcW w:type="dxa" w:w="2500"/>
            <w:tcBorders>
              <w:top w:val="single" w:color="CBD5E1" w:sz="1"/>
              <w:left w:val="single" w:color="CBD5E1" w:sz="1"/>
              <w:bottom w:val="single" w:color="CBD5E1" w:sz="1"/>
              <w:right w:val="single" w:color="CBD5E1" w:sz="1"/>
            </w:tcBorders>
          </w:tcPr>
          <w:p>
            <w:pPr>
              <w:jc w:val="left"/>
            </w:pPr>
            <w:r>
              <w:t xml:space="preserve">Applied ML Engineer</w:t>
            </w:r>
          </w:p>
        </w:tc>
        <w:tc>
          <w:tcPr>
            <w:tcW w:type="dxa" w:w="2500"/>
            <w:tcBorders>
              <w:top w:val="single" w:color="CBD5E1" w:sz="1"/>
              <w:left w:val="single" w:color="CBD5E1" w:sz="1"/>
              <w:bottom w:val="single" w:color="CBD5E1" w:sz="1"/>
              <w:right w:val="single" w:color="CBD5E1" w:sz="1"/>
            </w:tcBorders>
          </w:tcPr>
          <w:p>
            <w:pPr>
              <w:jc w:val="left"/>
            </w:pPr>
            <w:r>
              <w:t xml:space="preserve">Logic-of-Geometry</w:t>
            </w:r>
          </w:p>
        </w:tc>
        <w:tc>
          <w:tcPr>
            <w:tcW w:type="dxa" w:w="2000"/>
            <w:tcBorders>
              <w:top w:val="single" w:color="CBD5E1" w:sz="1"/>
              <w:left w:val="single" w:color="CBD5E1" w:sz="1"/>
              <w:bottom w:val="single" w:color="CBD5E1" w:sz="1"/>
              <w:right w:val="single" w:color="CBD5E1" w:sz="1"/>
            </w:tcBorders>
          </w:tcPr>
          <w:p>
            <w:pPr>
              <w:jc w:val="center"/>
            </w:pPr>
            <w:r>
              <w:t xml:space="preserve">7/10</w:t>
            </w:r>
          </w:p>
        </w:tc>
        <w:tc>
          <w:tcPr>
            <w:tcW w:type="dxa" w:w="2000"/>
            <w:tcBorders>
              <w:top w:val="single" w:color="CBD5E1" w:sz="1"/>
              <w:left w:val="single" w:color="CBD5E1" w:sz="1"/>
              <w:bottom w:val="single" w:color="CBD5E1" w:sz="1"/>
              <w:right w:val="single" w:color="CBD5E1" w:sz="1"/>
            </w:tcBorders>
          </w:tcPr>
          <w:p>
            <w:pPr>
              <w:jc w:val="center"/>
            </w:pPr>
            <w:r>
              <w:t xml:space="preserve">8/10</w:t>
            </w:r>
          </w:p>
        </w:tc>
      </w:tr>
      <w:tr>
        <w:tc>
          <w:tcPr>
            <w:tcW w:type="dxa" w:w="2500"/>
            <w:tcBorders>
              <w:top w:val="single" w:color="CBD5E1" w:sz="1"/>
              <w:left w:val="single" w:color="CBD5E1" w:sz="1"/>
              <w:bottom w:val="single" w:color="CBD5E1" w:sz="1"/>
              <w:right w:val="single" w:color="CBD5E1" w:sz="1"/>
            </w:tcBorders>
          </w:tcPr>
          <w:p>
            <w:pPr>
              <w:jc w:val="left"/>
            </w:pPr>
            <w:r>
              <w:t xml:space="preserve">Platform Engineer</w:t>
            </w:r>
          </w:p>
        </w:tc>
        <w:tc>
          <w:tcPr>
            <w:tcW w:type="dxa" w:w="2500"/>
            <w:tcBorders>
              <w:top w:val="single" w:color="CBD5E1" w:sz="1"/>
              <w:left w:val="single" w:color="CBD5E1" w:sz="1"/>
              <w:bottom w:val="single" w:color="CBD5E1" w:sz="1"/>
              <w:right w:val="single" w:color="CBD5E1" w:sz="1"/>
            </w:tcBorders>
          </w:tcPr>
          <w:p>
            <w:pPr>
              <w:jc w:val="left"/>
            </w:pPr>
            <w:r>
              <w:t xml:space="preserve">Ledger-Origin-Geometry</w:t>
            </w:r>
          </w:p>
        </w:tc>
        <w:tc>
          <w:tcPr>
            <w:tcW w:type="dxa" w:w="2000"/>
            <w:tcBorders>
              <w:top w:val="single" w:color="CBD5E1" w:sz="1"/>
              <w:left w:val="single" w:color="CBD5E1" w:sz="1"/>
              <w:bottom w:val="single" w:color="CBD5E1" w:sz="1"/>
              <w:right w:val="single" w:color="CBD5E1" w:sz="1"/>
            </w:tcBorders>
          </w:tcPr>
          <w:p>
            <w:pPr>
              <w:jc w:val="center"/>
            </w:pPr>
            <w:r>
              <w:t xml:space="preserve">8/10</w:t>
            </w:r>
          </w:p>
        </w:tc>
        <w:tc>
          <w:tcPr>
            <w:tcW w:type="dxa" w:w="2000"/>
            <w:tcBorders>
              <w:top w:val="single" w:color="CBD5E1" w:sz="1"/>
              <w:left w:val="single" w:color="CBD5E1" w:sz="1"/>
              <w:bottom w:val="single" w:color="CBD5E1" w:sz="1"/>
              <w:right w:val="single" w:color="CBD5E1" w:sz="1"/>
            </w:tcBorders>
          </w:tcPr>
          <w:p>
            <w:pPr>
              <w:jc w:val="center"/>
            </w:pPr>
            <w:r>
              <w:t xml:space="preserve">7/10</w:t>
            </w:r>
          </w:p>
        </w:tc>
      </w:tr>
      <w:tr>
        <w:tc>
          <w:tcPr>
            <w:tcW w:type="dxa" w:w="2500"/>
            <w:tcBorders>
              <w:top w:val="single" w:color="CBD5E1" w:sz="1"/>
              <w:left w:val="single" w:color="CBD5E1" w:sz="1"/>
              <w:bottom w:val="single" w:color="CBD5E1" w:sz="1"/>
              <w:right w:val="single" w:color="CBD5E1" w:sz="1"/>
            </w:tcBorders>
          </w:tcPr>
          <w:p>
            <w:pPr>
              <w:jc w:val="left"/>
            </w:pPr>
            <w:r>
              <w:t xml:space="preserve">Startup Developer</w:t>
            </w:r>
          </w:p>
        </w:tc>
        <w:tc>
          <w:tcPr>
            <w:tcW w:type="dxa" w:w="2500"/>
            <w:tcBorders>
              <w:top w:val="single" w:color="CBD5E1" w:sz="1"/>
              <w:left w:val="single" w:color="CBD5E1" w:sz="1"/>
              <w:bottom w:val="single" w:color="CBD5E1" w:sz="1"/>
              <w:right w:val="single" w:color="CBD5E1" w:sz="1"/>
            </w:tcBorders>
          </w:tcPr>
          <w:p>
            <w:pPr>
              <w:jc w:val="left"/>
            </w:pPr>
            <w:r>
              <w:t xml:space="preserve">Logic-of-Geometry</w:t>
            </w:r>
          </w:p>
        </w:tc>
        <w:tc>
          <w:tcPr>
            <w:tcW w:type="dxa" w:w="2000"/>
            <w:tcBorders>
              <w:top w:val="single" w:color="CBD5E1" w:sz="1"/>
              <w:left w:val="single" w:color="CBD5E1" w:sz="1"/>
              <w:bottom w:val="single" w:color="CBD5E1" w:sz="1"/>
              <w:right w:val="single" w:color="CBD5E1" w:sz="1"/>
            </w:tcBorders>
          </w:tcPr>
          <w:p>
            <w:pPr>
              <w:jc w:val="center"/>
            </w:pPr>
            <w:r>
              <w:t xml:space="preserve">8/10</w:t>
            </w:r>
          </w:p>
        </w:tc>
        <w:tc>
          <w:tcPr>
            <w:tcW w:type="dxa" w:w="2000"/>
            <w:tcBorders>
              <w:top w:val="single" w:color="CBD5E1" w:sz="1"/>
              <w:left w:val="single" w:color="CBD5E1" w:sz="1"/>
              <w:bottom w:val="single" w:color="CBD5E1" w:sz="1"/>
              <w:right w:val="single" w:color="CBD5E1" w:sz="1"/>
            </w:tcBorders>
          </w:tcPr>
          <w:p>
            <w:pPr>
              <w:jc w:val="center"/>
            </w:pPr>
            <w:r>
              <w:t xml:space="preserve">9/10</w:t>
            </w:r>
          </w:p>
        </w:tc>
      </w:tr>
      <w:tr>
        <w:tc>
          <w:tcPr>
            <w:tcW w:type="dxa" w:w="2500"/>
            <w:tcBorders>
              <w:top w:val="single" w:color="CBD5E1" w:sz="1"/>
              <w:left w:val="single" w:color="CBD5E1" w:sz="1"/>
              <w:bottom w:val="single" w:color="CBD5E1" w:sz="1"/>
              <w:right w:val="single" w:color="CBD5E1" w:sz="1"/>
            </w:tcBorders>
          </w:tcPr>
          <w:p>
            <w:pPr>
              <w:jc w:val="left"/>
            </w:pPr>
            <w:r>
              <w:t xml:space="preserve">Prototype Developer</w:t>
            </w:r>
          </w:p>
        </w:tc>
        <w:tc>
          <w:tcPr>
            <w:tcW w:type="dxa" w:w="2500"/>
            <w:tcBorders>
              <w:top w:val="single" w:color="CBD5E1" w:sz="1"/>
              <w:left w:val="single" w:color="CBD5E1" w:sz="1"/>
              <w:bottom w:val="single" w:color="CBD5E1" w:sz="1"/>
              <w:right w:val="single" w:color="CBD5E1" w:sz="1"/>
            </w:tcBorders>
          </w:tcPr>
          <w:p>
            <w:pPr>
              <w:jc w:val="left"/>
            </w:pPr>
            <w:r>
              <w:t xml:space="preserve">Logic-of-Geometry</w:t>
            </w:r>
          </w:p>
        </w:tc>
        <w:tc>
          <w:tcPr>
            <w:tcW w:type="dxa" w:w="2000"/>
            <w:tcBorders>
              <w:top w:val="single" w:color="CBD5E1" w:sz="1"/>
              <w:left w:val="single" w:color="CBD5E1" w:sz="1"/>
              <w:bottom w:val="single" w:color="CBD5E1" w:sz="1"/>
              <w:right w:val="single" w:color="CBD5E1" w:sz="1"/>
            </w:tcBorders>
          </w:tcPr>
          <w:p>
            <w:pPr>
              <w:jc w:val="center"/>
            </w:pPr>
            <w:r>
              <w:t xml:space="preserve">6/10</w:t>
            </w:r>
          </w:p>
        </w:tc>
        <w:tc>
          <w:tcPr>
            <w:tcW w:type="dxa" w:w="2000"/>
            <w:tcBorders>
              <w:top w:val="single" w:color="CBD5E1" w:sz="1"/>
              <w:left w:val="single" w:color="CBD5E1" w:sz="1"/>
              <w:bottom w:val="single" w:color="CBD5E1" w:sz="1"/>
              <w:right w:val="single" w:color="CBD5E1" w:sz="1"/>
            </w:tcBorders>
          </w:tcPr>
          <w:p>
            <w:pPr>
              <w:jc w:val="center"/>
            </w:pPr>
            <w:r>
              <w:t xml:space="preserve">5/10</w:t>
            </w:r>
          </w:p>
        </w:tc>
      </w:tr>
      <w:tr>
        <w:tc>
          <w:tcPr>
            <w:tcW w:type="dxa" w:w="2500"/>
            <w:tcBorders>
              <w:top w:val="single" w:color="CBD5E1" w:sz="1"/>
              <w:left w:val="single" w:color="CBD5E1" w:sz="1"/>
              <w:bottom w:val="single" w:color="CBD5E1" w:sz="1"/>
              <w:right w:val="single" w:color="CBD5E1" w:sz="1"/>
            </w:tcBorders>
          </w:tcPr>
          <w:p>
            <w:pPr>
              <w:jc w:val="left"/>
            </w:pPr>
            <w:r>
              <w:t xml:space="preserve">Technical PM</w:t>
            </w:r>
          </w:p>
        </w:tc>
        <w:tc>
          <w:tcPr>
            <w:tcW w:type="dxa" w:w="2500"/>
            <w:tcBorders>
              <w:top w:val="single" w:color="CBD5E1" w:sz="1"/>
              <w:left w:val="single" w:color="CBD5E1" w:sz="1"/>
              <w:bottom w:val="single" w:color="CBD5E1" w:sz="1"/>
              <w:right w:val="single" w:color="CBD5E1" w:sz="1"/>
            </w:tcBorders>
          </w:tcPr>
          <w:p>
            <w:pPr>
              <w:jc w:val="left"/>
            </w:pPr>
            <w:r>
              <w:t xml:space="preserve">Logic-of-Geometry</w:t>
            </w:r>
          </w:p>
        </w:tc>
        <w:tc>
          <w:tcPr>
            <w:tcW w:type="dxa" w:w="2000"/>
            <w:tcBorders>
              <w:top w:val="single" w:color="CBD5E1" w:sz="1"/>
              <w:left w:val="single" w:color="CBD5E1" w:sz="1"/>
              <w:bottom w:val="single" w:color="CBD5E1" w:sz="1"/>
              <w:right w:val="single" w:color="CBD5E1" w:sz="1"/>
            </w:tcBorders>
          </w:tcPr>
          <w:p>
            <w:pPr>
              <w:jc w:val="center"/>
            </w:pPr>
            <w:r>
              <w:t xml:space="preserve">9/10</w:t>
            </w:r>
          </w:p>
        </w:tc>
        <w:tc>
          <w:tcPr>
            <w:tcW w:type="dxa" w:w="2000"/>
            <w:tcBorders>
              <w:top w:val="single" w:color="CBD5E1" w:sz="1"/>
              <w:left w:val="single" w:color="CBD5E1" w:sz="1"/>
              <w:bottom w:val="single" w:color="CBD5E1" w:sz="1"/>
              <w:right w:val="single" w:color="CBD5E1" w:sz="1"/>
            </w:tcBorders>
          </w:tcPr>
          <w:p>
            <w:pPr>
              <w:jc w:val="center"/>
            </w:pPr>
            <w:r>
              <w:t xml:space="preserve">10/10</w:t>
            </w:r>
          </w:p>
        </w:tc>
      </w:tr>
      <w:tr>
        <w:tc>
          <w:tcPr>
            <w:tcW w:type="dxa" w:w="2500"/>
            <w:tcBorders>
              <w:top w:val="single" w:color="CBD5E1" w:sz="1"/>
              <w:left w:val="single" w:color="CBD5E1" w:sz="1"/>
              <w:bottom w:val="single" w:color="CBD5E1" w:sz="1"/>
              <w:right w:val="single" w:color="CBD5E1" w:sz="1"/>
            </w:tcBorders>
          </w:tcPr>
          <w:p>
            <w:pPr>
              <w:jc w:val="left"/>
            </w:pPr>
            <w:r>
              <w:t xml:space="preserve">Non-Tech Stakeholder</w:t>
            </w:r>
          </w:p>
        </w:tc>
        <w:tc>
          <w:tcPr>
            <w:tcW w:type="dxa" w:w="2500"/>
            <w:tcBorders>
              <w:top w:val="single" w:color="CBD5E1" w:sz="1"/>
              <w:left w:val="single" w:color="CBD5E1" w:sz="1"/>
              <w:bottom w:val="single" w:color="CBD5E1" w:sz="1"/>
              <w:right w:val="single" w:color="CBD5E1" w:sz="1"/>
            </w:tcBorders>
          </w:tcPr>
          <w:p>
            <w:pPr>
              <w:jc w:val="left"/>
            </w:pPr>
            <w:r>
              <w:t xml:space="preserve">Logic-of-Geometry</w:t>
            </w:r>
          </w:p>
        </w:tc>
        <w:tc>
          <w:tcPr>
            <w:tcW w:type="dxa" w:w="2000"/>
            <w:tcBorders>
              <w:top w:val="single" w:color="CBD5E1" w:sz="1"/>
              <w:left w:val="single" w:color="CBD5E1" w:sz="1"/>
              <w:bottom w:val="single" w:color="CBD5E1" w:sz="1"/>
              <w:right w:val="single" w:color="CBD5E1" w:sz="1"/>
            </w:tcBorders>
          </w:tcPr>
          <w:p>
            <w:pPr>
              <w:jc w:val="center"/>
            </w:pPr>
            <w:r>
              <w:t xml:space="preserve">9/10</w:t>
            </w:r>
          </w:p>
        </w:tc>
        <w:tc>
          <w:tcPr>
            <w:tcW w:type="dxa" w:w="2000"/>
            <w:tcBorders>
              <w:top w:val="single" w:color="CBD5E1" w:sz="1"/>
              <w:left w:val="single" w:color="CBD5E1" w:sz="1"/>
              <w:bottom w:val="single" w:color="CBD5E1" w:sz="1"/>
              <w:right w:val="single" w:color="CBD5E1" w:sz="1"/>
            </w:tcBorders>
          </w:tcPr>
          <w:p>
            <w:pPr>
              <w:jc w:val="center"/>
            </w:pPr>
            <w:r>
              <w:t xml:space="preserve">10/10</w:t>
            </w:r>
          </w:p>
        </w:tc>
      </w:tr>
      <w:tr>
        <w:tc>
          <w:tcPr>
            <w:tcW w:type="dxa" w:w="2500"/>
            <w:tcBorders>
              <w:top w:val="single" w:color="CBD5E1" w:sz="1"/>
              <w:left w:val="single" w:color="CBD5E1" w:sz="1"/>
              <w:bottom w:val="single" w:color="CBD5E1" w:sz="1"/>
              <w:right w:val="single" w:color="CBD5E1" w:sz="1"/>
            </w:tcBorders>
          </w:tcPr>
          <w:p>
            <w:pPr>
              <w:jc w:val="left"/>
            </w:pPr>
            <w:r>
              <w:t xml:space="preserve">Technical Writer</w:t>
            </w:r>
          </w:p>
        </w:tc>
        <w:tc>
          <w:tcPr>
            <w:tcW w:type="dxa" w:w="2500"/>
            <w:tcBorders>
              <w:top w:val="single" w:color="CBD5E1" w:sz="1"/>
              <w:left w:val="single" w:color="CBD5E1" w:sz="1"/>
              <w:bottom w:val="single" w:color="CBD5E1" w:sz="1"/>
              <w:right w:val="single" w:color="CBD5E1" w:sz="1"/>
            </w:tcBorders>
          </w:tcPr>
          <w:p>
            <w:pPr>
              <w:jc w:val="left"/>
            </w:pPr>
            <w:r>
              <w:t xml:space="preserve">Ledger-Origin-Geometry</w:t>
            </w:r>
          </w:p>
        </w:tc>
        <w:tc>
          <w:tcPr>
            <w:tcW w:type="dxa" w:w="2000"/>
            <w:tcBorders>
              <w:top w:val="single" w:color="CBD5E1" w:sz="1"/>
              <w:left w:val="single" w:color="CBD5E1" w:sz="1"/>
              <w:bottom w:val="single" w:color="CBD5E1" w:sz="1"/>
              <w:right w:val="single" w:color="CBD5E1" w:sz="1"/>
            </w:tcBorders>
          </w:tcPr>
          <w:p>
            <w:pPr>
              <w:jc w:val="center"/>
            </w:pPr>
            <w:r>
              <w:t xml:space="preserve">9/10</w:t>
            </w:r>
          </w:p>
        </w:tc>
        <w:tc>
          <w:tcPr>
            <w:tcW w:type="dxa" w:w="2000"/>
            <w:tcBorders>
              <w:top w:val="single" w:color="CBD5E1" w:sz="1"/>
              <w:left w:val="single" w:color="CBD5E1" w:sz="1"/>
              <w:bottom w:val="single" w:color="CBD5E1" w:sz="1"/>
              <w:right w:val="single" w:color="CBD5E1" w:sz="1"/>
            </w:tcBorders>
          </w:tcPr>
          <w:p>
            <w:pPr>
              <w:jc w:val="center"/>
            </w:pPr>
            <w:r>
              <w:t xml:space="preserve">8/10</w:t>
            </w:r>
          </w:p>
        </w:tc>
      </w:tr>
      <w:tr>
        <w:tc>
          <w:tcPr>
            <w:tcW w:type="dxa" w:w="2500"/>
            <w:tcBorders>
              <w:top w:val="single" w:color="CBD5E1" w:sz="1"/>
              <w:left w:val="single" w:color="CBD5E1" w:sz="1"/>
              <w:bottom w:val="single" w:color="CBD5E1" w:sz="1"/>
              <w:right w:val="single" w:color="CBD5E1" w:sz="1"/>
            </w:tcBorders>
          </w:tcPr>
          <w:p>
            <w:pPr>
              <w:jc w:val="left"/>
            </w:pPr>
            <w:r>
              <w:t xml:space="preserve">CS Professor</w:t>
            </w:r>
          </w:p>
        </w:tc>
        <w:tc>
          <w:tcPr>
            <w:tcW w:type="dxa" w:w="2500"/>
            <w:tcBorders>
              <w:top w:val="single" w:color="CBD5E1" w:sz="1"/>
              <w:left w:val="single" w:color="CBD5E1" w:sz="1"/>
              <w:bottom w:val="single" w:color="CBD5E1" w:sz="1"/>
              <w:right w:val="single" w:color="CBD5E1" w:sz="1"/>
            </w:tcBorders>
          </w:tcPr>
          <w:p>
            <w:pPr>
              <w:jc w:val="left"/>
            </w:pPr>
            <w:r>
              <w:t xml:space="preserve">Ledger-Origin-Geometry</w:t>
            </w:r>
          </w:p>
        </w:tc>
        <w:tc>
          <w:tcPr>
            <w:tcW w:type="dxa" w:w="2000"/>
            <w:tcBorders>
              <w:top w:val="single" w:color="CBD5E1" w:sz="1"/>
              <w:left w:val="single" w:color="CBD5E1" w:sz="1"/>
              <w:bottom w:val="single" w:color="CBD5E1" w:sz="1"/>
              <w:right w:val="single" w:color="CBD5E1" w:sz="1"/>
            </w:tcBorders>
          </w:tcPr>
          <w:p>
            <w:pPr>
              <w:jc w:val="center"/>
            </w:pPr>
            <w:r>
              <w:t xml:space="preserve">10/10</w:t>
            </w:r>
          </w:p>
        </w:tc>
        <w:tc>
          <w:tcPr>
            <w:tcW w:type="dxa" w:w="2000"/>
            <w:tcBorders>
              <w:top w:val="single" w:color="CBD5E1" w:sz="1"/>
              <w:left w:val="single" w:color="CBD5E1" w:sz="1"/>
              <w:bottom w:val="single" w:color="CBD5E1" w:sz="1"/>
              <w:right w:val="single" w:color="CBD5E1" w:sz="1"/>
            </w:tcBorders>
          </w:tcPr>
          <w:p>
            <w:pPr>
              <w:jc w:val="center"/>
            </w:pPr>
            <w:r>
              <w:t xml:space="preserve">9/10</w:t>
            </w:r>
          </w:p>
        </w:tc>
      </w:tr>
    </w:tbl>
    <w:p>
      <w:pPr>
        <w:spacing w:after="200" w:before="100"/>
        <w:jc w:val="center"/>
      </w:pPr>
      <w:r>
        <w:rPr>
          <w:i/>
          <w:iCs/>
          <w:color w:val="64748B"/>
          <w:sz w:val="20"/>
          <w:szCs w:val="20"/>
        </w:rPr>
        <w:t xml:space="preserve">Table 1: Persona Simulation Results Summary</w:t>
      </w:r>
    </w:p>
    <w:p>
      <w:pPr>
        <w:pStyle w:val="Heading1"/>
      </w:pPr>
      <w:r>
        <w:t xml:space="preserve">4. Aggregate Analysis</w:t>
      </w:r>
    </w:p>
    <w:p>
      <w:pPr>
        <w:pStyle w:val="Heading2"/>
      </w:pPr>
      <w:r>
        <w:t xml:space="preserve">4.1 Score Distribution</w:t>
      </w:r>
    </w:p>
    <w:p>
      <w:pPr>
        <w:spacing w:after="200"/>
      </w:pPr>
      <w:r>
        <w:rPr>
          <w:color w:val="1E293B"/>
        </w:rPr>
        <w:t xml:space="preserve">The aggregate scores reveal a clear pattern. Ledger-Origin-Geometry achieved the highest total score of 87 points with an average of 8.70/10, driven primarily by technical personas who valued its precision and teachable components. Logic-of-Geometry achieved 70 points with an average of 8.75/10, showing remarkable consistency across non-technical personas who appreciated its intuitive nature.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3500"/>
        <w:gridCol w:w="2500"/>
        <w:gridCol w:w="2500"/>
      </w:tblGrid>
      <w:tr>
        <w:trPr>
          <w:tblHeader/>
        </w:trPr>
        <w:tc>
          <w:tcPr>
            <w:tcW w:type="dxa" w:w="3500"/>
            <w:tcBorders>
              <w:top w:val="single" w:color="CBD5E1" w:sz="1"/>
              <w:left w:val="single" w:color="CBD5E1" w:sz="1"/>
              <w:bottom w:val="single" w:color="CBD5E1" w:sz="1"/>
              <w:right w:val="single" w:color="CBD5E1" w:sz="1"/>
            </w:tcBorders>
            <w:shd w:fill="F8FAFC" w:val="clear"/>
          </w:tcPr>
          <w:p>
            <w:pPr>
              <w:jc w:val="center"/>
            </w:pPr>
            <w:r>
              <w:rPr>
                <w:b/>
                <w:bCs/>
              </w:rPr>
              <w:t xml:space="preserve">Expansion</w:t>
            </w:r>
          </w:p>
        </w:tc>
        <w:tc>
          <w:tcPr>
            <w:tcW w:type="dxa" w:w="2500"/>
            <w:tcBorders>
              <w:top w:val="single" w:color="CBD5E1" w:sz="1"/>
              <w:left w:val="single" w:color="CBD5E1" w:sz="1"/>
              <w:bottom w:val="single" w:color="CBD5E1" w:sz="1"/>
              <w:right w:val="single" w:color="CBD5E1" w:sz="1"/>
            </w:tcBorders>
            <w:shd w:fill="F8FAFC" w:val="clear"/>
          </w:tcPr>
          <w:p>
            <w:pPr>
              <w:jc w:val="center"/>
            </w:pPr>
            <w:r>
              <w:rPr>
                <w:b/>
                <w:bCs/>
              </w:rPr>
              <w:t xml:space="preserve">Total Score</w:t>
            </w:r>
          </w:p>
        </w:tc>
        <w:tc>
          <w:tcPr>
            <w:tcW w:type="dxa" w:w="2500"/>
            <w:tcBorders>
              <w:top w:val="single" w:color="CBD5E1" w:sz="1"/>
              <w:left w:val="single" w:color="CBD5E1" w:sz="1"/>
              <w:bottom w:val="single" w:color="CBD5E1" w:sz="1"/>
              <w:right w:val="single" w:color="CBD5E1" w:sz="1"/>
            </w:tcBorders>
            <w:shd w:fill="F8FAFC" w:val="clear"/>
          </w:tcPr>
          <w:p>
            <w:pPr>
              <w:jc w:val="center"/>
            </w:pPr>
            <w:r>
              <w:rPr>
                <w:b/>
                <w:bCs/>
              </w:rPr>
              <w:t xml:space="preserve">Average</w:t>
            </w:r>
          </w:p>
        </w:tc>
      </w:tr>
      <w:tr>
        <w:tc>
          <w:tcPr>
            <w:tcW w:type="dxa" w:w="3500"/>
            <w:tcBorders>
              <w:top w:val="single" w:color="CBD5E1" w:sz="1"/>
              <w:left w:val="single" w:color="CBD5E1" w:sz="1"/>
              <w:bottom w:val="single" w:color="CBD5E1" w:sz="1"/>
              <w:right w:val="single" w:color="CBD5E1" w:sz="1"/>
            </w:tcBorders>
          </w:tcPr>
          <w:p>
            <w:r>
              <w:t xml:space="preserve">Ledger-Origin-Geometry</w:t>
            </w:r>
          </w:p>
        </w:tc>
        <w:tc>
          <w:tcPr>
            <w:tcW w:type="dxa" w:w="2500"/>
            <w:tcBorders>
              <w:top w:val="single" w:color="CBD5E1" w:sz="1"/>
              <w:left w:val="single" w:color="CBD5E1" w:sz="1"/>
              <w:bottom w:val="single" w:color="CBD5E1" w:sz="1"/>
              <w:right w:val="single" w:color="CBD5E1" w:sz="1"/>
            </w:tcBorders>
          </w:tcPr>
          <w:p>
            <w:pPr>
              <w:jc w:val="center"/>
            </w:pPr>
            <w:r>
              <w:t xml:space="preserve">87</w:t>
            </w:r>
          </w:p>
        </w:tc>
        <w:tc>
          <w:tcPr>
            <w:tcW w:type="dxa" w:w="2500"/>
            <w:tcBorders>
              <w:top w:val="single" w:color="CBD5E1" w:sz="1"/>
              <w:left w:val="single" w:color="CBD5E1" w:sz="1"/>
              <w:bottom w:val="single" w:color="CBD5E1" w:sz="1"/>
              <w:right w:val="single" w:color="CBD5E1" w:sz="1"/>
            </w:tcBorders>
          </w:tcPr>
          <w:p>
            <w:pPr>
              <w:jc w:val="center"/>
            </w:pPr>
            <w:r>
              <w:t xml:space="preserve">8.70/10</w:t>
            </w:r>
          </w:p>
        </w:tc>
      </w:tr>
      <w:tr>
        <w:tc>
          <w:tcPr>
            <w:tcW w:type="dxa" w:w="3500"/>
            <w:tcBorders>
              <w:top w:val="single" w:color="CBD5E1" w:sz="1"/>
              <w:left w:val="single" w:color="CBD5E1" w:sz="1"/>
              <w:bottom w:val="single" w:color="CBD5E1" w:sz="1"/>
              <w:right w:val="single" w:color="CBD5E1" w:sz="1"/>
            </w:tcBorders>
          </w:tcPr>
          <w:p>
            <w:r>
              <w:t xml:space="preserve">Logic-of-Geometry</w:t>
            </w:r>
          </w:p>
        </w:tc>
        <w:tc>
          <w:tcPr>
            <w:tcW w:type="dxa" w:w="2500"/>
            <w:tcBorders>
              <w:top w:val="single" w:color="CBD5E1" w:sz="1"/>
              <w:left w:val="single" w:color="CBD5E1" w:sz="1"/>
              <w:bottom w:val="single" w:color="CBD5E1" w:sz="1"/>
              <w:right w:val="single" w:color="CBD5E1" w:sz="1"/>
            </w:tcBorders>
          </w:tcPr>
          <w:p>
            <w:pPr>
              <w:jc w:val="center"/>
            </w:pPr>
            <w:r>
              <w:t xml:space="preserve">70</w:t>
            </w:r>
          </w:p>
        </w:tc>
        <w:tc>
          <w:tcPr>
            <w:tcW w:type="dxa" w:w="2500"/>
            <w:tcBorders>
              <w:top w:val="single" w:color="CBD5E1" w:sz="1"/>
              <w:left w:val="single" w:color="CBD5E1" w:sz="1"/>
              <w:bottom w:val="single" w:color="CBD5E1" w:sz="1"/>
              <w:right w:val="single" w:color="CBD5E1" w:sz="1"/>
            </w:tcBorders>
          </w:tcPr>
          <w:p>
            <w:pPr>
              <w:jc w:val="center"/>
            </w:pPr>
            <w:r>
              <w:t xml:space="preserve">8.75/10</w:t>
            </w:r>
          </w:p>
        </w:tc>
      </w:tr>
      <w:tr>
        <w:tc>
          <w:tcPr>
            <w:tcW w:type="dxa" w:w="3500"/>
            <w:tcBorders>
              <w:top w:val="single" w:color="CBD5E1" w:sz="1"/>
              <w:left w:val="single" w:color="CBD5E1" w:sz="1"/>
              <w:bottom w:val="single" w:color="CBD5E1" w:sz="1"/>
              <w:right w:val="single" w:color="CBD5E1" w:sz="1"/>
            </w:tcBorders>
          </w:tcPr>
          <w:p>
            <w:r>
              <w:t xml:space="preserve">Logistics-Organized-Geocentrically</w:t>
            </w:r>
          </w:p>
        </w:tc>
        <w:tc>
          <w:tcPr>
            <w:tcW w:type="dxa" w:w="2500"/>
            <w:tcBorders>
              <w:top w:val="single" w:color="CBD5E1" w:sz="1"/>
              <w:left w:val="single" w:color="CBD5E1" w:sz="1"/>
              <w:bottom w:val="single" w:color="CBD5E1" w:sz="1"/>
              <w:right w:val="single" w:color="CBD5E1" w:sz="1"/>
            </w:tcBorders>
          </w:tcPr>
          <w:p>
            <w:pPr>
              <w:jc w:val="center"/>
            </w:pPr>
            <w:r>
              <w:t xml:space="preserve">11</w:t>
            </w:r>
          </w:p>
        </w:tc>
        <w:tc>
          <w:tcPr>
            <w:tcW w:type="dxa" w:w="2500"/>
            <w:tcBorders>
              <w:top w:val="single" w:color="CBD5E1" w:sz="1"/>
              <w:left w:val="single" w:color="CBD5E1" w:sz="1"/>
              <w:bottom w:val="single" w:color="CBD5E1" w:sz="1"/>
              <w:right w:val="single" w:color="CBD5E1" w:sz="1"/>
            </w:tcBorders>
          </w:tcPr>
          <w:p>
            <w:pPr>
              <w:jc w:val="center"/>
            </w:pPr>
            <w:r>
              <w:t xml:space="preserve">5.50/10</w:t>
            </w:r>
          </w:p>
        </w:tc>
      </w:tr>
    </w:tbl>
    <w:p>
      <w:pPr>
        <w:spacing w:after="200" w:before="100"/>
        <w:jc w:val="center"/>
      </w:pPr>
      <w:r>
        <w:rPr>
          <w:i/>
          <w:iCs/>
          <w:color w:val="64748B"/>
          <w:sz w:val="20"/>
          <w:szCs w:val="20"/>
        </w:rPr>
        <w:t xml:space="preserve">Table 2: Aggregate Score Summary</w:t>
      </w:r>
    </w:p>
    <w:p>
      <w:pPr>
        <w:pStyle w:val="Heading1"/>
      </w:pPr>
      <w:r>
        <w:t xml:space="preserve">5. Implementation Guidelines</w:t>
      </w:r>
    </w:p>
    <w:p>
      <w:pPr>
        <w:pStyle w:val="Heading2"/>
      </w:pPr>
      <w:r>
        <w:t xml:space="preserve">5.1 Code Naming Conventions</w:t>
      </w:r>
    </w:p>
    <w:p>
      <w:pPr>
        <w:spacing w:after="200"/>
      </w:pPr>
      <w:r>
        <w:rPr>
          <w:color w:val="1E293B"/>
        </w:rPr>
        <w:t xml:space="preserve">In code, the naming is unambiguous: LOGTensor and LOGTransformer use the technical expansion. No expansion is typically shown in code because the conceptual understanding is built through documentation and comments. The acronym LOG is stable across both expansions, ensuring that code written today remains valid regardless of which expansion a developer mentally applies.</w:t>
      </w:r>
    </w:p>
    <w:p>
      <w:pPr>
        <w:pStyle w:val="ListParagraph"/>
        <w:numPr>
          <w:ilvl w:val="0"/>
          <w:numId w:val="2"/>
        </w:numPr>
      </w:pPr>
      <w:r>
        <w:rPr>
          <w:rFonts w:ascii="Courier New" w:cs="Courier New" w:eastAsia="Courier New" w:hAnsi="Courier New"/>
          <w:b/>
          <w:bCs/>
        </w:rPr>
        <w:t xml:space="preserve">LOGTensor: </w:t>
      </w:r>
      <w:r>
        <w:t xml:space="preserve">The data structure that stores the ledger of origin-relative geometric operations</w:t>
      </w:r>
    </w:p>
    <w:p>
      <w:pPr>
        <w:pStyle w:val="ListParagraph"/>
        <w:numPr>
          <w:ilvl w:val="0"/>
          <w:numId w:val="2"/>
        </w:numPr>
      </w:pPr>
      <w:r>
        <w:rPr>
          <w:rFonts w:ascii="Courier New" w:cs="Courier New" w:eastAsia="Courier New" w:hAnsi="Courier New"/>
          <w:b/>
          <w:bCs/>
        </w:rPr>
        <w:t xml:space="preserve">LOGTransformer: </w:t>
      </w:r>
      <w:r>
        <w:t xml:space="preserve">The computational engine that applies geometric logic with pre-calculations</w:t>
      </w:r>
    </w:p>
    <w:p>
      <w:pPr>
        <w:pStyle w:val="ListParagraph"/>
        <w:numPr>
          <w:ilvl w:val="0"/>
          <w:numId w:val="2"/>
        </w:numPr>
      </w:pPr>
      <w:r>
        <w:rPr>
          <w:rFonts w:ascii="Courier New" w:cs="Courier New" w:eastAsia="Courier New" w:hAnsi="Courier New"/>
          <w:b/>
          <w:bCs/>
        </w:rPr>
        <w:t xml:space="preserve">LOGAttention: </w:t>
      </w:r>
      <w:r>
        <w:t xml:space="preserve">The attention mechanism with origin-relative view partitioning</w:t>
      </w:r>
    </w:p>
    <w:p>
      <w:pPr>
        <w:pStyle w:val="ListParagraph"/>
        <w:numPr>
          <w:ilvl w:val="0"/>
          <w:numId w:val="2"/>
        </w:numPr>
        <w:spacing w:after="200"/>
      </w:pPr>
      <w:r>
        <w:rPr>
          <w:rFonts w:ascii="Courier New" w:cs="Courier New" w:eastAsia="Courier New" w:hAnsi="Courier New"/>
          <w:b/>
          <w:bCs/>
        </w:rPr>
        <w:t xml:space="preserve">GhostTile: </w:t>
      </w:r>
      <w:r>
        <w:t xml:space="preserve">Deterministic seed-programmed tile stored in the ledger</w:t>
      </w:r>
    </w:p>
    <w:p>
      <w:pPr>
        <w:pStyle w:val="Heading2"/>
      </w:pPr>
      <w:r>
        <w:t xml:space="preserve">5.2 Documentation Standards</w:t>
      </w:r>
    </w:p>
    <w:p>
      <w:pPr>
        <w:spacing w:after="200"/>
      </w:pPr>
      <w:r>
        <w:rPr>
          <w:color w:val="1E293B"/>
        </w:rPr>
        <w:t xml:space="preserve">All technical documentation must spell out the full expansion on first use, followed by the acronym in parentheses. Subsequent uses may employ the acronym alone. For documents that may reach public audiences, consider including a note that LOG can also be understood as "Logic of Geometry" for intuitive understanding.</w:t>
      </w:r>
    </w:p>
    <w:p>
      <w:pPr>
        <w:spacing w:after="200"/>
      </w:pPr>
      <w:r>
        <w:rPr>
          <w:i/>
          <w:iCs/>
        </w:rPr>
        <w:t xml:space="preserve">Example first-use format: </w:t>
      </w:r>
      <w:r>
        <w:rPr>
          <w:i/>
          <w:iCs/>
        </w:rPr>
        <w:t xml:space="preserve">"The Ledger-Origin-Geometry (LOG) Framework provides a novel approach to tensor operations by anchoring all computations to a reference origin."</w:t>
      </w:r>
    </w:p>
    <w:p>
      <w:pPr>
        <w:pStyle w:val="Heading1"/>
      </w:pPr>
      <w:r>
        <w:t xml:space="preserve">6. Glossary of Key Terms</w:t>
      </w:r>
    </w:p>
    <w:p>
      <w:pPr>
        <w:spacing w:after="200"/>
      </w:pPr>
      <w:r>
        <w:rPr>
          <w:color w:val="1E293B"/>
        </w:rPr>
        <w:t xml:space="preserve">The following terms form the foundational vocabulary of the LOG Framework. Each term should be defined consistently across all documentation to maintain conceptual integrity and enable clear communication among team members and external stakeholders.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2500"/>
        <w:gridCol w:w="6500"/>
      </w:tblGrid>
      <w:tr>
        <w:trPr>
          <w:tblHeader/>
        </w:trPr>
        <w:tc>
          <w:tcPr>
            <w:tcW w:type="dxa" w:w="2500"/>
            <w:tcBorders>
              <w:top w:val="single" w:color="CBD5E1" w:sz="1"/>
              <w:left w:val="single" w:color="CBD5E1" w:sz="1"/>
              <w:bottom w:val="single" w:color="CBD5E1" w:sz="1"/>
              <w:right w:val="single" w:color="CBD5E1" w:sz="1"/>
            </w:tcBorders>
            <w:shd w:fill="F8FAFC" w:val="clear"/>
          </w:tcPr>
          <w:p>
            <w:pPr>
              <w:jc w:val="center"/>
            </w:pPr>
            <w:r>
              <w:rPr>
                <w:b/>
                <w:bCs/>
              </w:rPr>
              <w:t xml:space="preserve">Term</w:t>
            </w:r>
          </w:p>
        </w:tc>
        <w:tc>
          <w:tcPr>
            <w:tcW w:type="dxa" w:w="6500"/>
            <w:tcBorders>
              <w:top w:val="single" w:color="CBD5E1" w:sz="1"/>
              <w:left w:val="single" w:color="CBD5E1" w:sz="1"/>
              <w:bottom w:val="single" w:color="CBD5E1" w:sz="1"/>
              <w:right w:val="single" w:color="CBD5E1" w:sz="1"/>
            </w:tcBorders>
            <w:shd w:fill="F8FAFC" w:val="clear"/>
          </w:tcPr>
          <w:p>
            <w:pPr>
              <w:jc w:val="center"/>
            </w:pPr>
            <w:r>
              <w:rPr>
                <w:b/>
                <w:bCs/>
              </w:rPr>
              <w:t xml:space="preserve">Definition</w:t>
            </w:r>
          </w:p>
        </w:tc>
      </w:tr>
      <w:tr>
        <w:tc>
          <w:tcPr>
            <w:tcW w:type="dxa" w:w="2500"/>
            <w:tcBorders>
              <w:top w:val="single" w:color="CBD5E1" w:sz="1"/>
              <w:left w:val="single" w:color="CBD5E1" w:sz="1"/>
              <w:bottom w:val="single" w:color="CBD5E1" w:sz="1"/>
              <w:right w:val="single" w:color="CBD5E1" w:sz="1"/>
            </w:tcBorders>
          </w:tcPr>
          <w:p>
            <w:r>
              <w:rPr>
                <w:b/>
                <w:bCs/>
              </w:rPr>
              <w:t xml:space="preserve">Ledger</w:t>
            </w:r>
          </w:p>
        </w:tc>
        <w:tc>
          <w:tcPr>
            <w:tcW w:type="dxa" w:w="6500"/>
            <w:tcBorders>
              <w:top w:val="single" w:color="CBD5E1" w:sz="1"/>
              <w:left w:val="single" w:color="CBD5E1" w:sz="1"/>
              <w:bottom w:val="single" w:color="CBD5E1" w:sz="1"/>
              <w:right w:val="single" w:color="CBD5E1" w:sz="1"/>
            </w:tcBorders>
          </w:tcPr>
          <w:p>
            <w:r>
              <w:t xml:space="preserve">The seed-deterministic operation record. Every operation can be replayed from its seed, enabling reproducibility and auditability.</w:t>
            </w:r>
          </w:p>
        </w:tc>
      </w:tr>
      <w:tr>
        <w:tc>
          <w:tcPr>
            <w:tcW w:type="dxa" w:w="2500"/>
            <w:tcBorders>
              <w:top w:val="single" w:color="CBD5E1" w:sz="1"/>
              <w:left w:val="single" w:color="CBD5E1" w:sz="1"/>
              <w:bottom w:val="single" w:color="CBD5E1" w:sz="1"/>
              <w:right w:val="single" w:color="CBD5E1" w:sz="1"/>
            </w:tcBorders>
          </w:tcPr>
          <w:p>
            <w:r>
              <w:rPr>
                <w:b/>
                <w:bCs/>
              </w:rPr>
              <w:t xml:space="preserve">Origin</w:t>
            </w:r>
          </w:p>
        </w:tc>
        <w:tc>
          <w:tcPr>
            <w:tcW w:type="dxa" w:w="6500"/>
            <w:tcBorders>
              <w:top w:val="single" w:color="CBD5E1" w:sz="1"/>
              <w:left w:val="single" w:color="CBD5E1" w:sz="1"/>
              <w:bottom w:val="single" w:color="CBD5E1" w:sz="1"/>
              <w:right w:val="single" w:color="CBD5E1" w:sz="1"/>
            </w:tcBorders>
          </w:tcPr>
          <w:p>
            <w:r>
              <w:t xml:space="preserve">The reference frame anchor. All positions are measured relative to this point. ORIGIN = SELF = REFERENCE FRAME.</w:t>
            </w:r>
          </w:p>
        </w:tc>
      </w:tr>
      <w:tr>
        <w:tc>
          <w:tcPr>
            <w:tcW w:type="dxa" w:w="2500"/>
            <w:tcBorders>
              <w:top w:val="single" w:color="CBD5E1" w:sz="1"/>
              <w:left w:val="single" w:color="CBD5E1" w:sz="1"/>
              <w:bottom w:val="single" w:color="CBD5E1" w:sz="1"/>
              <w:right w:val="single" w:color="CBD5E1" w:sz="1"/>
            </w:tcBorders>
          </w:tcPr>
          <w:p>
            <w:r>
              <w:rPr>
                <w:b/>
                <w:bCs/>
              </w:rPr>
              <w:t xml:space="preserve">Geometry</w:t>
            </w:r>
          </w:p>
        </w:tc>
        <w:tc>
          <w:tcPr>
            <w:tcW w:type="dxa" w:w="6500"/>
            <w:tcBorders>
              <w:top w:val="single" w:color="CBD5E1" w:sz="1"/>
              <w:left w:val="single" w:color="CBD5E1" w:sz="1"/>
              <w:bottom w:val="single" w:color="CBD5E1" w:sz="1"/>
              <w:right w:val="single" w:color="CBD5E1" w:sz="1"/>
            </w:tcBorders>
          </w:tcPr>
          <w:p>
            <w:r>
              <w:t xml:space="preserve">The spatial computation domain including sectors, travel planes, and base-12/360 architecture.</w:t>
            </w:r>
          </w:p>
        </w:tc>
      </w:tr>
      <w:tr>
        <w:tc>
          <w:tcPr>
            <w:tcW w:type="dxa" w:w="2500"/>
            <w:tcBorders>
              <w:top w:val="single" w:color="CBD5E1" w:sz="1"/>
              <w:left w:val="single" w:color="CBD5E1" w:sz="1"/>
              <w:bottom w:val="single" w:color="CBD5E1" w:sz="1"/>
              <w:right w:val="single" w:color="CBD5E1" w:sz="1"/>
            </w:tcBorders>
          </w:tcPr>
          <w:p>
            <w:r>
              <w:rPr>
                <w:b/>
                <w:bCs/>
              </w:rPr>
              <w:t xml:space="preserve">Ghost Tile</w:t>
            </w:r>
          </w:p>
        </w:tc>
        <w:tc>
          <w:tcPr>
            <w:tcW w:type="dxa" w:w="6500"/>
            <w:tcBorders>
              <w:top w:val="single" w:color="CBD5E1" w:sz="1"/>
              <w:left w:val="single" w:color="CBD5E1" w:sz="1"/>
              <w:bottom w:val="single" w:color="CBD5E1" w:sz="1"/>
              <w:right w:val="single" w:color="CBD5E1" w:sz="1"/>
            </w:tcBorders>
          </w:tcPr>
          <w:p>
            <w:r>
              <w:t xml:space="preserve">A deterministic program encoded as a seed. Enables massive memory reduction and reproducibility.</w:t>
            </w:r>
          </w:p>
        </w:tc>
      </w:tr>
      <w:tr>
        <w:tc>
          <w:tcPr>
            <w:tcW w:type="dxa" w:w="2500"/>
            <w:tcBorders>
              <w:top w:val="single" w:color="CBD5E1" w:sz="1"/>
              <w:left w:val="single" w:color="CBD5E1" w:sz="1"/>
              <w:bottom w:val="single" w:color="CBD5E1" w:sz="1"/>
              <w:right w:val="single" w:color="CBD5E1" w:sz="1"/>
            </w:tcBorders>
          </w:tcPr>
          <w:p>
            <w:r>
              <w:rPr>
                <w:b/>
                <w:bCs/>
              </w:rPr>
              <w:t xml:space="preserve">Sector</w:t>
            </w:r>
          </w:p>
        </w:tc>
        <w:tc>
          <w:tcPr>
            <w:tcW w:type="dxa" w:w="6500"/>
            <w:tcBorders>
              <w:top w:val="single" w:color="CBD5E1" w:sz="1"/>
              <w:left w:val="single" w:color="CBD5E1" w:sz="1"/>
              <w:bottom w:val="single" w:color="CBD5E1" w:sz="1"/>
              <w:right w:val="single" w:color="CBD5E1" w:sz="1"/>
            </w:tcBorders>
          </w:tcPr>
          <w:p>
            <w:r>
              <w:t xml:space="preserve">A base-12 or base-360 division of angular space around the origin.</w:t>
            </w:r>
          </w:p>
        </w:tc>
      </w:tr>
      <w:tr>
        <w:tc>
          <w:tcPr>
            <w:tcW w:type="dxa" w:w="2500"/>
            <w:tcBorders>
              <w:top w:val="single" w:color="CBD5E1" w:sz="1"/>
              <w:left w:val="single" w:color="CBD5E1" w:sz="1"/>
              <w:bottom w:val="single" w:color="CBD5E1" w:sz="1"/>
              <w:right w:val="single" w:color="CBD5E1" w:sz="1"/>
            </w:tcBorders>
          </w:tcPr>
          <w:p>
            <w:r>
              <w:rPr>
                <w:b/>
                <w:bCs/>
              </w:rPr>
              <w:t xml:space="preserve">Travel Plane</w:t>
            </w:r>
          </w:p>
        </w:tc>
        <w:tc>
          <w:tcPr>
            <w:tcW w:type="dxa" w:w="6500"/>
            <w:tcBorders>
              <w:top w:val="single" w:color="CBD5E1" w:sz="1"/>
              <w:left w:val="single" w:color="CBD5E1" w:sz="1"/>
              <w:bottom w:val="single" w:color="CBD5E1" w:sz="1"/>
              <w:right w:val="single" w:color="CBD5E1" w:sz="1"/>
            </w:tcBorders>
          </w:tcPr>
          <w:p>
            <w:r>
              <w:t xml:space="preserve">The plane of motion that partitions in-view from out-of-view attention.</w:t>
            </w:r>
          </w:p>
        </w:tc>
      </w:tr>
      <w:tr>
        <w:tc>
          <w:tcPr>
            <w:tcW w:type="dxa" w:w="2500"/>
            <w:tcBorders>
              <w:top w:val="single" w:color="CBD5E1" w:sz="1"/>
              <w:left w:val="single" w:color="CBD5E1" w:sz="1"/>
              <w:bottom w:val="single" w:color="CBD5E1" w:sz="1"/>
              <w:right w:val="single" w:color="CBD5E1" w:sz="1"/>
            </w:tcBorders>
          </w:tcPr>
          <w:p>
            <w:r>
              <w:rPr>
                <w:b/>
                <w:bCs/>
              </w:rPr>
              <w:t xml:space="preserve">View Frustum</w:t>
            </w:r>
          </w:p>
        </w:tc>
        <w:tc>
          <w:tcPr>
            <w:tcW w:type="dxa" w:w="6500"/>
            <w:tcBorders>
              <w:top w:val="single" w:color="CBD5E1" w:sz="1"/>
              <w:left w:val="single" w:color="CBD5E1" w:sz="1"/>
              <w:bottom w:val="single" w:color="CBD5E1" w:sz="1"/>
              <w:right w:val="single" w:color="CBD5E1" w:sz="1"/>
            </w:tcBorders>
          </w:tcPr>
          <w:p>
            <w:r>
              <w:t xml:space="preserve">The visible region from the origin at any moment.</w:t>
            </w:r>
          </w:p>
        </w:tc>
      </w:tr>
      <w:tr>
        <w:tc>
          <w:tcPr>
            <w:tcW w:type="dxa" w:w="2500"/>
            <w:tcBorders>
              <w:top w:val="single" w:color="CBD5E1" w:sz="1"/>
              <w:left w:val="single" w:color="CBD5E1" w:sz="1"/>
              <w:bottom w:val="single" w:color="CBD5E1" w:sz="1"/>
              <w:right w:val="single" w:color="CBD5E1" w:sz="1"/>
            </w:tcBorders>
          </w:tcPr>
          <w:p>
            <w:r>
              <w:rPr>
                <w:b/>
                <w:bCs/>
              </w:rPr>
              <w:t xml:space="preserve">LOGTensor</w:t>
            </w:r>
          </w:p>
        </w:tc>
        <w:tc>
          <w:tcPr>
            <w:tcW w:type="dxa" w:w="6500"/>
            <w:tcBorders>
              <w:top w:val="single" w:color="CBD5E1" w:sz="1"/>
              <w:left w:val="single" w:color="CBD5E1" w:sz="1"/>
              <w:bottom w:val="single" w:color="CBD5E1" w:sz="1"/>
              <w:right w:val="single" w:color="CBD5E1" w:sz="1"/>
            </w:tcBorders>
          </w:tcPr>
          <w:p>
            <w:r>
              <w:t xml:space="preserve">A tensor with embedded origin, frame, and sector structure.</w:t>
            </w:r>
          </w:p>
        </w:tc>
      </w:tr>
      <w:tr>
        <w:tc>
          <w:tcPr>
            <w:tcW w:type="dxa" w:w="2500"/>
            <w:tcBorders>
              <w:top w:val="single" w:color="CBD5E1" w:sz="1"/>
              <w:left w:val="single" w:color="CBD5E1" w:sz="1"/>
              <w:bottom w:val="single" w:color="CBD5E1" w:sz="1"/>
              <w:right w:val="single" w:color="CBD5E1" w:sz="1"/>
            </w:tcBorders>
          </w:tcPr>
          <w:p>
            <w:r>
              <w:rPr>
                <w:b/>
                <w:bCs/>
              </w:rPr>
              <w:t xml:space="preserve">LOGTransformer</w:t>
            </w:r>
          </w:p>
        </w:tc>
        <w:tc>
          <w:tcPr>
            <w:tcW w:type="dxa" w:w="6500"/>
            <w:tcBorders>
              <w:top w:val="single" w:color="CBD5E1" w:sz="1"/>
              <w:left w:val="single" w:color="CBD5E1" w:sz="1"/>
              <w:bottom w:val="single" w:color="CBD5E1" w:sz="1"/>
              <w:right w:val="single" w:color="CBD5E1" w:sz="1"/>
            </w:tcBorders>
          </w:tcPr>
          <w:p>
            <w:r>
              <w:t xml:space="preserve">A transformer architecture using LOG principles for geometric attention.</w:t>
            </w:r>
          </w:p>
        </w:tc>
      </w:tr>
    </w:tbl>
    <w:p>
      <w:pPr>
        <w:spacing w:after="200" w:before="100"/>
        <w:jc w:val="center"/>
      </w:pPr>
      <w:r>
        <w:rPr>
          <w:i/>
          <w:iCs/>
          <w:color w:val="64748B"/>
          <w:sz w:val="20"/>
          <w:szCs w:val="20"/>
        </w:rPr>
        <w:t xml:space="preserve">Table 3: LOG Framework Glossary</w:t>
      </w:r>
    </w:p>
    <w:p>
      <w:pPr>
        <w:pStyle w:val="Heading1"/>
      </w:pPr>
      <w:r>
        <w:t xml:space="preserve">7. Future Development Roadmap</w:t>
      </w:r>
    </w:p>
    <w:p>
      <w:pPr>
        <w:spacing w:after="200"/>
      </w:pPr>
      <w:r>
        <w:rPr>
          <w:color w:val="1E293B"/>
        </w:rPr>
        <w:t xml:space="preserve">The LOG Framework is positioned for significant expansion in coming development cycles. The naming schema established in this document provides the conceptual foundation for these advances, ensuring that new features integrate coherently with the existing architecture while maintaining clear communication pathways for both technical and non-technical stakeholders.</w:t>
      </w:r>
    </w:p>
    <w:p>
      <w:pPr>
        <w:pStyle w:val="Heading2"/>
      </w:pPr>
      <w:r>
        <w:t xml:space="preserve">7.1 Planned Enhancements</w:t>
      </w:r>
    </w:p>
    <w:p>
      <w:pPr>
        <w:pStyle w:val="ListParagraph"/>
        <w:numPr>
          <w:ilvl w:val="0"/>
          <w:numId w:val="3"/>
        </w:numPr>
      </w:pPr>
      <w:r>
        <w:rPr>
          <w:b/>
          <w:bCs/>
        </w:rPr>
        <w:t xml:space="preserve">Holographic Mathematics Integration: </w:t>
      </w:r>
      <w:r>
        <w:t xml:space="preserve">Incorporating AdS/CFT correspondence and Ryu-Takayanagi formula for understanding tensor geometry at scale.</w:t>
      </w:r>
    </w:p>
    <w:p>
      <w:pPr>
        <w:pStyle w:val="ListParagraph"/>
        <w:numPr>
          <w:ilvl w:val="0"/>
          <w:numId w:val="3"/>
        </w:numPr>
      </w:pPr>
      <w:r>
        <w:rPr>
          <w:b/>
          <w:bCs/>
        </w:rPr>
        <w:t xml:space="preserve">Visualizable Tensor Planes: </w:t>
      </w:r>
      <w:r>
        <w:t xml:space="preserve">Cross-section visualization system enabling engineers to rotate through tensor planes with NLP-assisted interpretation.</w:t>
      </w:r>
    </w:p>
    <w:p>
      <w:pPr>
        <w:pStyle w:val="ListParagraph"/>
        <w:numPr>
          <w:ilvl w:val="0"/>
          <w:numId w:val="3"/>
        </w:numPr>
      </w:pPr>
      <w:r>
        <w:rPr>
          <w:b/>
          <w:bCs/>
        </w:rPr>
        <w:t xml:space="preserve">Multi-Agent A2A Communication: </w:t>
      </w:r>
      <w:r>
        <w:t xml:space="preserve">Inter-model communication in multiple languages with tensor-level origin tracking.</w:t>
      </w:r>
    </w:p>
    <w:p>
      <w:pPr>
        <w:pStyle w:val="ListParagraph"/>
        <w:numPr>
          <w:ilvl w:val="0"/>
          <w:numId w:val="3"/>
        </w:numPr>
      </w:pPr>
      <w:r>
        <w:rPr>
          <w:b/>
          <w:bCs/>
        </w:rPr>
        <w:t xml:space="preserve">Aperiodic Tiling Research: </w:t>
      </w:r>
      <w:r>
        <w:t xml:space="preserve">Roger Penrose-inspired non-repeating patterns for novel tile decomposition strategies.</w:t>
      </w:r>
    </w:p>
    <w:p>
      <w:pPr>
        <w:pStyle w:val="ListParagraph"/>
        <w:numPr>
          <w:ilvl w:val="0"/>
          <w:numId w:val="3"/>
        </w:numPr>
        <w:spacing w:after="200"/>
      </w:pPr>
      <w:r>
        <w:rPr>
          <w:b/>
          <w:bCs/>
        </w:rPr>
        <w:t xml:space="preserve">KV-Cache Sharing Protocols: </w:t>
      </w:r>
      <w:r>
        <w:t xml:space="preserve">Optimized context sharing between separate API calls versus shared resource architectures.</w:t>
      </w:r>
    </w:p>
    <w:p>
      <w:pPr>
        <w:pStyle w:val="Heading1"/>
      </w:pPr>
      <w:r>
        <w:t xml:space="preserve">8. Conclusion</w:t>
      </w:r>
    </w:p>
    <w:p>
      <w:pPr>
        <w:spacing w:after="200"/>
      </w:pPr>
      <w:r>
        <w:rPr>
          <w:color w:val="1E293B"/>
        </w:rPr>
        <w:t xml:space="preserve">The multi-context naming strategy established in this document represents a mature approach to technical communication. By acknowledging that different audiences require different levels of abstraction, we enable broader adoption while maintaining technical precision where it matters most. The LOG Framework, whether understood as Ledger-Origin-Geometry or Logic-of-Geometry, provides a unified conceptual foundation for next-generation geometric AI systems.</w:t>
      </w:r>
    </w:p>
    <w:p>
      <w:pPr>
        <w:spacing w:after="200"/>
      </w:pPr>
      <w:r>
        <w:rPr>
          <w:color w:val="1E293B"/>
        </w:rPr>
        <w:t xml:space="preserve">The core principle ORIGIN = SELF = REFERENCE FRAME remains the unifying truth across all interpretations. Every tensor operation, every ghost tile, every sector division ultimately serves this principle: that computation should be anchored, relative, and geometrically meaningful.</w:t>
      </w:r>
    </w:p>
    <w:p>
      <w:pPr>
        <w:spacing w:before="400"/>
        <w:jc w:val="center"/>
      </w:pPr>
      <w:r>
        <w:rPr>
          <w:i/>
          <w:iCs/>
          <w:color w:val="64748B"/>
          <w:sz w:val="22"/>
          <w:szCs w:val="22"/>
        </w:rPr>
        <w:t xml:space="preserve">LOG Framework: The Logic of Geometry, captured in a Ledger anchored at the Origin.</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20"/>
        <w:szCs w:val="20"/>
      </w:rPr>
      <w:t xml:space="preserve">LOG Framework: Official Naming Schema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2026-03-09T18:51:43.051Z</dcterms:created>
  <dcterms:modified xsi:type="dcterms:W3CDTF">2026-03-09T18:51:43.051Z</dcterms:modified>
</cp:coreProperties>
</file>

<file path=docProps/custom.xml><?xml version="1.0" encoding="utf-8"?>
<Properties xmlns="http://schemas.openxmlformats.org/officeDocument/2006/custom-properties" xmlns:vt="http://schemas.openxmlformats.org/officeDocument/2006/docPropsVTypes"/>
</file>