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Developer Glue Instructions</w:t>
      </w:r>
    </w:p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color w:val="64748B"/>
          <w:sz w:val="24"/>
          <w:szCs w:val="24"/>
        </w:rPr>
        <w:t xml:space="preserve">How to Combine LOG-Based Components into Custom Configurations</w:t>
      </w:r>
    </w:p>
    <w:p>
      <w:pPr>
        <w:pStyle w:val="Heading1"/>
      </w:pPr>
      <w:r>
        <w:t xml:space="preserve">1. Introduction</w:t>
      </w:r>
    </w:p>
    <w:p>
      <w:pPr>
        <w:spacing w:after="12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This guide provides comprehensive instructions for developers who want to combine different LOG-based components into custom configurations. The POLLN ecosystem is designed with modularity as a core principle: each component can function independently while exposing standardized interfaces for integration with other LOG-based systems.</w:t>
      </w:r>
    </w:p>
    <w:p>
      <w:pPr>
        <w:spacing w:after="20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Whether you need a minimal tile generation system or a full multi-agent coordination platform, this guide shows you how to select, configure, and glue components together for your specific use case.</w:t>
      </w:r>
    </w:p>
    <w:p>
      <w:pPr>
        <w:pStyle w:val="Heading1"/>
      </w:pPr>
      <w:r>
        <w:t xml:space="preserve">2. Core Concepts</w:t>
      </w:r>
    </w:p>
    <w:p>
      <w:pPr>
        <w:pStyle w:val="Heading2"/>
      </w:pPr>
      <w:r>
        <w:t xml:space="preserve">2.1 The LOG Protocol</w:t>
      </w:r>
    </w:p>
    <w:p>
      <w:pPr>
        <w:spacing w:after="12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All LOG-based components communicate through a unified protocol layer called the LOG Protocol. This protocol defines standardized interfaces for tensor operations, seed management, and inter-component communication. The protocol ensures that any LOG-compliant component can interoperate with any other LOG-compliant component without custom adapters.</w:t>
      </w:r>
    </w:p>
    <w:p>
      <w:pPr>
        <w:spacing w:after="200" w:before="120" w:line="312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Key LOG Protocol principles: ORIGIN = SELF = REFERENCE FRAME. Every tensor operation is defined relative to an origin, enabling O(1) sector operations and efficient seed-based reproducibility.</w:t>
      </w:r>
    </w:p>
    <w:p>
      <w:pPr>
        <w:pStyle w:val="Heading2"/>
      </w:pPr>
      <w:r>
        <w:t xml:space="preserve">2.2 Component Interfaces</w:t>
      </w:r>
    </w:p>
    <w:p>
      <w:pPr>
        <w:spacing w:after="20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Each component exposes specific input and output interfaces that define how it can be connected to other components. Understanding these interfaces is essential for building custom configurations.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400"/>
        <w:gridCol w:w="2400"/>
        <w:gridCol w:w="26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Input Interface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Output Interface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LOG Protocol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ghost-tiles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SeedConfig, TileRequest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GhostTile, TileResult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LOG-Seed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seed-theory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BitString, PredictionQuery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GradientVector, Prediction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LOG-Predict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log-tensor-core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TensorConfig, Operation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LOGTensor, Computation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LOG-Core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a2a-communication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AgentMessage, Channel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A2APackage, Receipt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LOG-Comm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tensor-plane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VisualConfig, TensorData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RenderOutput, SVG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LOG-Viz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stability-sandwich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LayerConfig, Bounds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StableLayer, Gradient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LOG-Stable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sector-math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AngleConfig, SectorDef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SectorResult, Lookup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LOG-Sector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1: Component Interface Specification</w:t>
      </w:r>
    </w:p>
    <w:p>
      <w:pPr>
        <w:pStyle w:val="Heading1"/>
      </w:pPr>
      <w:r>
        <w:t xml:space="preserve">3. Configuration System</w:t>
      </w:r>
    </w:p>
    <w:p>
      <w:pPr>
        <w:pStyle w:val="Heading2"/>
      </w:pPr>
      <w:r>
        <w:t xml:space="preserve">3.1 Environment Variables</w:t>
      </w:r>
    </w:p>
    <w:p>
      <w:pPr>
        <w:spacing w:after="20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LOG-based components use environment variables for configuration. The following matrix shows the configuration options for each component: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1800"/>
        <w:gridCol w:w="1800"/>
        <w:gridCol w:w="1800"/>
        <w:gridCol w:w="16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Configuration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ghost-tiles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seed-theory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a2a-comm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tensor-plane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LOG_ORIGIN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LOG_BASE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12/60/360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2 (binary)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LOG_PRECISION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full/half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LOG_SEED_LENGTH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64 bits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LOG_COMM_PROTOCOL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A2A_v1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LOG_VIZ_FORMAT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SVG/Canvas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2: Configuration Matrix</w:t>
      </w:r>
    </w:p>
    <w:p>
      <w:pPr>
        <w:pStyle w:val="Heading2"/>
      </w:pPr>
      <w:r>
        <w:t xml:space="preserve">3.2 Configuration Example</w:t>
      </w:r>
    </w:p>
    <w:p>
      <w:pPr>
        <w:spacing w:after="12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The following configuration sets up a minimal tile generation system with seed theory optimization:</w:t>
      </w:r>
    </w:p>
    <w:p>
      <w:pPr>
        <w:shd w:fill="F1F5F9" w:val="clear"/>
        <w:spacing w:after="80" w:before="80" w:line="312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LOG_ORIGIN=dynamic</w:t>
      </w:r>
    </w:p>
    <w:p>
      <w:pPr>
        <w:shd w:fill="F1F5F9" w:val="clear"/>
        <w:spacing w:after="80" w:before="0" w:line="312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LOG_BASE=12</w:t>
      </w:r>
    </w:p>
    <w:p>
      <w:pPr>
        <w:shd w:fill="F1F5F9" w:val="clear"/>
        <w:spacing w:after="80" w:before="0" w:line="312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LOG_PRECISION=full</w:t>
      </w:r>
    </w:p>
    <w:p>
      <w:pPr>
        <w:shd w:fill="F1F5F9" w:val="clear"/>
        <w:spacing w:after="200" w:before="0" w:line="312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LOG_SEED_LENGTH=64</w:t>
      </w:r>
    </w:p>
    <w:p>
      <w:pPr>
        <w:pStyle w:val="Heading1"/>
      </w:pPr>
      <w:r>
        <w:t xml:space="preserve">4. Common Glue Patterns</w:t>
      </w:r>
    </w:p>
    <w:p>
      <w:pPr>
        <w:spacing w:after="20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The following patterns represent common configurations that developers can use as starting points for their implementations: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600"/>
        <w:gridCol w:w="2200"/>
        <w:gridCol w:w="24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Pattern Name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Components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Use Case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Simple Seed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ghost-tiles + seed-theory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Efficient tile generation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Multi-Agent Mesh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a2a-comm + ghost-tiles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Parallel agent coordination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Full Analysis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tensor-plane + stability-sandwich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Debug and optimization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Research Pipeline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seed-theory + log-tensor-core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Academic research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Production Stack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All components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Complete system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Minimal Viable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ghost-tiles only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Quick start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Very Low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3: Common Glue Patterns</w:t>
      </w:r>
    </w:p>
    <w:p>
      <w:pPr>
        <w:pStyle w:val="Heading1"/>
      </w:pPr>
      <w:r>
        <w:t xml:space="preserve">5. Pattern Implementation Details</w:t>
      </w:r>
    </w:p>
    <w:p>
      <w:pPr>
        <w:pStyle w:val="Heading2"/>
      </w:pPr>
      <w:r>
        <w:t xml:space="preserve">5.1 Simple Seed Pattern</w:t>
      </w:r>
    </w:p>
    <w:p>
      <w:pPr>
        <w:spacing w:after="12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The Simple Seed pattern combines ghost-tiles with seed-theory for efficient tile generation. This pattern is ideal for developers who need reproducible, seed-controlled tile generation with predictive optimization.</w:t>
      </w:r>
    </w:p>
    <w:p>
      <w:pPr>
        <w:spacing w:after="80" w:before="80" w:line="312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Data flow: seed-theory predicts optimal seeds → ghost-tiles generates tiles from predicted seeds</w:t>
      </w:r>
    </w:p>
    <w:p>
      <w:pPr>
        <w:spacing w:after="20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Performance gain: 100x speedup vs random seed search, &gt;80% prediction accuracy</w:t>
      </w:r>
    </w:p>
    <w:p>
      <w:pPr>
        <w:pStyle w:val="Heading2"/>
      </w:pPr>
      <w:r>
        <w:t xml:space="preserve">5.2 Multi-Agent Mesh Pattern</w:t>
      </w:r>
    </w:p>
    <w:p>
      <w:pPr>
        <w:spacing w:after="12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The Multi-Agent Mesh pattern coordinates multiple agents using A2A communication protocol. Each agent maintains its own ghost-tile registry for local computation, with results synchronized through the A2A layer.</w:t>
      </w:r>
    </w:p>
    <w:p>
      <w:pPr>
        <w:spacing w:after="80" w:before="80" w:line="312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Data flow: agents compute locally → A2A packages results → mesh aggregates</w:t>
      </w:r>
    </w:p>
    <w:p>
      <w:pPr>
        <w:spacing w:after="20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Use cases: distributed simulation, parallel inference, fleet learning</w:t>
      </w:r>
    </w:p>
    <w:p>
      <w:pPr>
        <w:pStyle w:val="Heading2"/>
      </w:pPr>
      <w:r>
        <w:t xml:space="preserve">5.3 Full Analysis Pattern</w:t>
      </w:r>
    </w:p>
    <w:p>
      <w:pPr>
        <w:spacing w:after="12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The Full Analysis pattern combines tensor-plane visualization with stability-sandwich for comprehensive debugging and optimization. This pattern is essential for developers who need to understand and optimize their tensor computations.</w:t>
      </w:r>
    </w:p>
    <w:p>
      <w:pPr>
        <w:spacing w:after="80" w:before="80" w:line="312"/>
      </w:pPr>
      <w:r>
        <w:rPr>
          <w:rFonts w:ascii="Times New Roman" w:cs="Times New Roman" w:eastAsia="Times New Roman" w:hAnsi="Times New Roman"/>
          <w:b/>
          <w:bCs/>
          <w:color w:val="1E293B"/>
          <w:sz w:val="22"/>
          <w:szCs w:val="22"/>
        </w:rPr>
        <w:t xml:space="preserve">Data flow: tensor operations → stability-sandwich bounds → tensor-plane renders</w:t>
      </w:r>
    </w:p>
    <w:p>
      <w:pPr>
        <w:spacing w:after="20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Benefits: visual debugging, 95% error reduction, gradient flow visualization</w:t>
      </w:r>
    </w:p>
    <w:p>
      <w:pPr>
        <w:pStyle w:val="Heading1"/>
      </w:pPr>
      <w:r>
        <w:t xml:space="preserve">6. Official POLLN Wrapper</w:t>
      </w:r>
    </w:p>
    <w:p>
      <w:pPr>
        <w:pStyle w:val="Heading2"/>
      </w:pPr>
      <w:r>
        <w:t xml:space="preserve">6.1 Installation</w:t>
      </w:r>
    </w:p>
    <w:p>
      <w:pPr>
        <w:spacing w:after="12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The official POLLN wrapper provides a batteries-included experience with all components pre-configured:</w:t>
      </w:r>
    </w:p>
    <w:p>
      <w:pPr>
        <w:shd w:fill="F1F5F9" w:val="clear"/>
        <w:spacing w:after="200" w:before="80" w:line="312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@polln/sdk</w:t>
      </w:r>
    </w:p>
    <w:p>
      <w:pPr>
        <w:pStyle w:val="Heading2"/>
      </w:pPr>
      <w:r>
        <w:t xml:space="preserve">6.2 Quick Start</w:t>
      </w:r>
    </w:p>
    <w:p>
      <w:pPr>
        <w:spacing w:after="20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The SDK provides unified imports for all components with automatic configuration management. Developers can start with the full SDK and then extract individual components as needed for production optimization.</w:t>
      </w:r>
    </w:p>
    <w:p>
      <w:pPr>
        <w:pStyle w:val="Heading1"/>
      </w:pPr>
      <w:r>
        <w:t xml:space="preserve">7. Building Custom Configurations</w:t>
      </w:r>
    </w:p>
    <w:p>
      <w:pPr>
        <w:pStyle w:val="Heading2"/>
      </w:pPr>
      <w:r>
        <w:t xml:space="preserve">7.1 Step-by-Step Process</w:t>
      </w:r>
    </w:p>
    <w:p>
      <w:pPr>
        <w:pStyle w:val="ListParagraph"/>
        <w:numPr>
          <w:ilvl w:val="0"/>
          <w:numId w:val="2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Identify required capabilities from the component interface table</w:t>
      </w:r>
    </w:p>
    <w:p>
      <w:pPr>
        <w:pStyle w:val="ListParagraph"/>
        <w:numPr>
          <w:ilvl w:val="0"/>
          <w:numId w:val="2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Select appropriate components based on interface compatibility</w:t>
      </w:r>
    </w:p>
    <w:p>
      <w:pPr>
        <w:pStyle w:val="ListParagraph"/>
        <w:numPr>
          <w:ilvl w:val="0"/>
          <w:numId w:val="2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Configure environment variables for each component</w:t>
      </w:r>
    </w:p>
    <w:p>
      <w:pPr>
        <w:pStyle w:val="ListParagraph"/>
        <w:numPr>
          <w:ilvl w:val="0"/>
          <w:numId w:val="2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Implement data flow between components using LOG Protocol</w:t>
      </w:r>
    </w:p>
    <w:p>
      <w:pPr>
        <w:pStyle w:val="ListParagraph"/>
        <w:numPr>
          <w:ilvl w:val="0"/>
          <w:numId w:val="2"/>
        </w:numPr>
        <w:spacing w:after="20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Test integration with component-specific test suites</w:t>
      </w:r>
    </w:p>
    <w:p>
      <w:pPr>
        <w:pStyle w:val="Heading2"/>
      </w:pPr>
      <w:r>
        <w:t xml:space="preserve">7.2 Integration Checklist</w:t>
      </w:r>
    </w:p>
    <w:p>
      <w:pPr>
        <w:pStyle w:val="ListParagraph"/>
        <w:numPr>
          <w:ilvl w:val="0"/>
          <w:numId w:val="3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All required environment variables are set</w:t>
      </w:r>
    </w:p>
    <w:p>
      <w:pPr>
        <w:pStyle w:val="ListParagraph"/>
        <w:numPr>
          <w:ilvl w:val="0"/>
          <w:numId w:val="3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Input/output interfaces are correctly mapped</w:t>
      </w:r>
    </w:p>
    <w:p>
      <w:pPr>
        <w:pStyle w:val="ListParagraph"/>
        <w:numPr>
          <w:ilvl w:val="0"/>
          <w:numId w:val="3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LOG Protocol version compatibility is verified</w:t>
      </w:r>
    </w:p>
    <w:p>
      <w:pPr>
        <w:pStyle w:val="ListParagraph"/>
        <w:numPr>
          <w:ilvl w:val="0"/>
          <w:numId w:val="3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Error handling propagates correctly through the chain</w:t>
      </w:r>
    </w:p>
    <w:p>
      <w:pPr>
        <w:pStyle w:val="ListParagraph"/>
        <w:numPr>
          <w:ilvl w:val="0"/>
          <w:numId w:val="3"/>
        </w:numPr>
        <w:spacing w:after="20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Performance benchmarks meet requirements</w:t>
      </w:r>
    </w:p>
    <w:p>
      <w:pPr>
        <w:pStyle w:val="Heading1"/>
      </w:pPr>
      <w:r>
        <w:t xml:space="preserve">8. Troubleshooting Guide</w:t>
      </w:r>
    </w:p>
    <w:p>
      <w:pPr>
        <w:pStyle w:val="Heading2"/>
      </w:pPr>
      <w:r>
        <w:t xml:space="preserve">8.1 Common Issues</w:t>
      </w:r>
    </w:p>
    <w:p>
      <w:pPr>
        <w:pStyle w:val="ListParagraph"/>
        <w:numPr>
          <w:ilvl w:val="0"/>
          <w:numId w:val="3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Interface mismatch: Verify input/output types match the interface specification</w:t>
      </w:r>
    </w:p>
    <w:p>
      <w:pPr>
        <w:pStyle w:val="ListParagraph"/>
        <w:numPr>
          <w:ilvl w:val="0"/>
          <w:numId w:val="3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Configuration error: Check LOG_ORIGIN is set consistently across components</w:t>
      </w:r>
    </w:p>
    <w:p>
      <w:pPr>
        <w:pStyle w:val="ListParagraph"/>
        <w:numPr>
          <w:ilvl w:val="0"/>
          <w:numId w:val="3"/>
        </w:numPr>
        <w:spacing w:after="8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Protocol version: Ensure all components use compatible LOG Protocol versions</w:t>
      </w:r>
    </w:p>
    <w:p>
      <w:pPr>
        <w:pStyle w:val="ListParagraph"/>
        <w:numPr>
          <w:ilvl w:val="0"/>
          <w:numId w:val="3"/>
        </w:numPr>
        <w:spacing w:after="200" w:before="8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Performance degradation: Check stability-sandwich bounds configuration</w:t>
      </w:r>
    </w:p>
    <w:p>
      <w:pPr>
        <w:pStyle w:val="Heading1"/>
      </w:pPr>
      <w:r>
        <w:t xml:space="preserve">9. Contributing New Components</w:t>
      </w:r>
    </w:p>
    <w:p>
      <w:pPr>
        <w:spacing w:after="12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Developers can contribute new LOG-compliant components by implementing the LOG Protocol interfaces. Each contribution should include: comprehensive documentation, test suite, and configuration examples. See CONTRIBUTING.md in each repository for detailed guidelines.</w:t>
      </w:r>
    </w:p>
    <w:p>
      <w:pPr>
        <w:spacing w:after="200" w:before="120" w:line="312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All contributions are reviewed against the LOG Protocol specification to ensure interoperability with existing components. Accepted components become part of the official POLLN ecosystem.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POLLN Developer Glue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cs="Times New Roman" w:eastAsia="Times New Roman" w:hAnsi="Times New Roman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2026-03-10T00:16:25.099Z</dcterms:created>
  <dcterms:modified xsi:type="dcterms:W3CDTF">2026-03-10T00:16:25.099Z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