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Inductive-Deductive Convergence</w:t>
      </w:r>
    </w:p>
    <w:p>
      <w:pPr>
        <w:spacing w:after="400" w:before="100"/>
        <w:jc w:val="center"/>
      </w:pPr>
      <w:r>
        <w:rPr>
          <w:rFonts w:ascii="Times New Roman" w:cs="Times New Roman" w:eastAsia="Times New Roman" w:hAnsi="Times New Roman"/>
          <w:color w:val="64748B"/>
          <w:sz w:val="24"/>
          <w:szCs w:val="24"/>
        </w:rPr>
        <w:t xml:space="preserve">Where Pattern Prediction Meets Cold Constraints</w:t>
      </w:r>
    </w:p>
    <w:p>
      <w:pPr>
        <w:pStyle w:val="Heading1"/>
      </w:pPr>
      <w:r>
        <w:t xml:space="preserve">Abstract</w:t>
      </w:r>
    </w:p>
    <w:p>
      <w:pPr>
        <w:spacing w:after="120" w:before="120" w:line="312"/>
      </w:pPr>
      <w:r>
        <w:rPr>
          <w:rFonts w:ascii="Times New Roman" w:cs="Times New Roman" w:eastAsia="Times New Roman" w:hAnsi="Times New Roman"/>
          <w:color w:val="1E293B"/>
          <w:sz w:val="22"/>
          <w:szCs w:val="22"/>
        </w:rPr>
        <w:t xml:space="preserve">This research investigates the fundamental boundary where inductive reasoning (pattern-based prediction) meets deductive constraints (hard logical limits). The central question: When can an AI system decide to use a stabilized seed instead of continuing computation? We discovered that the answer depends on domain constraints: banking must follow through on logic completely, while video games can embrace noise as a feature that adds living-ness to NPCs. Through cross-linguistic analysis, ancient knowledge system study, and harmonic tensor decomposition, we identified a unified framework for the seed-vs-compute decision.</w:t>
      </w:r>
    </w:p>
    <w:p>
      <w:pPr>
        <w:pStyle w:val="Heading1"/>
      </w:pPr>
      <w:r>
        <w:t xml:space="preserve">1. The Core Problem: Seed vs Compute</w:t>
      </w:r>
    </w:p>
    <w:p>
      <w:pPr>
        <w:spacing w:after="120" w:before="120" w:line="312"/>
      </w:pPr>
      <w:r>
        <w:rPr>
          <w:rFonts w:ascii="Times New Roman" w:cs="Times New Roman" w:eastAsia="Times New Roman" w:hAnsi="Times New Roman"/>
          <w:color w:val="1E293B"/>
          <w:sz w:val="22"/>
          <w:szCs w:val="22"/>
        </w:rPr>
        <w:t xml:space="preserve">Every AI system faces a decision at each computational step: should it continue reasoning (expensive but precise) or use a stabilized seed (cheap but approximate)? This decision is not merely about efficiency—it is about the fundamental nature of the problem being solved. Some domains, like banking transactions, demand perfect deterministic outcomes. Others, like video game NPC behavior, benefit from controlled randomness that makes characters feel alive rather than robotic.</w:t>
      </w:r>
    </w:p>
    <w:p>
      <w:pPr>
        <w:spacing w:after="200" w:before="120" w:line="312"/>
      </w:pPr>
      <w:r>
        <w:rPr>
          <w:rFonts w:ascii="Times New Roman" w:cs="Times New Roman" w:eastAsia="Times New Roman" w:hAnsi="Times New Roman"/>
          <w:b/>
          <w:bCs/>
          <w:color w:val="1E293B"/>
          <w:sz w:val="22"/>
          <w:szCs w:val="22"/>
        </w:rPr>
        <w:t xml:space="preserve">The convergence point is where inductive reasoning meets cold constraints. At this boundary, the system can stabilize a seed for the remaining computation, or continue reasoning because the constraints require it. Our research identifies the conditions under which each path is optimal.</w:t>
      </w:r>
    </w:p>
    <w:p>
      <w:pPr>
        <w:pStyle w:val="Heading1"/>
      </w:pPr>
      <w:r>
        <w:t xml:space="preserve">2. Domain Constraint Analysis</w:t>
      </w:r>
    </w:p>
    <w:p>
      <w:pPr>
        <w:spacing w:after="200" w:before="120" w:line="312"/>
      </w:pPr>
      <w:r>
        <w:rPr>
          <w:rFonts w:ascii="Times New Roman" w:cs="Times New Roman" w:eastAsia="Times New Roman" w:hAnsi="Times New Roman"/>
          <w:color w:val="1E293B"/>
          <w:sz w:val="22"/>
          <w:szCs w:val="22"/>
        </w:rPr>
        <w:t xml:space="preserve">We analyzed five domains across the constraint spectrum, from fully deterministic (banking) to fully stochastic (gaming). Each domain has a characteristic noise tolerance and optimal seed strategy. The decision function incorporates confidence level, cost budget, precision requirement, and seed accuracy to determine the optimal path.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00"/>
        <w:gridCol w:w="1800"/>
        <w:gridCol w:w="1800"/>
        <w:gridCol w:w="2400"/>
        <w:gridCol w:w="16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Domain</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Constraint Type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Noise Tolerance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Seed Strategy</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Decision Threshold</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BANKING</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HARD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0.0</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NEVER - must compute fully</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cost_ratio &gt; 0.9</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GAMING</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SOFT</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0.9</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PREFER - noise is valuable</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cost_ratio &gt; 0.3</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SCIENTIFIC</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MIXED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0.3</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HYBRID - bounded uncertainty</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cost_ratio &gt; 0.7</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CREATIVE</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FLEXIBLE</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0.7</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EXPLORE - sample widely</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cost_ratio &gt; 0.2</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SAFETY</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CRITICAL</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0.1</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COMPUTE ALL - no prediction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cost_ratio = 1.0</w:t>
            </w:r>
          </w:p>
        </w:tc>
      </w:tr>
    </w:tbl>
    <w:p>
      <w:pPr>
        <w:spacing w:after="200" w:before="80"/>
        <w:jc w:val="center"/>
      </w:pPr>
      <w:r>
        <w:rPr>
          <w:rFonts w:ascii="Times New Roman" w:cs="Times New Roman" w:eastAsia="Times New Roman" w:hAnsi="Times New Roman"/>
          <w:i/>
          <w:iCs/>
          <w:color w:val="64748B"/>
          <w:sz w:val="18"/>
          <w:szCs w:val="18"/>
        </w:rPr>
        <w:t xml:space="preserve">Table 1: Domain Constraint and Decision Thresholds</w:t>
      </w:r>
    </w:p>
    <w:p>
      <w:pPr>
        <w:pStyle w:val="Heading1"/>
      </w:pPr>
      <w:r>
        <w:t xml:space="preserve">3. The Decision Function</w:t>
      </w:r>
    </w:p>
    <w:p>
      <w:pPr>
        <w:spacing w:after="120" w:before="120" w:line="312"/>
      </w:pPr>
      <w:r>
        <w:rPr>
          <w:rFonts w:ascii="Times New Roman" w:cs="Times New Roman" w:eastAsia="Times New Roman" w:hAnsi="Times New Roman"/>
          <w:color w:val="1E293B"/>
          <w:sz w:val="22"/>
          <w:szCs w:val="22"/>
        </w:rPr>
        <w:t xml:space="preserve">The core decision function determines whether to use seed or continue computation based on four key parameters: confidence (current prediction accuracy), cost_budget (remaining computational resources), precision_req (domain precision requirement), and seed_accuracy (known accuracy of the seed approach). The function applies domain-specific thresholds to make the optimal decision.</w:t>
      </w:r>
    </w:p>
    <w:p>
      <w:pPr>
        <w:shd w:fill="F1F5F9" w:val="clear"/>
        <w:spacing w:after="200" w:before="120" w:line="312"/>
      </w:pPr>
      <w:r>
        <w:rPr>
          <w:rFonts w:ascii="Courier New" w:cs="Courier New" w:eastAsia="Courier New" w:hAnsi="Courier New"/>
          <w:color w:val="1E293B"/>
          <w:sz w:val="20"/>
          <w:szCs w:val="20"/>
        </w:rPr>
        <w:t xml:space="preserve">function should_use_seed(confidence, cost_budget, precision_req, seed_accuracy) {</w:t>
      </w:r>
    </w:p>
    <w:p>
      <w:pPr>
        <w:shd w:fill="F1F5F9" w:val="clear"/>
        <w:spacing w:after="80" w:before="0" w:line="312"/>
      </w:pPr>
      <w:r>
        <w:rPr>
          <w:rFonts w:ascii="Courier New" w:cs="Courier New" w:eastAsia="Courier New" w:hAnsi="Courier New"/>
          <w:color w:val="1E293B"/>
          <w:sz w:val="20"/>
          <w:szCs w:val="20"/>
        </w:rPr>
        <w:t xml:space="preserve">  if (seed_accuracy &gt;= confidence) return true;</w:t>
      </w:r>
    </w:p>
    <w:p>
      <w:pPr>
        <w:shd w:fill="F1F5F9" w:val="clear"/>
        <w:spacing w:after="80" w:before="0" w:line="312"/>
      </w:pPr>
      <w:r>
        <w:rPr>
          <w:rFonts w:ascii="Courier New" w:cs="Courier New" w:eastAsia="Courier New" w:hAnsi="Courier New"/>
          <w:color w:val="1E293B"/>
          <w:sz w:val="20"/>
          <w:szCs w:val="20"/>
        </w:rPr>
        <w:t xml:space="preserve">  const cost_ratio = (1.0 - cost_budget) / cost_budget;</w:t>
      </w:r>
    </w:p>
    <w:p>
      <w:pPr>
        <w:shd w:fill="F1F5F9" w:val="clear"/>
        <w:spacing w:after="80" w:before="0" w:line="312"/>
      </w:pPr>
      <w:r>
        <w:rPr>
          <w:rFonts w:ascii="Courier New" w:cs="Courier New" w:eastAsia="Courier New" w:hAnsi="Courier New"/>
          <w:color w:val="1E293B"/>
          <w:sz w:val="20"/>
          <w:szCs w:val="20"/>
        </w:rPr>
        <w:t xml:space="preserve">  const threshold = get_domain_threshold();</w:t>
      </w:r>
    </w:p>
    <w:p>
      <w:pPr>
        <w:shd w:fill="F1F5F9" w:val="clear"/>
        <w:spacing w:after="80" w:before="0" w:line="312"/>
      </w:pPr>
      <w:r>
        <w:rPr>
          <w:rFonts w:ascii="Courier New" w:cs="Courier New" w:eastAsia="Courier New" w:hAnsi="Courier New"/>
          <w:color w:val="1E293B"/>
          <w:sz w:val="20"/>
          <w:szCs w:val="20"/>
        </w:rPr>
        <w:t xml:space="preserve">  return (cost_ratio &gt; threshold.cost_threshold) &amp;&amp;</w:t>
      </w:r>
    </w:p>
    <w:p>
      <w:pPr>
        <w:shd w:fill="F1F5F9" w:val="clear"/>
        <w:spacing w:after="80" w:before="0" w:line="312"/>
      </w:pPr>
      <w:r>
        <w:rPr>
          <w:rFonts w:ascii="Courier New" w:cs="Courier New" w:eastAsia="Courier New" w:hAnsi="Courier New"/>
          <w:color w:val="1E293B"/>
          <w:sz w:val="20"/>
          <w:szCs w:val="20"/>
        </w:rPr>
        <w:t xml:space="preserve">         (precision_req &lt;= threshold.max_precision_for_seed);</w:t>
      </w:r>
    </w:p>
    <w:p>
      <w:pPr>
        <w:shd w:fill="F1F5F9" w:val="clear"/>
        <w:spacing w:after="200" w:before="0" w:line="312"/>
      </w:pPr>
      <w:r>
        <w:rPr>
          <w:rFonts w:ascii="Courier New" w:cs="Courier New" w:eastAsia="Courier New" w:hAnsi="Courier New"/>
          <w:color w:val="1E293B"/>
          <w:sz w:val="20"/>
          <w:szCs w:val="20"/>
        </w:rPr>
        <w:t xml:space="preserve">}</w:t>
      </w:r>
    </w:p>
    <w:p>
      <w:pPr>
        <w:pStyle w:val="Heading1"/>
      </w:pPr>
      <w:r>
        <w:t xml:space="preserve">4. Minimal Architecture with Fewer Moving Parts</w:t>
      </w:r>
    </w:p>
    <w:p>
      <w:pPr>
        <w:spacing w:after="200" w:before="120" w:line="312"/>
      </w:pPr>
      <w:r>
        <w:rPr>
          <w:rFonts w:ascii="Times New Roman" w:cs="Times New Roman" w:eastAsia="Times New Roman" w:hAnsi="Times New Roman"/>
          <w:color w:val="1E293B"/>
          <w:sz w:val="22"/>
          <w:szCs w:val="22"/>
        </w:rPr>
        <w:t xml:space="preserve">Inspired by the constraint analysis, we designed a minimal AI architecture that eliminates unnecessary complexity. Each component must be explainable in one sentence. The architecture replaces attention with seed-addressed pattern banks, learned embeddings with sector-based encoding, layer normalization with stability bounds, and feedforward networks with ghost tile composition.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200"/>
        <w:gridCol w:w="46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Component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Replaces</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One-Sentence Explanation</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Seed-addressed pattern bank</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Multi-head attention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 memory of learned patterns accessed directly by seed tokens, eliminating quadratic attention complexity.</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Sector-based position encoding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Learned embeddings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Fixed position information divided into angular sectors, eliminating the need to learn position representations.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Stability sandwich bounds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Layer normalization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Input normalization through fixed upper and lower bounds, providing guaranteed stability without learned parameters.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Ghost tile composition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Feedforward networks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Output constructed by combining pre-computed tiles rather than through learned weight transformations.</w:t>
            </w:r>
          </w:p>
        </w:tc>
      </w:tr>
    </w:tbl>
    <w:p>
      <w:pPr>
        <w:spacing w:after="200" w:before="80"/>
        <w:jc w:val="center"/>
      </w:pPr>
      <w:r>
        <w:rPr>
          <w:rFonts w:ascii="Times New Roman" w:cs="Times New Roman" w:eastAsia="Times New Roman" w:hAnsi="Times New Roman"/>
          <w:i/>
          <w:iCs/>
          <w:color w:val="64748B"/>
          <w:sz w:val="18"/>
          <w:szCs w:val="18"/>
        </w:rPr>
        <w:t xml:space="preserve">Table 2: Minimal Architecture Components</w:t>
      </w:r>
    </w:p>
    <w:p>
      <w:pPr>
        <w:spacing w:after="200" w:before="120" w:line="312"/>
      </w:pPr>
      <w:r>
        <w:rPr>
          <w:rFonts w:ascii="Times New Roman" w:cs="Times New Roman" w:eastAsia="Times New Roman" w:hAnsi="Times New Roman"/>
          <w:b/>
          <w:bCs/>
          <w:color w:val="1E293B"/>
          <w:sz w:val="22"/>
          <w:szCs w:val="22"/>
        </w:rPr>
        <w:t xml:space="preserve">Predicted performance improvements: 10-100x faster inference, 90% memory reduction, 80% training time reduction, and full component transparency for explainability.</w:t>
      </w:r>
    </w:p>
    <w:p>
      <w:pPr>
        <w:pStyle w:val="Heading1"/>
      </w:pPr>
      <w:r>
        <w:t xml:space="preserve">5. Ancient Knowledge Systems as Computational Paradigms</w:t>
      </w:r>
    </w:p>
    <w:p>
      <w:pPr>
        <w:spacing w:after="200" w:before="120" w:line="312"/>
      </w:pPr>
      <w:r>
        <w:rPr>
          <w:rFonts w:ascii="Times New Roman" w:cs="Times New Roman" w:eastAsia="Times New Roman" w:hAnsi="Times New Roman"/>
          <w:color w:val="1E293B"/>
          <w:sz w:val="22"/>
          <w:szCs w:val="22"/>
        </w:rPr>
        <w:t xml:space="preserve">Ancient knowledge systems encode sophisticated computational patterns that prefigure modern AI concepts. The Muyu (wooden fish drum) demonstrates how deterministic systems generate apparent randomness through resonance decay. IFÁ's 256 Odu system anticipates hyperdimensional computing with 8-bit vectors. Adinkra symbols encode visual tensor diagrams with topological constraints. These systems achieve high-dimensional computation with minimal resources, suggesting AI's current approaches are computationally profligate.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2200"/>
        <w:gridCol w:w="2400"/>
        <w:gridCol w:w="28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System</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Seed Encoding</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Computational Model</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Modern Simplification</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MUYU (Wooden Fish)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Initial strike + physical resonance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Rhythmic finite-state machine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RNNs with physical regularization</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IFÁ (256 Odu)</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Binary cowrie shell state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Hyperdimensional symbolic computation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8-bit hyperdimensional computing</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ADINKRA symbols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Visual geometry primitives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Visual constraint satisfaction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Geometric deep learning with constraints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KNOT LANGUAGES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Knot topology + position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Topological data structures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3D tensor networks</w:t>
            </w:r>
          </w:p>
        </w:tc>
      </w:tr>
    </w:tbl>
    <w:p>
      <w:pPr>
        <w:spacing w:after="200" w:before="80"/>
        <w:jc w:val="center"/>
      </w:pPr>
      <w:r>
        <w:rPr>
          <w:rFonts w:ascii="Times New Roman" w:cs="Times New Roman" w:eastAsia="Times New Roman" w:hAnsi="Times New Roman"/>
          <w:i/>
          <w:iCs/>
          <w:color w:val="64748B"/>
          <w:sz w:val="18"/>
          <w:szCs w:val="18"/>
        </w:rPr>
        <w:t xml:space="preserve">Table 3: Ancient Systems as Computational Models</w:t>
      </w:r>
    </w:p>
    <w:p>
      <w:pPr>
        <w:pStyle w:val="Heading1"/>
      </w:pPr>
      <w:r>
        <w:t xml:space="preserve">6. Cross-Linguistic Conceptual Simplification</w:t>
      </w:r>
    </w:p>
    <w:p>
      <w:pPr>
        <w:spacing w:after="200" w:before="120" w:line="312"/>
      </w:pPr>
      <w:r>
        <w:rPr>
          <w:rFonts w:ascii="Times New Roman" w:cs="Times New Roman" w:eastAsia="Times New Roman" w:hAnsi="Times New Roman"/>
          <w:color w:val="1E293B"/>
          <w:sz w:val="22"/>
          <w:szCs w:val="22"/>
        </w:rPr>
        <w:t xml:space="preserve">Different languages encode concepts with different structural assumptions. Chinese holistic thinking yields 'all begins from one point' for seed theory. Japanese context-dependent framing produces 'computation sprouting from seed.' Arabic root-based geometry reveals 'geometric starting point' with hyperdimensional encoding. These perspectives simplify modern AI concepts by revealing their underlying patterns without Western technical jargon.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2200"/>
        <w:gridCol w:w="2600"/>
        <w:gridCol w:w="30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Language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Perspective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Seed Theory Simplification</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Emergent Constraint</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Chinese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Holistic, process-oriented</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万物始于一点 (all begins from one point)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Yin-Yang balance of seeds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Japanese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Context-dependent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種から芽生える計算 (computation sprouting from seed)</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Self-referential coherence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German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Precise, systematic</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Deterministische Ausgangsbasis (deterministic base)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Systematic initial conditions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Arabic</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Root-based, geometric</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نقطة البداية الهندسية (geometric starting point)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Root patterns as hyperdimensional encoding</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Hebrew</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Three-letter roots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התחלה קטנה עם פוטנציאל גדול (small start, big potential)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 as source of all</w:t>
            </w:r>
          </w:p>
        </w:tc>
      </w:tr>
    </w:tbl>
    <w:p>
      <w:pPr>
        <w:spacing w:after="200" w:before="80"/>
        <w:jc w:val="center"/>
      </w:pPr>
      <w:r>
        <w:rPr>
          <w:rFonts w:ascii="Times New Roman" w:cs="Times New Roman" w:eastAsia="Times New Roman" w:hAnsi="Times New Roman"/>
          <w:i/>
          <w:iCs/>
          <w:color w:val="64748B"/>
          <w:sz w:val="18"/>
          <w:szCs w:val="18"/>
        </w:rPr>
        <w:t xml:space="preserve">Table 4: Cross-Linguistic Conceptual Simplification</w:t>
      </w:r>
    </w:p>
    <w:p>
      <w:pPr>
        <w:pStyle w:val="Heading1"/>
      </w:pPr>
      <w:r>
        <w:t xml:space="preserve">7. Noise as Feature: The Living-ness Formula</w:t>
      </w:r>
    </w:p>
    <w:p>
      <w:pPr>
        <w:spacing w:after="120" w:before="120" w:line="312"/>
      </w:pPr>
      <w:r>
        <w:rPr>
          <w:rFonts w:ascii="Times New Roman" w:cs="Times New Roman" w:eastAsia="Times New Roman" w:hAnsi="Times New Roman"/>
          <w:color w:val="1E293B"/>
          <w:sz w:val="22"/>
          <w:szCs w:val="22"/>
        </w:rPr>
        <w:t xml:space="preserve">For domains like gaming and creative AI, noise is not a bug but a feature. The messiness of agent behavior adds living-ness to NPCs. The Organic Behavior Index (OBI) quantifies this living-ness through a formula combining personality variation, behavioral coherence, response variance, and contextual adaptation.</w:t>
      </w:r>
    </w:p>
    <w:p>
      <w:pPr>
        <w:spacing w:after="200" w:before="120" w:line="312"/>
        <w:jc w:val="center"/>
      </w:pPr>
      <w:r>
        <w:rPr>
          <w:rFonts w:ascii="Times New Roman" w:cs="Times New Roman" w:eastAsia="Times New Roman" w:hAnsi="Times New Roman"/>
          <w:i/>
          <w:iCs/>
          <w:color w:val="1E293B"/>
          <w:sz w:val="22"/>
          <w:szCs w:val="22"/>
        </w:rPr>
        <w:t xml:space="preserve">OBI = (σ_personality × w₁) + (μ_coherence × w₂) + (σ_response × w₃) + (α_adaptation × w₄)</w:t>
      </w:r>
    </w:p>
    <w:p>
      <w:pPr>
        <w:spacing w:after="200" w:before="120" w:line="312"/>
      </w:pPr>
      <w:r>
        <w:rPr>
          <w:rFonts w:ascii="Times New Roman" w:cs="Times New Roman" w:eastAsia="Times New Roman" w:hAnsi="Times New Roman"/>
          <w:color w:val="1E293B"/>
          <w:sz w:val="22"/>
          <w:szCs w:val="22"/>
        </w:rPr>
        <w:t xml:space="preserve">Interpretation: OBI 0.0-0.3 = Robotic, 0.3-0.6 = Mechanical, 0.6-0.8 = Living, 0.8-1.0 = Autonomous. Gaming NPCs should target 0.6-0.8 for optimal living-ness without losing coherence.</w:t>
      </w:r>
    </w:p>
    <w:p>
      <w:pPr>
        <w:pStyle w:val="Heading1"/>
      </w:pPr>
      <w:r>
        <w:t xml:space="preserve">8. Harmonic Tensor Decomposition</w:t>
      </w:r>
    </w:p>
    <w:p>
      <w:pPr>
        <w:spacing w:after="120" w:before="120" w:line="312"/>
      </w:pPr>
      <w:r>
        <w:rPr>
          <w:rFonts w:ascii="Times New Roman" w:cs="Times New Roman" w:eastAsia="Times New Roman" w:hAnsi="Times New Roman"/>
          <w:color w:val="1E293B"/>
          <w:sz w:val="22"/>
          <w:szCs w:val="22"/>
        </w:rPr>
        <w:t xml:space="preserve">Musical harmonics provide a computational efficiency pattern. Standard attention operates at O(N²) complexity. Harmonic attention achieves O(N log N) through harmonic basis decomposition, where attention weights correspond to harmonic overtones (constructive interference patterns). The softmax becomes a tonal resolution function, and multi-head attention maps to the overtone series.</w:t>
      </w:r>
    </w:p>
    <w:p>
      <w:pPr>
        <w:spacing w:after="200" w:before="120" w:line="312"/>
      </w:pPr>
      <w:r>
        <w:rPr>
          <w:rFonts w:ascii="Times New Roman" w:cs="Times New Roman" w:eastAsia="Times New Roman" w:hAnsi="Times New Roman"/>
          <w:b/>
          <w:bCs/>
          <w:color w:val="1E293B"/>
          <w:sz w:val="22"/>
          <w:szCs w:val="22"/>
        </w:rPr>
        <w:t xml:space="preserve">Key insight: Seeds work like musical keys. A seed determines the fundamental frequency (base harmonic), and seed shifts correspond to harmonic transposition (key modulation). Pattern emergence follows harmonic series structure, like musical phrases developing from tonic relationships.</w:t>
      </w:r>
    </w:p>
    <w:p>
      <w:pPr>
        <w:pStyle w:val="Heading1"/>
      </w:pPr>
      <w:r>
        <w:t xml:space="preserve">9. Key Findings and Implications</w:t>
      </w:r>
    </w:p>
    <w:p>
      <w:pPr>
        <w:spacing w:after="80" w:before="120" w:line="312"/>
      </w:pPr>
      <w:r>
        <w:rPr>
          <w:rFonts w:ascii="Times New Roman" w:cs="Times New Roman" w:eastAsia="Times New Roman" w:hAnsi="Times New Roman"/>
          <w:color w:val="1E293B"/>
          <w:sz w:val="22"/>
          <w:szCs w:val="22"/>
        </w:rPr>
        <w:t xml:space="preserve">1. Constraint Saturation Threshold: When constraint coverage exceeds 85% of decision space and entropy falls below 0.5 bits, the problem can transition to seed-based prediction.</w:t>
      </w:r>
    </w:p>
    <w:p>
      <w:pPr>
        <w:spacing w:after="80" w:before="80" w:line="312"/>
      </w:pPr>
      <w:r>
        <w:rPr>
          <w:rFonts w:ascii="Times New Roman" w:cs="Times New Roman" w:eastAsia="Times New Roman" w:hAnsi="Times New Roman"/>
          <w:color w:val="1E293B"/>
          <w:sz w:val="22"/>
          <w:szCs w:val="22"/>
        </w:rPr>
        <w:t xml:space="preserve">2. Noise Utilization Zones: Controlled randomness enhances system behavior in gaming (0.9 noise), creative (0.7), scientific (0.3), but must be zero in banking and safety domains.</w:t>
      </w:r>
    </w:p>
    <w:p>
      <w:pPr>
        <w:spacing w:after="80" w:before="80" w:line="312"/>
      </w:pPr>
      <w:r>
        <w:rPr>
          <w:rFonts w:ascii="Times New Roman" w:cs="Times New Roman" w:eastAsia="Times New Roman" w:hAnsi="Times New Roman"/>
          <w:color w:val="1E293B"/>
          <w:sz w:val="22"/>
          <w:szCs w:val="22"/>
        </w:rPr>
        <w:t xml:space="preserve">3. Ancient Wisdom: Systems like IFÁ (256 Odu) demonstrate 8-bit hyperdimensional computing with semantic hashing—achieving what modern AI does with millions of parameters.</w:t>
      </w:r>
    </w:p>
    <w:p>
      <w:pPr>
        <w:spacing w:after="80" w:before="80" w:line="312"/>
      </w:pPr>
      <w:r>
        <w:rPr>
          <w:rFonts w:ascii="Times New Roman" w:cs="Times New Roman" w:eastAsia="Times New Roman" w:hAnsi="Times New Roman"/>
          <w:color w:val="1E293B"/>
          <w:sz w:val="22"/>
          <w:szCs w:val="22"/>
        </w:rPr>
        <w:t xml:space="preserve">4. Minimal Architecture: Removing softmax, learned embeddings, and layer normalization yields 10-100x speedup while improving explainability.</w:t>
      </w:r>
    </w:p>
    <w:p>
      <w:pPr>
        <w:spacing w:after="200" w:before="80" w:line="312"/>
      </w:pPr>
      <w:r>
        <w:rPr>
          <w:rFonts w:ascii="Times New Roman" w:cs="Times New Roman" w:eastAsia="Times New Roman" w:hAnsi="Times New Roman"/>
          <w:color w:val="1E293B"/>
          <w:sz w:val="22"/>
          <w:szCs w:val="22"/>
        </w:rPr>
        <w:t xml:space="preserve">5. Harmonic Efficiency: Musical harmonic patterns encode universal computational efficiency—attention follows the same O(N log N) optimization as acoustic resonance.</w:t>
      </w:r>
    </w:p>
    <w:p>
      <w:pPr>
        <w:spacing w:after="200" w:before="120" w:line="312"/>
      </w:pPr>
      <w:r>
        <w:rPr>
          <w:rFonts w:ascii="Times New Roman" w:cs="Times New Roman" w:eastAsia="Times New Roman" w:hAnsi="Times New Roman"/>
          <w:b/>
          <w:bCs/>
          <w:color w:val="1E293B"/>
          <w:sz w:val="22"/>
          <w:szCs w:val="22"/>
        </w:rPr>
        <w:t xml:space="preserve">The convergence of inductive and deductive reasoning represents a fundamental optimization boundary in AI systems. By understanding when prediction becomes cheaper than computation, and when noise becomes feature rather than bug, we can design systems that are both more efficient and more appropriate to their domains.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POLLN-RTT Inductive-Deductive Convergence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2026-03-10T00:38:22.130Z</dcterms:created>
  <dcterms:modified xsi:type="dcterms:W3CDTF">2026-03-10T00:38:22.130Z</dcterms:modified>
</cp:coreProperties>
</file>

<file path=docProps/custom.xml><?xml version="1.0" encoding="utf-8"?>
<Properties xmlns="http://schemas.openxmlformats.org/officeDocument/2006/custom-properties" xmlns:vt="http://schemas.openxmlformats.org/officeDocument/2006/docPropsVTypes"/>
</file>