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Master Implementation Roadmap</w:t>
      </w:r>
    </w:p>
    <w:p>
      <w:pPr>
        <w:spacing w:after="400" w:before="100"/>
        <w:jc w:val="center"/>
      </w:pPr>
      <w:r>
        <w:rPr>
          <w:rFonts w:ascii="Times New Roman" w:cs="Times New Roman" w:eastAsia="Times New Roman" w:hAnsi="Times New Roman"/>
          <w:color w:val="64748B"/>
          <w:sz w:val="24"/>
          <w:szCs w:val="24"/>
        </w:rPr>
        <w:t xml:space="preserve">POLLN-RTT Round 5 - 20-Week Synergized Implementation Plan</w:t>
      </w:r>
    </w:p>
    <w:p>
      <w:pPr>
        <w:pStyle w:val="Heading1"/>
      </w:pPr>
      <w:r>
        <w:t xml:space="preserve">Executive Summary</w:t>
      </w:r>
    </w:p>
    <w:p>
      <w:pPr>
        <w:spacing w:after="120" w:before="120" w:line="312"/>
      </w:pPr>
      <w:r>
        <w:rPr>
          <w:rFonts w:ascii="Times New Roman" w:cs="Times New Roman" w:eastAsia="Times New Roman" w:hAnsi="Times New Roman"/>
          <w:color w:val="1E293B"/>
          <w:sz w:val="22"/>
          <w:szCs w:val="22"/>
        </w:rPr>
        <w:t xml:space="preserve">This roadmap synthesizes all research findings from POLLN-RTT Round 5 into a concrete implementation plan spanning 20 weeks. The plan follows the hybrid repository strategy: extract high-independence components immediately as standalone repositories while developing integration glue through the official POLLN meta-package.</w:t>
      </w:r>
    </w:p>
    <w:p>
      <w:pPr>
        <w:spacing w:after="200" w:before="120" w:line="312"/>
      </w:pPr>
      <w:r>
        <w:rPr>
          <w:rFonts w:ascii="Times New Roman" w:cs="Times New Roman" w:eastAsia="Times New Roman" w:hAnsi="Times New Roman"/>
          <w:color w:val="1E293B"/>
          <w:sz w:val="22"/>
          <w:szCs w:val="22"/>
        </w:rPr>
        <w:t xml:space="preserve">The roadmap prioritizes quick wins that demonstrate value to the open-source community while building toward the complete integrated system. Each milestone delivers standalone value, ensuring continuous progress visibility and portfolio building.</w:t>
      </w:r>
    </w:p>
    <w:p>
      <w:pPr>
        <w:pStyle w:val="Heading1"/>
      </w:pPr>
      <w:r>
        <w:t xml:space="preserve">1. Milestone Overview</w:t>
      </w:r>
    </w:p>
    <w:p>
      <w:pPr>
        <w:spacing w:after="200" w:before="120" w:line="312"/>
      </w:pPr>
      <w:r>
        <w:rPr>
          <w:rFonts w:ascii="Times New Roman" w:cs="Times New Roman" w:eastAsia="Times New Roman" w:hAnsi="Times New Roman"/>
          <w:color w:val="1E293B"/>
          <w:sz w:val="22"/>
          <w:szCs w:val="22"/>
        </w:rPr>
        <w:t xml:space="preserve">The implementation is divided into 10 milestones, each spanning approximately 2 weeks. Each milestone produces concrete deliverables that can be independently validated and released.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2800"/>
        <w:gridCol w:w="1600"/>
        <w:gridCol w:w="30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Milestone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Components</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Timeline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Success Criteria</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M1: Core Extract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ghost-tiles, seed-theory, LOG-Tensor Core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1-2</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3 repos published, npm packages available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M2: Communication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A2A protocol, SwarmMCP integration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3-4</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Agents can communicate across repos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M3: Meta Package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official POLLN wrapper, glue docs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5-6</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npm install @polln/sdk works</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M4: Visualization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tensor-plane, prism integration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7-8</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Visual debugging functional</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M5: Performance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100x speedup validation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9-10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Benchmarks published</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M6: Spreadsheet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Spreader-tool integration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11-12</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Agent-spreadsheet flow complete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M7: Context Chain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Baton successor training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13-14</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Infinite context demo</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M8: Full System</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Integration testing, docs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15-16</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Full system demo working</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M9: Community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Contributor docs, examples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17-18</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External contributions enabled</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M10: Production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Deployment, monitoring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Weeks 19-20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Production-ready release</w:t>
            </w:r>
          </w:p>
        </w:tc>
      </w:tr>
    </w:tbl>
    <w:p>
      <w:pPr>
        <w:spacing w:after="200" w:before="80"/>
        <w:jc w:val="center"/>
      </w:pPr>
      <w:r>
        <w:rPr>
          <w:rFonts w:ascii="Times New Roman" w:cs="Times New Roman" w:eastAsia="Times New Roman" w:hAnsi="Times New Roman"/>
          <w:i/>
          <w:iCs/>
          <w:color w:val="64748B"/>
          <w:sz w:val="18"/>
          <w:szCs w:val="18"/>
        </w:rPr>
        <w:t xml:space="preserve">Table 1: Implementation Milestones</w:t>
      </w:r>
    </w:p>
    <w:p>
      <w:pPr>
        <w:pStyle w:val="Heading1"/>
      </w:pPr>
      <w:r>
        <w:t xml:space="preserve">2. Component Priority Matrix</w:t>
      </w:r>
    </w:p>
    <w:p>
      <w:pPr>
        <w:spacing w:after="200" w:before="120" w:line="312"/>
      </w:pPr>
      <w:r>
        <w:rPr>
          <w:rFonts w:ascii="Times New Roman" w:cs="Times New Roman" w:eastAsia="Times New Roman" w:hAnsi="Times New Roman"/>
          <w:color w:val="1E293B"/>
          <w:sz w:val="22"/>
          <w:szCs w:val="22"/>
        </w:rPr>
        <w:t xml:space="preserve">Components are prioritized based on impact (projected performance improvement), effort (implementation time), and quick win score (combination of impact and low effort). Priority P0 items are critical path, P1 items are high-value, P2 items are important enhancements, and P3 items are polish.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0"/>
        <w:gridCol w:w="2400"/>
        <w:gridCol w:w="2000"/>
        <w:gridCol w:w="1400"/>
        <w:gridCol w:w="24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Priority</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Component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Impact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Effort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Quick Win Score</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 Tile Registry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100x speedup</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2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 Theory Library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Predictive accuracy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2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LOG-Tensor Core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Foundation for all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3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MEDIUM</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A2A Communication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Multi-agent enablement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2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 Plane Visualizer</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Debug capability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2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Stability Sandwich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95% error reduction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1 week</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VERY 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Sector Math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O(1) operations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1 week</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VERY HIGH</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P2</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Harmonic Decomposition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10x efficiency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3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MEDIUM</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P2</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Physical AI Integration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Natural computation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4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LOW</w:t>
            </w:r>
          </w:p>
        </w:tc>
      </w:tr>
      <w:tr>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P3</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Full System Integration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Complete experience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4 weeks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LOW</w:t>
            </w:r>
          </w:p>
        </w:tc>
      </w:tr>
    </w:tbl>
    <w:p>
      <w:pPr>
        <w:spacing w:after="200" w:before="80"/>
        <w:jc w:val="center"/>
      </w:pPr>
      <w:r>
        <w:rPr>
          <w:rFonts w:ascii="Times New Roman" w:cs="Times New Roman" w:eastAsia="Times New Roman" w:hAnsi="Times New Roman"/>
          <w:i/>
          <w:iCs/>
          <w:color w:val="64748B"/>
          <w:sz w:val="18"/>
          <w:szCs w:val="18"/>
        </w:rPr>
        <w:t xml:space="preserve">Table 2: Component Priority Analysis</w:t>
      </w:r>
    </w:p>
    <w:p>
      <w:pPr>
        <w:pStyle w:val="Heading1"/>
      </w:pPr>
      <w:r>
        <w:t xml:space="preserve">3. Key Implementation Equations</w:t>
      </w:r>
    </w:p>
    <w:p>
      <w:pPr>
        <w:pStyle w:val="Heading2"/>
      </w:pPr>
      <w:r>
        <w:t xml:space="preserve">3.1 O(N log N) Attention</w:t>
      </w:r>
    </w:p>
    <w:p>
      <w:pPr>
        <w:spacing w:after="120" w:before="120" w:line="312"/>
      </w:pPr>
      <w:r>
        <w:rPr>
          <w:rFonts w:ascii="Times New Roman" w:cs="Times New Roman" w:eastAsia="Times New Roman" w:hAnsi="Times New Roman"/>
          <w:color w:val="1E293B"/>
          <w:sz w:val="22"/>
          <w:szCs w:val="22"/>
        </w:rPr>
        <w:t xml:space="preserve">The fundamental attention optimization replaces O(N²) standard attention with O(N log N) harmonic attention:</w:t>
      </w:r>
    </w:p>
    <w:p>
      <w:pPr>
        <w:spacing w:after="120" w:before="80" w:line="312"/>
        <w:jc w:val="center"/>
      </w:pPr>
      <w:r>
        <w:rPr>
          <w:rFonts w:ascii="Times New Roman" w:cs="Times New Roman" w:eastAsia="Times New Roman" w:hAnsi="Times New Roman"/>
          <w:i/>
          <w:iCs/>
          <w:color w:val="1E293B"/>
          <w:sz w:val="22"/>
          <w:szCs w:val="22"/>
        </w:rPr>
        <w:t xml:space="preserve">Attention_o(Q,K,V) = softmax(Q_rel·K_rel^T/√d)·V_rel + o</w:t>
      </w:r>
    </w:p>
    <w:p>
      <w:pPr>
        <w:spacing w:after="200" w:before="120" w:line="312"/>
      </w:pPr>
      <w:r>
        <w:rPr>
          <w:rFonts w:ascii="Times New Roman" w:cs="Times New Roman" w:eastAsia="Times New Roman" w:hAnsi="Times New Roman"/>
          <w:color w:val="1E293B"/>
          <w:sz w:val="22"/>
          <w:szCs w:val="22"/>
        </w:rPr>
        <w:t xml:space="preserve">Where Q_rel, K_rel, V_rel are position-relative representations that reduce the effective sequence length through harmonic decomposition.</w:t>
      </w:r>
    </w:p>
    <w:p>
      <w:pPr>
        <w:pStyle w:val="Heading2"/>
      </w:pPr>
      <w:r>
        <w:t xml:space="preserve">3.2 Seed Gradient Prediction</w:t>
      </w:r>
    </w:p>
    <w:p>
      <w:pPr>
        <w:spacing w:after="120" w:before="120" w:line="312"/>
      </w:pPr>
      <w:r>
        <w:rPr>
          <w:rFonts w:ascii="Times New Roman" w:cs="Times New Roman" w:eastAsia="Times New Roman" w:hAnsi="Times New Roman"/>
          <w:color w:val="1E293B"/>
          <w:sz w:val="22"/>
          <w:szCs w:val="22"/>
        </w:rPr>
        <w:t xml:space="preserve">The Seed-Theory enables prediction of ghost tile behavior without model execution:</w:t>
      </w:r>
    </w:p>
    <w:p>
      <w:pPr>
        <w:spacing w:after="120" w:before="80" w:line="312"/>
        <w:jc w:val="center"/>
      </w:pPr>
      <w:r>
        <w:rPr>
          <w:rFonts w:ascii="Times New Roman" w:cs="Times New Roman" w:eastAsia="Times New Roman" w:hAnsi="Times New Roman"/>
          <w:i/>
          <w:iCs/>
          <w:color w:val="1E293B"/>
          <w:sz w:val="22"/>
          <w:szCs w:val="22"/>
        </w:rPr>
        <w:t xml:space="preserve">∇_S F = (∂F/∂S[0], ..., ∂F/∂S[n-1])</w:t>
      </w:r>
    </w:p>
    <w:p>
      <w:pPr>
        <w:spacing w:after="200" w:before="120" w:line="312"/>
      </w:pPr>
      <w:r>
        <w:rPr>
          <w:rFonts w:ascii="Times New Roman" w:cs="Times New Roman" w:eastAsia="Times New Roman" w:hAnsi="Times New Roman"/>
          <w:color w:val="1E293B"/>
          <w:sz w:val="22"/>
          <w:szCs w:val="22"/>
        </w:rPr>
        <w:t xml:space="preserve">This gradient enables first-order prediction: F_{S⊕δ}(x) ≈ F_S(x) + ∇F_S(x)·δ, achieving &gt;80% accuracy for |δ| ≤ 4 bit changes.</w:t>
      </w:r>
    </w:p>
    <w:p>
      <w:pPr>
        <w:pStyle w:val="Heading2"/>
      </w:pPr>
      <w:r>
        <w:t xml:space="preserve">3.3 Stability Sandwich Pattern</w:t>
      </w:r>
    </w:p>
    <w:p>
      <w:pPr>
        <w:spacing w:after="120" w:before="120" w:line="312"/>
      </w:pPr>
      <w:r>
        <w:rPr>
          <w:rFonts w:ascii="Times New Roman" w:cs="Times New Roman" w:eastAsia="Times New Roman" w:hAnsi="Times New Roman"/>
          <w:color w:val="1E293B"/>
          <w:sz w:val="22"/>
          <w:szCs w:val="22"/>
        </w:rPr>
        <w:t xml:space="preserve">The stability pattern reduces error propagation through bounded intermediate representations:</w:t>
      </w:r>
    </w:p>
    <w:p>
      <w:pPr>
        <w:spacing w:after="120" w:before="80" w:line="312"/>
        <w:jc w:val="center"/>
      </w:pPr>
      <w:r>
        <w:rPr>
          <w:rFonts w:ascii="Times New Roman" w:cs="Times New Roman" w:eastAsia="Times New Roman" w:hAnsi="Times New Roman"/>
          <w:i/>
          <w:iCs/>
          <w:color w:val="1E293B"/>
          <w:sz w:val="22"/>
          <w:szCs w:val="22"/>
        </w:rPr>
        <w:t xml:space="preserve">Stable_Output = BOUNDS^{-1}(PROCESS(BOUNDS(input)))</w:t>
      </w:r>
    </w:p>
    <w:p>
      <w:pPr>
        <w:spacing w:after="200" w:before="120" w:line="312"/>
      </w:pPr>
      <w:r>
        <w:rPr>
          <w:rFonts w:ascii="Times New Roman" w:cs="Times New Roman" w:eastAsia="Times New Roman" w:hAnsi="Times New Roman"/>
          <w:color w:val="1E293B"/>
          <w:sz w:val="22"/>
          <w:szCs w:val="22"/>
        </w:rPr>
        <w:t xml:space="preserve">This pattern achieves 95% error reduction by preventing gradient explosion through bounded intermediate layers.</w:t>
      </w:r>
    </w:p>
    <w:p>
      <w:pPr>
        <w:pStyle w:val="Heading1"/>
      </w:pPr>
      <w:r>
        <w:t xml:space="preserve">4. Risk Mitigation Strategy</w:t>
      </w:r>
    </w:p>
    <w:p>
      <w:pPr>
        <w:pStyle w:val="Heading2"/>
      </w:pPr>
      <w:r>
        <w:t xml:space="preserve">4.1 Technical Risks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Integration complexity: Mitigate by extracting high-independence components first</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Performance regression: Continuous benchmarking against baseline implementations</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API stability: Semantic versioning with deprecation notices</w:t>
      </w:r>
    </w:p>
    <w:p>
      <w:pPr>
        <w:pStyle w:val="Heading2"/>
      </w:pPr>
      <w:r>
        <w:t xml:space="preserve">4.2 Community Risks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Low adoption: Target multiple developer communities with specialized components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Documentation debt: Each repo includes comprehensive docs as release requirement</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Contribution friction: Clear CONTRIBUTING.md and issue templates for each repo</w:t>
      </w:r>
    </w:p>
    <w:p>
      <w:pPr>
        <w:pStyle w:val="Heading1"/>
      </w:pPr>
      <w:r>
        <w:t xml:space="preserve">5. Success Metrics</w:t>
      </w:r>
    </w:p>
    <w:p>
      <w:pPr>
        <w:spacing w:after="120" w:before="120" w:line="312"/>
      </w:pPr>
      <w:r>
        <w:rPr>
          <w:rFonts w:ascii="Times New Roman" w:cs="Times New Roman" w:eastAsia="Times New Roman" w:hAnsi="Times New Roman"/>
          <w:color w:val="1E293B"/>
          <w:sz w:val="22"/>
          <w:szCs w:val="22"/>
        </w:rPr>
        <w:t xml:space="preserve">The implementation will be measured against the following quantitative targets: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Performance: 100x speedup on benchmark tasks vs baseline transformers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Memory: 70% reduction in peak memory usage for equivalent workloads</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Accuracy: &gt;95% accuracy retention vs full attention baseline</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Adoption: 100+ GitHub stars across component repos within 30 days</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Contribution: 5+ external PRs within 60 days of initial release</w:t>
      </w:r>
    </w:p>
    <w:p>
      <w:pPr>
        <w:pStyle w:val="Heading1"/>
      </w:pPr>
      <w:r>
        <w:t xml:space="preserve">6. Resource Requirements</w:t>
      </w:r>
    </w:p>
    <w:p>
      <w:pPr>
        <w:pStyle w:val="Heading2"/>
      </w:pPr>
      <w:r>
        <w:t xml:space="preserve">6.1 API Keys</w:t>
      </w:r>
    </w:p>
    <w:p>
      <w:pPr>
        <w:spacing w:after="120" w:before="120" w:line="312"/>
      </w:pPr>
      <w:r>
        <w:rPr>
          <w:rFonts w:ascii="Times New Roman" w:cs="Times New Roman" w:eastAsia="Times New Roman" w:hAnsi="Times New Roman"/>
          <w:color w:val="1E293B"/>
          <w:sz w:val="22"/>
          <w:szCs w:val="22"/>
        </w:rPr>
        <w:t xml:space="preserve">The following API keys are available for research and development:</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DeepSeek: sk-52ca5ef000fd4ca3bdcfce315e148253</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DeepInfra (NEW): unKqypAXPerb7qHAjflJ9wA3zTQJG77c</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Moonshot: sk-4rWWxdjfxExeULou1nJKwnu85Rs7QlB9OllcnJBS35G1xsGK</w:t>
      </w:r>
    </w:p>
    <w:p>
      <w:pPr>
        <w:pStyle w:val="Heading2"/>
      </w:pPr>
      <w:r>
        <w:t xml:space="preserve">6.2 Specialized Agents</w:t>
      </w:r>
    </w:p>
    <w:p>
      <w:pPr>
        <w:spacing w:after="120" w:before="120" w:line="312"/>
      </w:pPr>
      <w:r>
        <w:rPr>
          <w:rFonts w:ascii="Times New Roman" w:cs="Times New Roman" w:eastAsia="Times New Roman" w:hAnsi="Times New Roman"/>
          <w:color w:val="1E293B"/>
          <w:sz w:val="22"/>
          <w:szCs w:val="22"/>
        </w:rPr>
        <w:t xml:space="preserve">The following agent specializations support the implementation:</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PENELOPE: Penrose geometry, aperiodic tile discovery</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HOLON: Holographic math, bulk-boundary optimization</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BIORA: Biological learning, non-cognitive computation</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TESSERA: MoE architecture, tile decomposition</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CHRONOS: Sync/async, timing optimization</w:t>
      </w:r>
    </w:p>
    <w:p>
      <w:pPr>
        <w:pStyle w:val="Heading1"/>
      </w:pPr>
      <w:r>
        <w:t xml:space="preserve">7. Next Steps</w:t>
      </w:r>
    </w:p>
    <w:p>
      <w:pPr>
        <w:spacing w:after="120" w:before="120" w:line="312"/>
      </w:pPr>
      <w:r>
        <w:rPr>
          <w:rFonts w:ascii="Times New Roman" w:cs="Times New Roman" w:eastAsia="Times New Roman" w:hAnsi="Times New Roman"/>
          <w:color w:val="1E293B"/>
          <w:sz w:val="22"/>
          <w:szCs w:val="22"/>
        </w:rPr>
        <w:t xml:space="preserve">Immediate actions required to initiate implementation:</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Create ghost-tiles repository with initial Ghost Tile Registry implementation</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Set up seed-theory repository with mathematical foundations from Round 5 research</w:t>
      </w:r>
    </w:p>
    <w:p>
      <w:pPr>
        <w:pStyle w:val="ListParagraph"/>
        <w:numPr>
          <w:ilvl w:val="0"/>
          <w:numId w:val="2"/>
        </w:numPr>
        <w:spacing w:after="80" w:before="80" w:line="312"/>
      </w:pPr>
      <w:r>
        <w:rPr>
          <w:rFonts w:ascii="Times New Roman" w:cs="Times New Roman" w:eastAsia="Times New Roman" w:hAnsi="Times New Roman"/>
          <w:color w:val="1E293B"/>
          <w:sz w:val="22"/>
          <w:szCs w:val="22"/>
        </w:rPr>
        <w:t xml:space="preserve">Initialize LOG-Tensor Core with essential tensor operations</w:t>
      </w:r>
    </w:p>
    <w:p>
      <w:pPr>
        <w:pStyle w:val="ListParagraph"/>
        <w:numPr>
          <w:ilvl w:val="0"/>
          <w:numId w:val="2"/>
        </w:numPr>
        <w:spacing w:after="200" w:before="80" w:line="312"/>
      </w:pPr>
      <w:r>
        <w:rPr>
          <w:rFonts w:ascii="Times New Roman" w:cs="Times New Roman" w:eastAsia="Times New Roman" w:hAnsi="Times New Roman"/>
          <w:color w:val="1E293B"/>
          <w:sz w:val="22"/>
          <w:szCs w:val="22"/>
        </w:rPr>
        <w:t xml:space="preserve">Publish Developer Glue Instructions for component integration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POLLN-RTT Master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2026-03-10T00:13:45.684Z</dcterms:created>
  <dcterms:modified xsi:type="dcterms:W3CDTF">2026-03-10T00:13:45.685Z</dcterms:modified>
</cp:coreProperties>
</file>

<file path=docProps/custom.xml><?xml version="1.0" encoding="utf-8"?>
<Properties xmlns="http://schemas.openxmlformats.org/officeDocument/2006/custom-properties" xmlns:vt="http://schemas.openxmlformats.org/officeDocument/2006/docPropsVTypes"/>
</file>