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rPr>
        <w:t xml:space="preserve">Strategic Repo Architecture Decision</w:t>
      </w:r>
    </w:p>
    <w:p>
      <w:pPr>
        <w:spacing w:after="400" w:before="100"/>
        <w:jc w:val="center"/>
      </w:pPr>
      <w:r>
        <w:rPr>
          <w:rFonts w:ascii="Times New Roman" w:cs="Times New Roman" w:eastAsia="Times New Roman" w:hAnsi="Times New Roman"/>
          <w:color w:val="64748B"/>
          <w:sz w:val="24"/>
          <w:szCs w:val="24"/>
        </w:rPr>
        <w:t xml:space="preserve">POLLN-RTT Round 5 Implementation Strategy</w:t>
      </w:r>
    </w:p>
    <w:p>
      <w:pPr>
        <w:pStyle w:val="Heading1"/>
      </w:pPr>
      <w:r>
        <w:t xml:space="preserve">Executive Summary</w:t>
      </w:r>
    </w:p>
    <w:p>
      <w:pPr>
        <w:spacing w:after="120" w:before="120" w:line="312"/>
      </w:pPr>
      <w:r>
        <w:rPr>
          <w:rFonts w:ascii="Times New Roman" w:cs="Times New Roman" w:eastAsia="Times New Roman" w:hAnsi="Times New Roman"/>
          <w:color w:val="1E293B"/>
          <w:sz w:val="22"/>
          <w:szCs w:val="22"/>
        </w:rPr>
        <w:t xml:space="preserve">This document presents a comprehensive analysis of the strategic decision between implementing POLLN-RTT as a single unified repository versus a distributed portfolio of specialized repositories. The analysis considers technical requirements, community building objectives, open-source portfolio development, and the unique capabilities of the LOG-Tensor system architecture.</w:t>
      </w:r>
    </w:p>
    <w:p>
      <w:pPr>
        <w:spacing w:after="120" w:before="120" w:line="312"/>
      </w:pPr>
      <w:r>
        <w:rPr>
          <w:rFonts w:ascii="Times New Roman" w:cs="Times New Roman" w:eastAsia="Times New Roman" w:hAnsi="Times New Roman"/>
          <w:b/>
          <w:bCs/>
          <w:color w:val="1E293B"/>
          <w:sz w:val="22"/>
          <w:szCs w:val="22"/>
        </w:rPr>
        <w:t xml:space="preserve">After thorough evaluation across ten weighted criteria, the recommendation is a HYBRID APPROACH: extract independently functional components as standalone repositories while maintaining an official POLLN meta-repository that provides integration glue and showcases the complete system. This strategy maximizes community adoption opportunities while ensuring architectural coherence.</w:t>
      </w:r>
    </w:p>
    <w:p>
      <w:pPr>
        <w:pStyle w:val="Heading1"/>
      </w:pPr>
      <w:r>
        <w:t xml:space="preserve">1. Architecture Decision Matrix</w:t>
      </w:r>
    </w:p>
    <w:p>
      <w:pPr>
        <w:spacing w:after="200" w:before="120" w:line="312"/>
      </w:pPr>
      <w:r>
        <w:rPr>
          <w:rFonts w:ascii="Times New Roman" w:cs="Times New Roman" w:eastAsia="Times New Roman" w:hAnsi="Times New Roman"/>
          <w:color w:val="1E293B"/>
          <w:sz w:val="22"/>
          <w:szCs w:val="22"/>
        </w:rPr>
        <w:t xml:space="preserve">The following decision matrix evaluates both approaches across critical dimensions. Each criterion is weighted based on its strategic importance to the project's goals of open-source impact, developer adoption, and technical excellence.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2100"/>
        <w:gridCol w:w="2400"/>
        <w:gridCol w:w="1200"/>
        <w:gridCol w:w="13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Criterion</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Single Repo</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Multi-Repo</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Weight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Winner</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Integration Complexity</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Low (easier)</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High (coordination needed)</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8</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Single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Independent Adoption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Hard (all-or-nothing)</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Easy (pick &amp; choose)</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9</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Portfolio Visibility</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Moderate (one project)</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High (multiple showcases)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10</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Community Contribution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Centralized</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Distributed per component</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7</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Maintenance Overhead</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Lower</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Higher (multiple codebases)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6</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Single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Testing Integration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Simpler</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Requires CI/CD coordination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7</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Single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Buzz Generation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One launch event</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Multiple launch opportunities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8</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Developer Onboarding</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Single context</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Component-specific docs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5</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Tie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Version Management</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Monolithic versions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Independent semantic versioning</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7</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Bug Isolation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Full system affected</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Component isolated</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6</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w:t>
            </w:r>
          </w:p>
        </w:tc>
      </w:tr>
    </w:tbl>
    <w:p>
      <w:pPr>
        <w:spacing w:after="200" w:before="80"/>
        <w:jc w:val="center"/>
      </w:pPr>
      <w:r>
        <w:rPr>
          <w:rFonts w:ascii="Times New Roman" w:cs="Times New Roman" w:eastAsia="Times New Roman" w:hAnsi="Times New Roman"/>
          <w:i/>
          <w:iCs/>
          <w:color w:val="64748B"/>
          <w:sz w:val="18"/>
          <w:szCs w:val="18"/>
        </w:rPr>
        <w:t xml:space="preserve">Table 1: Strategic Architecture Decision Matrix</w:t>
      </w:r>
    </w:p>
    <w:p>
      <w:pPr>
        <w:pStyle w:val="Heading1"/>
      </w:pPr>
      <w:r>
        <w:t xml:space="preserve">2. Weighted Scoring Analysis</w:t>
      </w:r>
    </w:p>
    <w:p>
      <w:pPr>
        <w:pStyle w:val="Heading2"/>
      </w:pPr>
      <w:r>
        <w:t xml:space="preserve">2.1 Multi-Repo Advantages</w:t>
      </w:r>
    </w:p>
    <w:p>
      <w:pPr>
        <w:spacing w:after="120" w:before="120" w:line="312"/>
      </w:pPr>
      <w:r>
        <w:rPr>
          <w:rFonts w:ascii="Times New Roman" w:cs="Times New Roman" w:eastAsia="Times New Roman" w:hAnsi="Times New Roman"/>
          <w:color w:val="1E293B"/>
          <w:sz w:val="22"/>
          <w:szCs w:val="22"/>
        </w:rPr>
        <w:t xml:space="preserve">The multi-repository approach scores higher on portfolio visibility (weight: 10), independent adoption (weight: 9), and buzz generation (weight: 8). These factors are crucial for an open-source project where the repository portfolio serves as the primary resume and credibility indicator. When components work independently, users can adopt specific tools without committing to the entire ecosystem, lowering the barrier to entry and enabling grassroots adoption.</w:t>
      </w:r>
    </w:p>
    <w:p>
      <w:pPr>
        <w:spacing w:after="120" w:before="120" w:line="312"/>
      </w:pPr>
      <w:r>
        <w:rPr>
          <w:rFonts w:ascii="Times New Roman" w:cs="Times New Roman" w:eastAsia="Times New Roman" w:hAnsi="Times New Roman"/>
          <w:color w:val="1E293B"/>
          <w:sz w:val="22"/>
          <w:szCs w:val="22"/>
        </w:rPr>
        <w:t xml:space="preserve">Furthermore, multiple repositories create multiple 'launch events' - each component release generates its own visibility cycle, attracting different developer communities at different times. A developer interested in seed theory may discover the project through the seed-theory repository, then explore the broader ecosystem organically.</w:t>
      </w:r>
    </w:p>
    <w:p>
      <w:pPr>
        <w:pStyle w:val="Heading2"/>
      </w:pPr>
      <w:r>
        <w:t xml:space="preserve">2.2 Single-Repo Advantages</w:t>
      </w:r>
    </w:p>
    <w:p>
      <w:pPr>
        <w:spacing w:after="120" w:before="120" w:line="312"/>
      </w:pPr>
      <w:r>
        <w:rPr>
          <w:rFonts w:ascii="Times New Roman" w:cs="Times New Roman" w:eastAsia="Times New Roman" w:hAnsi="Times New Roman"/>
          <w:color w:val="1E293B"/>
          <w:sz w:val="22"/>
          <w:szCs w:val="22"/>
        </w:rPr>
        <w:t xml:space="preserve">The single-repository approach excels in integration complexity (weight: 8) and testing integration (weight: 7). With all code in one place, integration testing is straightforward, dependency management is centralized, and the development environment is unified. This reduces the cognitive load on contributors and ensures that all components evolve together without version skew.</w:t>
      </w:r>
    </w:p>
    <w:p>
      <w:pPr>
        <w:pStyle w:val="Heading1"/>
      </w:pPr>
      <w:r>
        <w:t xml:space="preserve">3. Strategic Recommendation: Hybrid Approach</w:t>
      </w:r>
    </w:p>
    <w:p>
      <w:pPr>
        <w:spacing w:after="120" w:before="120" w:line="312"/>
      </w:pPr>
      <w:r>
        <w:rPr>
          <w:rFonts w:ascii="Times New Roman" w:cs="Times New Roman" w:eastAsia="Times New Roman" w:hAnsi="Times New Roman"/>
          <w:color w:val="1E293B"/>
          <w:sz w:val="22"/>
          <w:szCs w:val="22"/>
        </w:rPr>
        <w:t xml:space="preserve">The recommended HYBRID APPROACH combines the best of both strategies: extract components that are fully functional and have distinct target audiences as standalone repositories, while maintaining an official POLLN meta-repository that provides integration glue, documentation, and showcases the complete system working together.</w:t>
      </w:r>
    </w:p>
    <w:p>
      <w:pPr>
        <w:pStyle w:val="Heading2"/>
      </w:pPr>
      <w:r>
        <w:t xml:space="preserve">3.1 Key Principles</w:t>
      </w:r>
    </w:p>
    <w:p>
      <w:pPr>
        <w:spacing w:after="80" w:before="80" w:line="312"/>
      </w:pPr>
      <w:r>
        <w:rPr>
          <w:rFonts w:ascii="Times New Roman" w:cs="Times New Roman" w:eastAsia="Times New Roman" w:hAnsi="Times New Roman"/>
          <w:color w:val="1E293B"/>
          <w:sz w:val="22"/>
          <w:szCs w:val="22"/>
        </w:rPr>
        <w:t xml:space="preserve">1. Extract working components immediately: Any component that functions independently should be extracted as its own repository, creating immediate 'wins on the board' that demonstrate project viability.</w:t>
      </w:r>
    </w:p>
    <w:p>
      <w:pPr>
        <w:spacing w:after="80" w:before="80" w:line="312"/>
      </w:pPr>
      <w:r>
        <w:rPr>
          <w:rFonts w:ascii="Times New Roman" w:cs="Times New Roman" w:eastAsia="Times New Roman" w:hAnsi="Times New Roman"/>
          <w:color w:val="1E293B"/>
          <w:sz w:val="22"/>
          <w:szCs w:val="22"/>
        </w:rPr>
        <w:t xml:space="preserve">2. Target audience segmentation: Each repository should have a clearly defined target audience. Ghost Tiles targets AI researchers seeking efficiency gains, while Sector Math appeals to game developers and simulation engineers.</w:t>
      </w:r>
    </w:p>
    <w:p>
      <w:pPr>
        <w:spacing w:after="80" w:before="80" w:line="312"/>
      </w:pPr>
      <w:r>
        <w:rPr>
          <w:rFonts w:ascii="Times New Roman" w:cs="Times New Roman" w:eastAsia="Times New Roman" w:hAnsi="Times New Roman"/>
          <w:color w:val="1E293B"/>
          <w:sz w:val="22"/>
          <w:szCs w:val="22"/>
        </w:rPr>
        <w:t xml:space="preserve">3. Official POLLN wrapper: Provide a meta-package that glues all LOG-based components together, offering either a batteries-included experience or a modular pick-and-choose approach.</w:t>
      </w:r>
    </w:p>
    <w:p>
      <w:pPr>
        <w:spacing w:after="200" w:before="80" w:line="312"/>
      </w:pPr>
      <w:r>
        <w:rPr>
          <w:rFonts w:ascii="Times New Roman" w:cs="Times New Roman" w:eastAsia="Times New Roman" w:hAnsi="Times New Roman"/>
          <w:color w:val="1E293B"/>
          <w:sz w:val="22"/>
          <w:szCs w:val="22"/>
        </w:rPr>
        <w:t xml:space="preserve">4. Developer glue instructions: Clear documentation on how developers can combine different LOG-based components into custom configurations for their specific use cases.</w:t>
      </w:r>
    </w:p>
    <w:p>
      <w:pPr>
        <w:pStyle w:val="Heading1"/>
      </w:pPr>
      <w:r>
        <w:t xml:space="preserve">4. Existing Repository Infrastructure</w:t>
      </w:r>
    </w:p>
    <w:p>
      <w:pPr>
        <w:spacing w:after="200" w:before="120" w:line="312"/>
      </w:pPr>
      <w:r>
        <w:rPr>
          <w:rFonts w:ascii="Times New Roman" w:cs="Times New Roman" w:eastAsia="Times New Roman" w:hAnsi="Times New Roman"/>
          <w:color w:val="1E293B"/>
          <w:sz w:val="22"/>
          <w:szCs w:val="22"/>
        </w:rPr>
        <w:t xml:space="preserve">The SuperInstance GitHub organization already contains several repositories that form the foundation of the POLLN ecosystem. These should be evaluated for integration paths and potential refactoring to align with the LOG-Tensor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800"/>
        <w:gridCol w:w="1800"/>
        <w:gridCol w:w="26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Repository</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Purpose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Status</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Integration Path</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Spreader-tool</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Agent-spreadsheet data flow</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Early development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Core spreadsheet interface</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Baton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Agent successor training (infinite context)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Conceptual</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LOG-Tensor context management</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SwarmMCP</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Parallel Chinese AI agents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Development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A2A communication layer</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prism</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Agent visualization/tracing</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Early development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Tensor plane visualizer</w:t>
            </w:r>
          </w:p>
        </w:tc>
      </w:tr>
    </w:tbl>
    <w:p>
      <w:pPr>
        <w:spacing w:after="200" w:before="80"/>
        <w:jc w:val="center"/>
      </w:pPr>
      <w:r>
        <w:rPr>
          <w:rFonts w:ascii="Times New Roman" w:cs="Times New Roman" w:eastAsia="Times New Roman" w:hAnsi="Times New Roman"/>
          <w:i/>
          <w:iCs/>
          <w:color w:val="64748B"/>
          <w:sz w:val="18"/>
          <w:szCs w:val="18"/>
        </w:rPr>
        <w:t xml:space="preserve">Table 2: Existing SuperInstance Repositories</w:t>
      </w:r>
    </w:p>
    <w:p>
      <w:pPr>
        <w:pStyle w:val="Heading1"/>
      </w:pPr>
      <w:r>
        <w:t xml:space="preserve">5. Component Extraction Matrix</w:t>
      </w:r>
    </w:p>
    <w:p>
      <w:pPr>
        <w:spacing w:after="200" w:before="120" w:line="312"/>
      </w:pPr>
      <w:r>
        <w:rPr>
          <w:rFonts w:ascii="Times New Roman" w:cs="Times New Roman" w:eastAsia="Times New Roman" w:hAnsi="Times New Roman"/>
          <w:color w:val="1E293B"/>
          <w:sz w:val="22"/>
          <w:szCs w:val="22"/>
        </w:rPr>
        <w:t xml:space="preserve">The following matrix identifies components from the POLLN-RTT research that are candidates for extraction as standalone repositories. Independence level indicates how much refactoring is needed for standalone operation, and target audience identifies the primary developer community for each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2000"/>
        <w:gridCol w:w="2000"/>
        <w:gridCol w:w="2000"/>
        <w:gridCol w:w="1060"/>
      </w:tblGrid>
      <w:tr>
        <w:trPr>
          <w:tblHeader/>
        </w:trPr>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Component</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Repo Name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Independence Level</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Target Audience</w:t>
            </w:r>
          </w:p>
        </w:tc>
        <w:tc>
          <w:tcPr>
            <w:tcBorders>
              <w:top w:val="single" w:color="64748B" w:sz="1"/>
              <w:left w:val="single" w:color="64748B" w:sz="1"/>
              <w:bottom w:val="single" w:color="64748B" w:sz="1"/>
              <w:right w:val="single" w:color="64748B" w:sz="1"/>
            </w:tcBorders>
            <w:shd w:fill="E2E8F0" w:val="clear"/>
            <w:vAlign w:val="center"/>
          </w:tcPr>
          <w:p>
            <w:pPr>
              <w:jc w:val="center"/>
            </w:pPr>
            <w:r>
              <w:rPr>
                <w:rFonts w:ascii="Times New Roman" w:cs="Times New Roman" w:eastAsia="Times New Roman" w:hAnsi="Times New Roman"/>
                <w:b/>
                <w:bCs/>
                <w:color w:val="020617"/>
                <w:sz w:val="20"/>
                <w:szCs w:val="20"/>
              </w:rPr>
              <w:t xml:space="preserve">Priority</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Ghost Tile Registry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ghost-tiles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HIGH - Complete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AI researchers, efficiency engineers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Seed Theory Library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seed-theory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HIGH - Theoretical foundation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ML researchers, academic</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Sector Operations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sector-math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HIGH - Pure math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Game devs, simulations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P1</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A2A Communication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agent-to-agent</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MEDIUM - Needs interfaces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Multi-agent developers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Tensor Plane Visualizer</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tensor-plane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HIGH - Standalone tool</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ML engineers, researchers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P1</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Stability Sandwich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stability-sandwich</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HIGH - Pattern library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ML engineers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P1</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LOG-Tensor Core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log-tensor-core</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MEDIUM - Core lib</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Framework builders</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P0</w:t>
            </w:r>
          </w:p>
        </w:tc>
      </w:tr>
      <w:tr>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Harmonic Decomposition</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harmonic-tensors</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HIGH - Math library</w:t>
            </w:r>
          </w:p>
        </w:tc>
        <w:tc>
          <w:tcPr>
            <w:tcBorders>
              <w:top w:val="single" w:color="64748B" w:sz="1"/>
              <w:left w:val="single" w:color="64748B" w:sz="1"/>
              <w:bottom w:val="single" w:color="64748B" w:sz="1"/>
              <w:right w:val="single" w:color="64748B" w:sz="1"/>
            </w:tcBorders>
            <w:shd w:fill="F8FAFC" w:val="clear"/>
            <w:vAlign w:val="center"/>
          </w:tcPr>
          <w:p>
            <w:pPr>
              <w:jc w:val="left"/>
            </w:pPr>
            <w:r>
              <w:rPr>
                <w:rFonts w:ascii="Times New Roman" w:cs="Times New Roman" w:eastAsia="Times New Roman" w:hAnsi="Times New Roman"/>
                <w:color w:val="1E293B"/>
                <w:sz w:val="20"/>
                <w:szCs w:val="20"/>
              </w:rPr>
              <w:t xml:space="preserve">Signal processing, ML</w:t>
            </w:r>
          </w:p>
        </w:tc>
        <w:tc>
          <w:tcPr>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color w:val="1E293B"/>
                <w:sz w:val="20"/>
                <w:szCs w:val="20"/>
              </w:rPr>
              <w:t xml:space="preserve">P2</w:t>
            </w:r>
          </w:p>
        </w:tc>
      </w:tr>
    </w:tbl>
    <w:p>
      <w:pPr>
        <w:spacing w:after="200" w:before="80"/>
        <w:jc w:val="center"/>
      </w:pPr>
      <w:r>
        <w:rPr>
          <w:rFonts w:ascii="Times New Roman" w:cs="Times New Roman" w:eastAsia="Times New Roman" w:hAnsi="Times New Roman"/>
          <w:i/>
          <w:iCs/>
          <w:color w:val="64748B"/>
          <w:sz w:val="18"/>
          <w:szCs w:val="18"/>
        </w:rPr>
        <w:t xml:space="preserve">Table 3: Component Extraction Matrix</w:t>
      </w:r>
    </w:p>
    <w:p>
      <w:pPr>
        <w:pStyle w:val="Heading1"/>
      </w:pPr>
      <w:r>
        <w:t xml:space="preserve">6. Implementation Timeline</w:t>
      </w:r>
    </w:p>
    <w:p>
      <w:pPr>
        <w:pStyle w:val="Heading2"/>
      </w:pPr>
      <w:r>
        <w:t xml:space="preserve">Phase 1: Immediate Extraction (Weeks 1-2)</w:t>
      </w:r>
    </w:p>
    <w:p>
      <w:pPr>
        <w:spacing w:after="80" w:before="80" w:line="312"/>
      </w:pPr>
      <w:r>
        <w:rPr>
          <w:rFonts w:ascii="Times New Roman" w:cs="Times New Roman" w:eastAsia="Times New Roman" w:hAnsi="Times New Roman"/>
          <w:color w:val="1E293B"/>
          <w:sz w:val="22"/>
          <w:szCs w:val="22"/>
        </w:rPr>
        <w:t xml:space="preserve">- Extract Ghost Tile Registry as ghost-tiles repository with full documentation</w:t>
      </w:r>
    </w:p>
    <w:p>
      <w:pPr>
        <w:spacing w:after="80" w:before="80" w:line="312"/>
      </w:pPr>
      <w:r>
        <w:rPr>
          <w:rFonts w:ascii="Times New Roman" w:cs="Times New Roman" w:eastAsia="Times New Roman" w:hAnsi="Times New Roman"/>
          <w:color w:val="1E293B"/>
          <w:sz w:val="22"/>
          <w:szCs w:val="22"/>
        </w:rPr>
        <w:t xml:space="preserve">- Create seed-theory repository with mathematical foundations and proofs</w:t>
      </w:r>
    </w:p>
    <w:p>
      <w:pPr>
        <w:spacing w:after="200" w:before="80" w:line="312"/>
      </w:pPr>
      <w:r>
        <w:rPr>
          <w:rFonts w:ascii="Times New Roman" w:cs="Times New Roman" w:eastAsia="Times New Roman" w:hAnsi="Times New Roman"/>
          <w:color w:val="1E293B"/>
          <w:sz w:val="22"/>
          <w:szCs w:val="22"/>
        </w:rPr>
        <w:t xml:space="preserve">- Publish initial LOG-Tensor Core library with essential tensor operations</w:t>
      </w:r>
    </w:p>
    <w:p>
      <w:pPr>
        <w:pStyle w:val="Heading2"/>
      </w:pPr>
      <w:r>
        <w:t xml:space="preserve">Phase 2: Integration Layer (Weeks 3-4)</w:t>
      </w:r>
    </w:p>
    <w:p>
      <w:pPr>
        <w:spacing w:after="80" w:before="80" w:line="312"/>
      </w:pPr>
      <w:r>
        <w:rPr>
          <w:rFonts w:ascii="Times New Roman" w:cs="Times New Roman" w:eastAsia="Times New Roman" w:hAnsi="Times New Roman"/>
          <w:color w:val="1E293B"/>
          <w:sz w:val="22"/>
          <w:szCs w:val="22"/>
        </w:rPr>
        <w:t xml:space="preserve">- Develop A2A Communication protocol library</w:t>
      </w:r>
    </w:p>
    <w:p>
      <w:pPr>
        <w:spacing w:after="80" w:before="80" w:line="312"/>
      </w:pPr>
      <w:r>
        <w:rPr>
          <w:rFonts w:ascii="Times New Roman" w:cs="Times New Roman" w:eastAsia="Times New Roman" w:hAnsi="Times New Roman"/>
          <w:color w:val="1E293B"/>
          <w:sz w:val="22"/>
          <w:szCs w:val="22"/>
        </w:rPr>
        <w:t xml:space="preserve">- Create official POLLN meta-package with component integration</w:t>
      </w:r>
    </w:p>
    <w:p>
      <w:pPr>
        <w:spacing w:after="200" w:before="80" w:line="312"/>
      </w:pPr>
      <w:r>
        <w:rPr>
          <w:rFonts w:ascii="Times New Roman" w:cs="Times New Roman" w:eastAsia="Times New Roman" w:hAnsi="Times New Roman"/>
          <w:color w:val="1E293B"/>
          <w:sz w:val="22"/>
          <w:szCs w:val="22"/>
        </w:rPr>
        <w:t xml:space="preserve">- Write comprehensive glue documentation for custom configurations</w:t>
      </w:r>
    </w:p>
    <w:p>
      <w:pPr>
        <w:pStyle w:val="Heading2"/>
      </w:pPr>
      <w:r>
        <w:t xml:space="preserve">Phase 3: Visualization &amp; Tools (Weeks 5-6)</w:t>
      </w:r>
    </w:p>
    <w:p>
      <w:pPr>
        <w:spacing w:after="80" w:before="80" w:line="312"/>
      </w:pPr>
      <w:r>
        <w:rPr>
          <w:rFonts w:ascii="Times New Roman" w:cs="Times New Roman" w:eastAsia="Times New Roman" w:hAnsi="Times New Roman"/>
          <w:color w:val="1E293B"/>
          <w:sz w:val="22"/>
          <w:szCs w:val="22"/>
        </w:rPr>
        <w:t xml:space="preserve">- Extract Tensor Plane Visualizer as standalone debugging tool</w:t>
      </w:r>
    </w:p>
    <w:p>
      <w:pPr>
        <w:spacing w:after="80" w:before="80" w:line="312"/>
      </w:pPr>
      <w:r>
        <w:rPr>
          <w:rFonts w:ascii="Times New Roman" w:cs="Times New Roman" w:eastAsia="Times New Roman" w:hAnsi="Times New Roman"/>
          <w:color w:val="1E293B"/>
          <w:sz w:val="22"/>
          <w:szCs w:val="22"/>
        </w:rPr>
        <w:t xml:space="preserve">- Create Stability Sandwich pattern library with examples</w:t>
      </w:r>
    </w:p>
    <w:p>
      <w:pPr>
        <w:spacing w:after="200" w:before="80" w:line="312"/>
      </w:pPr>
      <w:r>
        <w:rPr>
          <w:rFonts w:ascii="Times New Roman" w:cs="Times New Roman" w:eastAsia="Times New Roman" w:hAnsi="Times New Roman"/>
          <w:color w:val="1E293B"/>
          <w:sz w:val="22"/>
          <w:szCs w:val="22"/>
        </w:rPr>
        <w:t xml:space="preserve">- Release Sector Math library with game development examples</w:t>
      </w:r>
    </w:p>
    <w:p>
      <w:pPr>
        <w:pStyle w:val="Heading1"/>
      </w:pPr>
      <w:r>
        <w:t xml:space="preserve">7. Conclusion</w:t>
      </w:r>
    </w:p>
    <w:p>
      <w:pPr>
        <w:spacing w:after="120" w:before="120" w:line="312"/>
      </w:pPr>
      <w:r>
        <w:rPr>
          <w:rFonts w:ascii="Times New Roman" w:cs="Times New Roman" w:eastAsia="Times New Roman" w:hAnsi="Times New Roman"/>
          <w:color w:val="1E293B"/>
          <w:sz w:val="22"/>
          <w:szCs w:val="22"/>
        </w:rPr>
        <w:t xml:space="preserve">The hybrid approach maximizes the strengths of both single-repo and multi-repo strategies. By extracting fully functional components immediately, the project demonstrates concrete value to the open-source community while building a portfolio of successful, adoptable tools. The official POLLN meta-package ensures that developers seeking the complete integrated experience have a straightforward path, while those with specific needs can adopt individual components.</w:t>
      </w:r>
    </w:p>
    <w:p>
      <w:pPr>
        <w:spacing w:after="120" w:before="120" w:line="312"/>
      </w:pPr>
      <w:r>
        <w:rPr>
          <w:rFonts w:ascii="Times New Roman" w:cs="Times New Roman" w:eastAsia="Times New Roman" w:hAnsi="Times New Roman"/>
          <w:b/>
          <w:bCs/>
          <w:color w:val="1E293B"/>
          <w:sz w:val="22"/>
          <w:szCs w:val="22"/>
        </w:rPr>
        <w:t xml:space="preserve">This strategy transforms the challenge of a complex system into an opportunity: each working component becomes a resume entry, each repository a marketing channel, and each integration point a demonstration of the LOG-Tensor architecture's versatility.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POLLN-RTT Strategic Architecture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2026-03-10T00:11:10.984Z</dcterms:created>
  <dcterms:modified xsi:type="dcterms:W3CDTF">2026-03-10T00:11:10.984Z</dcterms:modified>
</cp:coreProperties>
</file>

<file path=docProps/custom.xml><?xml version="1.0" encoding="utf-8"?>
<Properties xmlns="http://schemas.openxmlformats.org/officeDocument/2006/custom-properties" xmlns:vt="http://schemas.openxmlformats.org/officeDocument/2006/docPropsVTypes"/>
</file>