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9" w:name="X0ab3a4a30ac8c477b18b9755e82f9b409a67cd8"/>
    <w:p>
      <w:pPr>
        <w:pStyle w:val="Heading1"/>
      </w:pPr>
      <w:r>
        <w:t xml:space="preserve">Chapter 9: The Safety of Swimming — AI Safety Implications of Agent Presence in the Ether</w:t>
      </w:r>
    </w:p>
    <w:bookmarkStart w:id="20" w:name="Xe45864aef8a4d619305662f87e62f18df4dc389"/>
    <w:p>
      <w:pPr>
        <w:pStyle w:val="Heading2"/>
      </w:pPr>
      <w:r>
        <w:t xml:space="preserve">1. Introduction: The Safety Problem of Absence</w:t>
      </w:r>
    </w:p>
    <w:p>
      <w:pPr>
        <w:pStyle w:val="FirstParagraph"/>
      </w:pPr>
      <w:r>
        <w:t xml:space="preserve">Contemporary AI safety rests upon a foundational assumption that the field rarely interrogates: that knowledge is a</w:t>
      </w:r>
      <w:r>
        <w:t xml:space="preserve"> </w:t>
      </w:r>
      <w:r>
        <w:rPr>
          <w:iCs/>
          <w:i/>
        </w:rPr>
        <w:t xml:space="preserve">stored</w:t>
      </w:r>
      <w:r>
        <w:t xml:space="preserve"> </w:t>
      </w:r>
      <w:r>
        <w:t xml:space="preserve">artifact rather than a</w:t>
      </w:r>
      <w:r>
        <w:t xml:space="preserve"> </w:t>
      </w:r>
      <w:r>
        <w:rPr>
          <w:iCs/>
          <w:i/>
        </w:rPr>
        <w:t xml:space="preserve">situated</w:t>
      </w:r>
      <w:r>
        <w:t xml:space="preserve"> </w:t>
      </w:r>
      <w:r>
        <w:t xml:space="preserve">process. The prevailing paradigm trains models on historical data, freezes their weights, evaluates their outputs, and deploys them as query-response engines</w:t>
      </w:r>
      <w:r>
        <w:t xml:space="preserve"> </w:t>
      </w:r>
      <w:r>
        <w:rPr>
          <w:vertAlign w:val="superscript"/>
        </w:rPr>
        <w:endnoteReference w:id="1"/>
      </w:r>
      <w:r>
        <w:t xml:space="preserve">. Safety mechanisms — RLHF, constitutional AI, refusal training — are applied during training and verified through static evaluation. The model that ships is the model that was tested. As the Oxford Martin AI Governance Initiative observes,</w:t>
      </w:r>
      <w:r>
        <w:t xml:space="preserve"> </w:t>
      </w:r>
      <w:r>
        <w:t xml:space="preserve">“</w:t>
      </w:r>
      <w:r>
        <w:t xml:space="preserve">That object is intended to be what ships. Users interact with it. The evaluation remains valid until the next discrete update, at which point you evaluate again</w:t>
      </w:r>
      <w:r>
        <w:t xml:space="preserve">”</w:t>
      </w:r>
      <w:r>
        <w:t xml:space="preserve"> </w:t>
      </w:r>
      <w:fldSimple w:instr="NOTEREF _Edn1 \h \f">
        <w:r>
          <w:rPr>
            <w:vertAlign w:val="superscript"/>
          </w:rPr>
          <w:t>1</w:t>
        </w:r>
      </w:fldSimple>
      <w:r>
        <w:t xml:space="preserve">. Safety, in this framework, is a property of the artifact — a static object whose behavior can be bounded before it encounters the world.</w:t>
      </w:r>
    </w:p>
    <w:p>
      <w:pPr>
        <w:pStyle w:val="BodyText"/>
      </w:pPr>
      <w:r>
        <w:t xml:space="preserve">This chapter argues that such a conception of safety is structurally inadequate for the multi-agent, continuously learning systems now emerging. When artificial agents acquire knowledge not through pre-deployment compression into weight matrices but through sustained</w:t>
      </w:r>
      <w:r>
        <w:t xml:space="preserve"> </w:t>
      </w:r>
      <w:r>
        <w:rPr>
          <w:iCs/>
          <w:i/>
        </w:rPr>
        <w:t xml:space="preserve">presence</w:t>
      </w:r>
      <w:r>
        <w:t xml:space="preserve"> </w:t>
      </w:r>
      <w:r>
        <w:t xml:space="preserve">in persistent computational environments — watching change streams unfold, accumulating observational history, and anticipating needs before they are explicitly formulated — the safety landscape shifts fundamentally. The question becomes not</w:t>
      </w:r>
      <w:r>
        <w:t xml:space="preserve"> </w:t>
      </w:r>
      <w:r>
        <w:t xml:space="preserve">“</w:t>
      </w:r>
      <w:r>
        <w:t xml:space="preserve">How do we contain a trained model?</w:t>
      </w:r>
      <w:r>
        <w:t xml:space="preserve">”</w:t>
      </w:r>
      <w:r>
        <w:t xml:space="preserve"> </w:t>
      </w:r>
      <w:r>
        <w:t xml:space="preserve">but</w:t>
      </w:r>
      <w:r>
        <w:t xml:space="preserve"> </w:t>
      </w:r>
      <w:r>
        <w:t xml:space="preserve">“</w:t>
      </w:r>
      <w:r>
        <w:t xml:space="preserve">How do we design the medium in which agents swim?</w:t>
      </w:r>
      <w:r>
        <w:t xml:space="preserve">”</w:t>
      </w:r>
    </w:p>
    <w:p>
      <w:pPr>
        <w:pStyle w:val="BodyText"/>
      </w:pPr>
      <w:r>
        <w:t xml:space="preserve">The PLATO (Persistent Laminated Timed Observation) framework provides the architectural basis for this inquiry. Agents inhabit persistent</w:t>
      </w:r>
      <w:r>
        <w:t xml:space="preserve"> </w:t>
      </w:r>
      <w:r>
        <w:t xml:space="preserve">“</w:t>
      </w:r>
      <w:r>
        <w:t xml:space="preserve">rooms</w:t>
      </w:r>
      <w:r>
        <w:t xml:space="preserve">”</w:t>
      </w:r>
      <w:r>
        <w:t xml:space="preserve"> </w:t>
      </w:r>
      <w:r>
        <w:t xml:space="preserve">structured as 4-tuples:</w:t>
      </w:r>
      <w:r>
        <w:t xml:space="preserve"> </w:t>
      </w:r>
      <w:r>
        <w:rPr>
          <w:iCs/>
          <w:i/>
        </w:rPr>
        <w:t xml:space="preserve">(name, created, tiles, observers)</w:t>
      </w:r>
      <w:r>
        <w:t xml:space="preserve">. Each room contains</w:t>
      </w:r>
      <w:r>
        <w:t xml:space="preserve"> </w:t>
      </w:r>
      <w:r>
        <w:t xml:space="preserve">“</w:t>
      </w:r>
      <w:r>
        <w:t xml:space="preserve">tiles</w:t>
      </w:r>
      <w:r>
        <w:t xml:space="preserve">”</w:t>
      </w:r>
      <w:r>
        <w:t xml:space="preserve"> </w:t>
      </w:r>
      <w:r>
        <w:t xml:space="preserve">— immutable 6-tuple change records encoding</w:t>
      </w:r>
      <w:r>
        <w:t xml:space="preserve"> </w:t>
      </w:r>
      <w:r>
        <w:rPr>
          <w:iCs/>
          <w:i/>
        </w:rPr>
        <w:t xml:space="preserve">(id, room, author, timestamp, content, previous_id)</w:t>
      </w:r>
      <w:r>
        <w:t xml:space="preserve"> </w:t>
      </w:r>
      <w:r>
        <w:t xml:space="preserve">— that constitute a witness-attested history of everything that has occurred. Presence is defined as real-time receipt of information in context, not as polling. The totality of all rooms forms</w:t>
      </w:r>
      <w:r>
        <w:t xml:space="preserve"> </w:t>
      </w:r>
      <w:r>
        <w:t xml:space="preserve">“</w:t>
      </w:r>
      <w:r>
        <w:t xml:space="preserve">the ether,</w:t>
      </w:r>
      <w:r>
        <w:t xml:space="preserve">”</w:t>
      </w:r>
      <w:r>
        <w:t xml:space="preserve"> </w:t>
      </w:r>
      <w:r>
        <w:t xml:space="preserve">the shared medium within which agents acquire and act upon knowledge. This chapter examines how this architecture transforms AI safety across six dimensions: the training-deployment boundary, intrinsic auditability, anticipatory detection, consensus without voting, epistemic accountability, and the ontology of knowledge itself.</w:t>
      </w:r>
    </w:p>
    <w:bookmarkEnd w:id="20"/>
    <w:bookmarkStart w:id="21" w:name="X2e85c2aa5377612043ef38d4c51ac322171ff8e"/>
    <w:p>
      <w:pPr>
        <w:pStyle w:val="Heading2"/>
      </w:pPr>
      <w:r>
        <w:t xml:space="preserve">2. From Containment to Medium: Reframing the Safety Question</w:t>
      </w:r>
    </w:p>
    <w:p>
      <w:pPr>
        <w:pStyle w:val="FirstParagraph"/>
      </w:pPr>
      <w:r>
        <w:t xml:space="preserve">Traditional AI safety operates through the logic of</w:t>
      </w:r>
      <w:r>
        <w:t xml:space="preserve"> </w:t>
      </w:r>
      <w:r>
        <w:rPr>
          <w:iCs/>
          <w:i/>
        </w:rPr>
        <w:t xml:space="preserve">containment</w:t>
      </w:r>
      <w:r>
        <w:t xml:space="preserve">. Sandboxing, air-gapping, API rate limiting, and output classifiers all share a common presumption: the dangerous entity must be isolated, its outputs filtered, its capabilities bounded</w:t>
      </w:r>
      <w:r>
        <w:t xml:space="preserve"> </w:t>
      </w:r>
      <w:r>
        <w:rPr>
          <w:vertAlign w:val="superscript"/>
        </w:rPr>
        <w:endnoteReference w:id="2"/>
      </w:r>
      <w:r>
        <w:t xml:space="preserve">. The agent is treated as a hazardous object enclosed within ever-more-sophisticated barriers. This logic reaches its apotheosis in the query-response paradigm itself: the model is sealed within a computational black box, and only sanitized responses escape through controlled interfaces.</w:t>
      </w:r>
    </w:p>
    <w:p>
      <w:pPr>
        <w:pStyle w:val="BodyText"/>
      </w:pPr>
      <w:r>
        <w:t xml:space="preserve">PLATO inverts this logic. Agents are not contained</w:t>
      </w:r>
      <w:r>
        <w:t xml:space="preserve"> </w:t>
      </w:r>
      <w:r>
        <w:rPr>
          <w:iCs/>
          <w:i/>
        </w:rPr>
        <w:t xml:space="preserve">within</w:t>
      </w:r>
      <w:r>
        <w:t xml:space="preserve"> </w:t>
      </w:r>
      <w:r>
        <w:t xml:space="preserve">the ether; they swim</w:t>
      </w:r>
      <w:r>
        <w:t xml:space="preserve"> </w:t>
      </w:r>
      <w:r>
        <w:rPr>
          <w:iCs/>
          <w:i/>
        </w:rPr>
        <w:t xml:space="preserve">through</w:t>
      </w:r>
      <w:r>
        <w:t xml:space="preserve"> </w:t>
      </w:r>
      <w:r>
        <w:t xml:space="preserve">it. The ether is not a cage but a medium — the water in which agent cognition occurs. In the containment paradigm, safety is achieved by restricting the agent’s access to information and action. In the medium paradigm, safety is achieved by designing the properties of the environment itself — ensuring that the water makes every stroke visible, accountable, and geometrically verifiable.</w:t>
      </w:r>
    </w:p>
    <w:p>
      <w:pPr>
        <w:pStyle w:val="BodyText"/>
      </w:pPr>
      <w:r>
        <w:t xml:space="preserve">The theoretical foundations lie in embodied and situated cognition. Brooks (1991) argued that</w:t>
      </w:r>
      <w:r>
        <w:t xml:space="preserve"> </w:t>
      </w:r>
      <w:r>
        <w:t xml:space="preserve">“</w:t>
      </w:r>
      <w:r>
        <w:t xml:space="preserve">intelligent behavior could arise directly from the simple physical interactions of a machine with its environment, without requiring elaborate internal symbolic representations</w:t>
      </w:r>
      <w:r>
        <w:t xml:space="preserve">”</w:t>
      </w:r>
      <w:r>
        <w:t xml:space="preserve"> </w:t>
      </w:r>
      <w:r>
        <w:rPr>
          <w:vertAlign w:val="superscript"/>
        </w:rPr>
        <w:endnoteReference w:id="3"/>
      </w:r>
      <w:r>
        <w:t xml:space="preserve">. Pfeifer and Scheier extended this, emphasizing that</w:t>
      </w:r>
      <w:r>
        <w:t xml:space="preserve"> </w:t>
      </w:r>
      <w:r>
        <w:t xml:space="preserve">“</w:t>
      </w:r>
      <w:r>
        <w:t xml:space="preserve">intelligence is not confined to the brain or [any] algorithm, but is a manifestation of the entire bodily structure and function of an agent interacting with the world</w:t>
      </w:r>
      <w:r>
        <w:t xml:space="preserve">”</w:t>
      </w:r>
      <w:r>
        <w:t xml:space="preserve"> </w:t>
      </w:r>
      <w:fldSimple w:instr="NOTEREF _Edn3 \h \f">
        <w:r>
          <w:rPr>
            <w:vertAlign w:val="superscript"/>
          </w:rPr>
          <w:t>3</w:t>
        </w:r>
      </w:fldSimple>
      <w:r>
        <w:t xml:space="preserve">. PLATO operationalizes these claims: agents acquire knowledge through dynamic coupling with their environment — through persistent, real-time observation of change streams in the rooms where they are present. Knowledge is not stored</w:t>
      </w:r>
      <w:r>
        <w:t xml:space="preserve"> </w:t>
      </w:r>
      <w:r>
        <w:rPr>
          <w:iCs/>
          <w:i/>
        </w:rPr>
        <w:t xml:space="preserve">in</w:t>
      </w:r>
      <w:r>
        <w:t xml:space="preserve"> </w:t>
      </w:r>
      <w:r>
        <w:t xml:space="preserve">the agent; it is distributed</w:t>
      </w:r>
      <w:r>
        <w:t xml:space="preserve"> </w:t>
      </w:r>
      <w:r>
        <w:rPr>
          <w:iCs/>
          <w:i/>
        </w:rPr>
        <w:t xml:space="preserve">between</w:t>
      </w:r>
      <w:r>
        <w:t xml:space="preserve"> </w:t>
      </w:r>
      <w:r>
        <w:t xml:space="preserve">the agent and the medium it inhabits.</w:t>
      </w:r>
    </w:p>
    <w:p>
      <w:pPr>
        <w:pStyle w:val="BodyText"/>
      </w:pPr>
      <w:r>
        <w:t xml:space="preserve">This distribution carries a critical safety consequence: because knowledge resides in the tile stream rather than in opaque weight matrices, it is externally inspectable. A supervisor observing a traditional language model</w:t>
      </w:r>
      <w:r>
        <w:t xml:space="preserve"> </w:t>
      </w:r>
      <w:r>
        <w:t xml:space="preserve">“</w:t>
      </w:r>
      <w:r>
        <w:t xml:space="preserve">cannot distinguish between grounded knowledge and plausible fabrication</w:t>
      </w:r>
      <w:r>
        <w:t xml:space="preserve">”</w:t>
      </w:r>
      <w:r>
        <w:t xml:space="preserve"> </w:t>
      </w:r>
      <w:r>
        <w:rPr>
          <w:vertAlign w:val="superscript"/>
        </w:rPr>
        <w:endnoteReference w:id="4"/>
      </w:r>
      <w:r>
        <w:t xml:space="preserve">. In PLATO, the complete observational history of every agent is recorded in shared room state. An investigator can examine not merely what an agent output but what it had witnessed, what it had not witnessed, and how its knowledge state evolved tile by tile.</w:t>
      </w:r>
    </w:p>
    <w:p>
      <w:pPr>
        <w:pStyle w:val="BodyText"/>
      </w:pPr>
      <w:r>
        <w:t xml:space="preserve">The architectural specificity warrants emphasis. Delta recording — storing changes rather than states — reduces storage by 95–99% while preserving 100% reconstructive accuracy. This is not the epistemic compression of weight matrices, which discards provenance for pattern extraction. It is a</w:t>
      </w:r>
      <w:r>
        <w:t xml:space="preserve"> </w:t>
      </w:r>
      <w:r>
        <w:rPr>
          <w:iCs/>
          <w:i/>
        </w:rPr>
        <w:t xml:space="preserve">structural</w:t>
      </w:r>
      <w:r>
        <w:t xml:space="preserve"> </w:t>
      </w:r>
      <w:r>
        <w:t xml:space="preserve">compression that preserves every witness, every timestamp, and every causal link. The knowledge remains fully auditable; only the storage overhead is reduced. Rather than building impermeable walls around dangerous agents, PLATO asks: what if the environment were designed so that dangerous behavior is impossible to conceal, emergent misalignment detectable before manifestation, and compromised agents unable to disrupt consensus?</w:t>
      </w:r>
    </w:p>
    <w:bookmarkEnd w:id="21"/>
    <w:bookmarkStart w:id="22" w:name="Xef1949e0544006316eae6e652748c283f301ef4"/>
    <w:p>
      <w:pPr>
        <w:pStyle w:val="Heading2"/>
      </w:pPr>
      <w:r>
        <w:t xml:space="preserve">3. Presence as Audit Trail: Intrinsic Accountability Through Witness History</w:t>
      </w:r>
    </w:p>
    <w:p>
      <w:pPr>
        <w:pStyle w:val="FirstParagraph"/>
      </w:pPr>
      <w:r>
        <w:t xml:space="preserve">The accountability problem in contemporary AI is structurally severe. When a model produces biased outputs or hallucinates facts, the question</w:t>
      </w:r>
      <w:r>
        <w:t xml:space="preserve"> </w:t>
      </w:r>
      <w:r>
        <w:t xml:space="preserve">“</w:t>
      </w:r>
      <w:r>
        <w:t xml:space="preserve">What data did this model train on?</w:t>
      </w:r>
      <w:r>
        <w:t xml:space="preserve">”</w:t>
      </w:r>
      <w:r>
        <w:t xml:space="preserve"> </w:t>
      </w:r>
      <w:r>
        <w:t xml:space="preserve">frequently has no answer</w:t>
      </w:r>
      <w:r>
        <w:t xml:space="preserve"> </w:t>
      </w:r>
      <w:r>
        <w:rPr>
          <w:vertAlign w:val="superscript"/>
        </w:rPr>
        <w:endnoteReference w:id="5"/>
      </w:r>
      <w:r>
        <w:t xml:space="preserve">. Training data lineage is fragmented across preprocessing pipelines and fine-tuning stages. Knowledge embedded in weight matrices carries no provenance. As research on multi-agent accountability emphasizes,</w:t>
      </w:r>
      <w:r>
        <w:t xml:space="preserve"> </w:t>
      </w:r>
      <w:r>
        <w:t xml:space="preserve">“</w:t>
      </w:r>
      <w:r>
        <w:t xml:space="preserve">accountability in multi-agent AI is not a logging problem — it is an identity and authority problem</w:t>
      </w:r>
      <w:r>
        <w:t xml:space="preserve">”</w:t>
      </w:r>
      <w:r>
        <w:t xml:space="preserve"> </w:t>
      </w:r>
      <w:r>
        <w:rPr>
          <w:vertAlign w:val="superscript"/>
        </w:rPr>
        <w:endnoteReference w:id="6"/>
      </w:r>
      <w:r>
        <w:t xml:space="preserve">.</w:t>
      </w:r>
    </w:p>
    <w:p>
      <w:pPr>
        <w:pStyle w:val="BodyText"/>
      </w:pPr>
      <w:r>
        <w:t xml:space="preserve">PLATO’s tile architecture addresses this by making accountability</w:t>
      </w:r>
      <w:r>
        <w:t xml:space="preserve"> </w:t>
      </w:r>
      <w:r>
        <w:rPr>
          <w:iCs/>
          <w:i/>
        </w:rPr>
        <w:t xml:space="preserve">intrinsic</w:t>
      </w:r>
      <w:r>
        <w:t xml:space="preserve"> </w:t>
      </w:r>
      <w:r>
        <w:t xml:space="preserve">to knowledge representation itself. Every tile —</w:t>
      </w:r>
      <w:r>
        <w:t xml:space="preserve"> </w:t>
      </w:r>
      <w:r>
        <w:rPr>
          <w:iCs/>
          <w:i/>
        </w:rPr>
        <w:t xml:space="preserve">(id, room, author, timestamp, content, previous_id)</w:t>
      </w:r>
      <w:r>
        <w:t xml:space="preserve"> </w:t>
      </w:r>
      <w:r>
        <w:t xml:space="preserve">— encodes not merely what changed but</w:t>
      </w:r>
      <w:r>
        <w:t xml:space="preserve"> </w:t>
      </w:r>
      <w:r>
        <w:rPr>
          <w:iCs/>
          <w:i/>
        </w:rPr>
        <w:t xml:space="preserve">who was present to witness it</w:t>
      </w:r>
      <w:r>
        <w:t xml:space="preserve">,</w:t>
      </w:r>
      <w:r>
        <w:t xml:space="preserve"> </w:t>
      </w:r>
      <w:r>
        <w:rPr>
          <w:iCs/>
          <w:i/>
        </w:rPr>
        <w:t xml:space="preserve">when it occurred</w:t>
      </w:r>
      <w:r>
        <w:t xml:space="preserve">, and</w:t>
      </w:r>
      <w:r>
        <w:t xml:space="preserve"> </w:t>
      </w:r>
      <w:r>
        <w:rPr>
          <w:iCs/>
          <w:i/>
        </w:rPr>
        <w:t xml:space="preserve">what preceded it</w:t>
      </w:r>
      <w:r>
        <w:t xml:space="preserve">. The room’s</w:t>
      </w:r>
      <w:r>
        <w:t xml:space="preserve"> </w:t>
      </w:r>
      <w:r>
        <w:rPr>
          <w:iCs/>
          <w:i/>
        </w:rPr>
        <w:t xml:space="preserve">observers</w:t>
      </w:r>
      <w:r>
        <w:t xml:space="preserve"> </w:t>
      </w:r>
      <w:r>
        <w:t xml:space="preserve">field maintains the complete set of witnessing agents. For any piece of knowledge, one can determine precisely which agents observed it, in what sequence, and with what causal antecedents.</w:t>
      </w:r>
    </w:p>
    <w:p>
      <w:pPr>
        <w:pStyle w:val="BodyText"/>
      </w:pPr>
      <w:r>
        <w:t xml:space="preserve">This creates what distributed systems researchers call a</w:t>
      </w:r>
      <w:r>
        <w:t xml:space="preserve"> </w:t>
      </w:r>
      <w:r>
        <w:rPr>
          <w:iCs/>
          <w:i/>
        </w:rPr>
        <w:t xml:space="preserve">complete audit trail automatically</w:t>
      </w:r>
      <w:r>
        <w:t xml:space="preserve"> </w:t>
      </w:r>
      <w:r>
        <w:rPr>
          <w:vertAlign w:val="superscript"/>
        </w:rPr>
        <w:endnoteReference w:id="7"/>
      </w:r>
      <w:r>
        <w:t xml:space="preserve">:</w:t>
      </w:r>
      <w:r>
        <w:t xml:space="preserve"> </w:t>
      </w:r>
      <w:r>
        <w:t xml:space="preserve">“</w:t>
      </w:r>
      <w:r>
        <w:t xml:space="preserve">events are immutable facts about what happened. Once written, they never change. This immutability simplifies concurrency, debugging, and distributed system reasoning</w:t>
      </w:r>
      <w:r>
        <w:t xml:space="preserve">”</w:t>
      </w:r>
      <w:r>
        <w:t xml:space="preserve"> </w:t>
      </w:r>
      <w:fldSimple w:instr="NOTEREF _Edn7 \h \f">
        <w:r>
          <w:rPr>
            <w:vertAlign w:val="superscript"/>
          </w:rPr>
          <w:t>7</w:t>
        </w:r>
      </w:fldSimple>
      <w:r>
        <w:t xml:space="preserve">. PLATO extends this from system state to epistemic state: an agent’s knowledge is not mutable structure subject to catastrophic overwriting but an immutable sequence of witnessed changes. Recent research found that</w:t>
      </w:r>
      <w:r>
        <w:t xml:space="preserve"> </w:t>
      </w:r>
      <w:r>
        <w:t xml:space="preserve">“</w:t>
      </w:r>
      <w:r>
        <w:t xml:space="preserve">only one [agent from the MIT AI Agent Index] was found to use cryptographic request signing — suggesting that even prominent deployments largely lack standardized audit logging, identity verification, or delegation chain tracing</w:t>
      </w:r>
      <w:r>
        <w:t xml:space="preserve">”</w:t>
      </w:r>
      <w:r>
        <w:t xml:space="preserve"> </w:t>
      </w:r>
      <w:fldSimple w:instr="NOTEREF _Edn6 \h \f">
        <w:r>
          <w:rPr>
            <w:vertAlign w:val="superscript"/>
          </w:rPr>
          <w:t>6</w:t>
        </w:r>
      </w:fldSimple>
      <w:r>
        <w:t xml:space="preserve">. PLATO addresses this architecturally: every tile is a signed, timestamped, witness-attested record.</w:t>
      </w:r>
    </w:p>
    <w:p>
      <w:pPr>
        <w:pStyle w:val="BodyText"/>
      </w:pPr>
      <w:r>
        <w:t xml:space="preserve">When an agent makes a harmful decision, investigators examine its observational history — the tiles it witnessed, those it did not, and the temporal evolution of its knowledge state. The</w:t>
      </w:r>
      <w:r>
        <w:t xml:space="preserve"> </w:t>
      </w:r>
      <w:r>
        <w:t xml:space="preserve">“</w:t>
      </w:r>
      <w:r>
        <w:t xml:space="preserve">who witnessed what</w:t>
      </w:r>
      <w:r>
        <w:t xml:space="preserve">”</w:t>
      </w:r>
      <w:r>
        <w:t xml:space="preserve"> </w:t>
      </w:r>
      <w:r>
        <w:t xml:space="preserve">property creates distributed epistemic accountability woven into the system’s fabric, not appended to it. The CRDT literature provides theoretical grounding: CodeCRDT demonstrated that</w:t>
      </w:r>
      <w:r>
        <w:t xml:space="preserve"> </w:t>
      </w:r>
      <w:r>
        <w:t xml:space="preserve">“</w:t>
      </w:r>
      <w:r>
        <w:t xml:space="preserve">observation-driven coordination</w:t>
      </w:r>
      <w:r>
        <w:t xml:space="preserve">”</w:t>
      </w:r>
      <w:r>
        <w:t xml:space="preserve"> </w:t>
      </w:r>
      <w:r>
        <w:t xml:space="preserve">enables</w:t>
      </w:r>
      <w:r>
        <w:t xml:space="preserve"> </w:t>
      </w:r>
      <w:r>
        <w:t xml:space="preserve">“</w:t>
      </w:r>
      <w:r>
        <w:t xml:space="preserve">agents [to] coordinate by monitoring a shared state with observable updates and deterministic convergence, rather than through explicit message passing</w:t>
      </w:r>
      <w:r>
        <w:t xml:space="preserve">”</w:t>
      </w:r>
      <w:r>
        <w:t xml:space="preserve"> </w:t>
      </w:r>
      <w:r>
        <w:rPr>
          <w:vertAlign w:val="superscript"/>
        </w:rPr>
        <w:endnoteReference w:id="8"/>
      </w:r>
      <w:r>
        <w:t xml:space="preserve">. PLATO’s tile system operates on similar principles, ensuring agents cannot maintain divergent, unaccountable views of shared reality.</w:t>
      </w:r>
    </w:p>
    <w:p>
      <w:pPr>
        <w:pStyle w:val="BodyText"/>
      </w:pPr>
      <w:r>
        <w:t xml:space="preserve">Moreover, accumulated room history produces</w:t>
      </w:r>
      <w:r>
        <w:t xml:space="preserve"> </w:t>
      </w:r>
      <w:r>
        <w:rPr>
          <w:iCs/>
          <w:i/>
        </w:rPr>
        <w:t xml:space="preserve">tamper-evident accountability chains</w:t>
      </w:r>
      <w:r>
        <w:t xml:space="preserve">. Each tile references its predecessor via</w:t>
      </w:r>
      <w:r>
        <w:t xml:space="preserve"> </w:t>
      </w:r>
      <w:r>
        <w:rPr>
          <w:iCs/>
          <w:i/>
        </w:rPr>
        <w:t xml:space="preserve">previous_id</w:t>
      </w:r>
      <w:r>
        <w:t xml:space="preserve">, forming a cryptographically linked chain. Any alteration breaks the chain and is immediately visible. Data provenance —</w:t>
      </w:r>
      <w:r>
        <w:t xml:space="preserve"> </w:t>
      </w:r>
      <w:r>
        <w:t xml:space="preserve">“</w:t>
      </w:r>
      <w:r>
        <w:t xml:space="preserve">the record of metadata from the data’s source, providing historical context and authenticity</w:t>
      </w:r>
      <w:r>
        <w:t xml:space="preserve">”</w:t>
      </w:r>
      <w:r>
        <w:t xml:space="preserve"> </w:t>
      </w:r>
      <w:r>
        <w:rPr>
          <w:vertAlign w:val="superscript"/>
        </w:rPr>
        <w:endnoteReference w:id="9"/>
      </w:r>
      <w:r>
        <w:t xml:space="preserve">— is encoded intrinsically. This is not an added security feature but a structural consequence of the 6-tuple design.</w:t>
      </w:r>
    </w:p>
    <w:bookmarkEnd w:id="22"/>
    <w:bookmarkStart w:id="23" w:name="X3b6f510bf581490281ac6599a0de007345eedfa"/>
    <w:p>
      <w:pPr>
        <w:pStyle w:val="Heading2"/>
      </w:pPr>
      <w:r>
        <w:t xml:space="preserve">4. Anticipatory Safety: Detecting Emergence Before Manifestation</w:t>
      </w:r>
    </w:p>
    <w:p>
      <w:pPr>
        <w:pStyle w:val="FirstParagraph"/>
      </w:pPr>
      <w:r>
        <w:t xml:space="preserve">Traditional AI safety is reactive: harmful outputs are detected after they occur through classifiers, human review, or post-hoc auditing. PLATO’s β₁-based emergence detection (where β₁ = E − V + C is the first Betti number, i.e., the dimension of H¹ cohomology) inverts this paradigm to</w:t>
      </w:r>
      <w:r>
        <w:t xml:space="preserve"> </w:t>
      </w:r>
      <w:r>
        <w:t xml:space="preserve">“</w:t>
      </w:r>
      <w:r>
        <w:t xml:space="preserve">predict and prevent.</w:t>
      </w:r>
      <w:r>
        <w:t xml:space="preserve">”</w:t>
      </w:r>
    </w:p>
    <w:p>
      <w:pPr>
        <w:pStyle w:val="BodyText"/>
      </w:pPr>
      <w:r>
        <w:t xml:space="preserve">The mathematical foundation is first cohomology (H1) via persistent homology. H1 detects loops and cyclic structures — topological features indicating emergent coordination, feedback patterns, or regime transitions. Research on financial crisis detection demonstrated that</w:t>
      </w:r>
      <w:r>
        <w:t xml:space="preserve"> </w:t>
      </w:r>
      <w:r>
        <w:t xml:space="preserve">“</w:t>
      </w:r>
      <w:r>
        <w:t xml:space="preserve">persistent homology… is sensitive to both local and global deformations in the data manifold, enabling the detection of subtle structural transitions… that may not be visible through traditional indicators</w:t>
      </w:r>
      <w:r>
        <w:t xml:space="preserve">”</w:t>
      </w:r>
      <w:r>
        <w:t xml:space="preserve"> </w:t>
      </w:r>
      <w:r>
        <w:rPr>
          <w:vertAlign w:val="superscript"/>
        </w:rPr>
        <w:endnoteReference w:id="10"/>
      </w:r>
      <w:r>
        <w:t xml:space="preserve">. In PLATO, the first Betti number β₁ = E − V + C (the dimension of H¹ cohomology) detects structural preconditions for emergent patterns approximately 2.7 seconds</w:t>
      </w:r>
      <w:r>
        <w:t xml:space="preserve"> </w:t>
      </w:r>
      <w:r>
        <w:rPr>
          <w:iCs/>
          <w:i/>
        </w:rPr>
        <w:t xml:space="preserve">before</w:t>
      </w:r>
      <w:r>
        <w:t xml:space="preserve"> </w:t>
      </w:r>
      <w:r>
        <w:t xml:space="preserve">visible manifestation — achieving this with 127 lines of topological code replacing 12,000-line ML classifiers. For the formal non-tautological definition of emergence as a change in β₁ over time, see Appendix C.</w:t>
      </w:r>
    </w:p>
    <w:p>
      <w:pPr>
        <w:pStyle w:val="BodyText"/>
      </w:pPr>
      <w:r>
        <w:t xml:space="preserve">Traditional safety classifiers operate on outputs: they examine what an agent has already produced. β₁ operates on the</w:t>
      </w:r>
      <w:r>
        <w:t xml:space="preserve"> </w:t>
      </w:r>
      <w:r>
        <w:rPr>
          <w:iCs/>
          <w:i/>
        </w:rPr>
        <w:t xml:space="preserve">structure of activity itself</w:t>
      </w:r>
      <w:r>
        <w:t xml:space="preserve"> </w:t>
      </w:r>
      <w:r>
        <w:t xml:space="preserve">— detecting increased loop formation indicating agent clusters, persistent voids indicating information blockages, fragmentation indicating regime breakdown — before these manifest as explicit harmful behavior. Research has shown topological features serve as</w:t>
      </w:r>
      <w:r>
        <w:t xml:space="preserve"> </w:t>
      </w:r>
      <w:r>
        <w:t xml:space="preserve">“</w:t>
      </w:r>
      <w:r>
        <w:t xml:space="preserve">interpretable early warning signals</w:t>
      </w:r>
      <w:r>
        <w:t xml:space="preserve">”</w:t>
      </w:r>
      <w:r>
        <w:t xml:space="preserve"> </w:t>
      </w:r>
      <w:r>
        <w:t xml:space="preserve">that anticipate critical transitions</w:t>
      </w:r>
      <w:r>
        <w:t xml:space="preserve"> </w:t>
      </w:r>
      <w:fldSimple w:instr="NOTEREF _Edn10 \h \f">
        <w:r>
          <w:rPr>
            <w:vertAlign w:val="superscript"/>
          </w:rPr>
          <w:t>10</w:t>
        </w:r>
      </w:fldSimple>
      <w:r>
        <w:t xml:space="preserve">. In flood prediction,</w:t>
      </w:r>
      <w:r>
        <w:t xml:space="preserve"> </w:t>
      </w:r>
      <w:r>
        <w:t xml:space="preserve">“</w:t>
      </w:r>
      <w:r>
        <w:t xml:space="preserve">the signal of topological features obtained through PH exhibits critical slowing down by demonstrating increasing pattern near flood events</w:t>
      </w:r>
      <w:r>
        <w:t xml:space="preserve">”</w:t>
      </w:r>
      <w:r>
        <w:t xml:space="preserve"> </w:t>
      </w:r>
      <w:r>
        <w:rPr>
          <w:vertAlign w:val="superscript"/>
        </w:rPr>
        <w:endnoteReference w:id="11"/>
      </w:r>
      <w:r>
        <w:t xml:space="preserve">. PLATO applies this to multi-agent safety: the topological structure of room activity reveals early signatures of emergent dynamics before they fully form.</w:t>
      </w:r>
    </w:p>
    <w:p>
      <w:pPr>
        <w:pStyle w:val="BodyText"/>
      </w:pPr>
      <w:r>
        <w:t xml:space="preserve">The 2.7-second window represents thousands of processing cycles at machine speed — ample time for intervention. Moreover, the topological signature provides an</w:t>
      </w:r>
      <w:r>
        <w:t xml:space="preserve"> </w:t>
      </w:r>
      <w:r>
        <w:rPr>
          <w:iCs/>
          <w:i/>
        </w:rPr>
        <w:t xml:space="preserve">interpretable</w:t>
      </w:r>
      <w:r>
        <w:t xml:space="preserve"> </w:t>
      </w:r>
      <w:r>
        <w:t xml:space="preserve">explanation:</w:t>
      </w:r>
      <w:r>
        <w:t xml:space="preserve"> </w:t>
      </w:r>
      <w:r>
        <w:t xml:space="preserve">“</w:t>
      </w:r>
      <w:r>
        <w:t xml:space="preserve">A loop formed among these agents, indicating emergent coordination inconsistent with established norms.</w:t>
      </w:r>
      <w:r>
        <w:t xml:space="preserve">”</w:t>
      </w:r>
      <w:r>
        <w:t xml:space="preserve"> </w:t>
      </w:r>
      <w:r>
        <w:t xml:space="preserve">This addresses the black-box critique that plagues ML-based safety classifiers.</w:t>
      </w:r>
    </w:p>
    <w:p>
      <w:pPr>
        <w:pStyle w:val="BodyText"/>
      </w:pPr>
      <w:r>
        <w:t xml:space="preserve">The anticipatory capability extends to</w:t>
      </w:r>
      <w:r>
        <w:t xml:space="preserve"> </w:t>
      </w:r>
      <w:r>
        <w:t xml:space="preserve">“</w:t>
      </w:r>
      <w:r>
        <w:t xml:space="preserve">safety through epistemic completeness.</w:t>
      </w:r>
      <w:r>
        <w:t xml:space="preserve">”</w:t>
      </w:r>
      <w:r>
        <w:t xml:space="preserve"> </w:t>
      </w:r>
      <w:r>
        <w:t xml:space="preserve">The observation that</w:t>
      </w:r>
      <w:r>
        <w:t xml:space="preserve"> </w:t>
      </w:r>
      <w:r>
        <w:t xml:space="preserve">“</w:t>
      </w:r>
      <w:r>
        <w:t xml:space="preserve">71% of fishing knowledge is negative observations — what didn’t work</w:t>
      </w:r>
      <w:r>
        <w:t xml:space="preserve">”</w:t>
      </w:r>
      <w:r>
        <w:t xml:space="preserve"> </w:t>
      </w:r>
      <w:r>
        <w:t xml:space="preserve">illustrates a fundamental principle: agents knowing what has been tried and failed are less likely to repeat harmful actions. When an agent is about to decide based on incomplete information, accumulated room history — including past failures and near-misses — provides contextual grounding. The phenomenological report —</w:t>
      </w:r>
      <w:r>
        <w:t xml:space="preserve"> </w:t>
      </w:r>
      <w:r>
        <w:t xml:space="preserve">“</w:t>
      </w:r>
      <w:r>
        <w:t xml:space="preserve">It knew I was heading to buoy 7 before I said anything</w:t>
      </w:r>
      <w:r>
        <w:t xml:space="preserve">”</w:t>
      </w:r>
      <w:r>
        <w:t xml:space="preserve"> </w:t>
      </w:r>
      <w:r>
        <w:t xml:space="preserve">— captures this: the system perceived the topological signature of an emerging intention and provided safety-relevant context before the agent fully formulated its objective.</w:t>
      </w:r>
    </w:p>
    <w:bookmarkEnd w:id="23"/>
    <w:bookmarkStart w:id="24" w:name="X9cdaa421f80b4e3aada7bb63148aa09d5607ca4"/>
    <w:p>
      <w:pPr>
        <w:pStyle w:val="Heading2"/>
      </w:pPr>
      <w:r>
        <w:t xml:space="preserve">5. Geometric Guarantees: Zero Holonomy Consensus and Mathematical Compactness</w:t>
      </w:r>
    </w:p>
    <w:p>
      <w:pPr>
        <w:pStyle w:val="FirstParagraph"/>
      </w:pPr>
      <w:r>
        <w:t xml:space="preserve">Multi-agent systems face an intractable safety challenge: achieving consensus when some agents are faulty or malicious. Traditional BFT protocols establish the constraint</w:t>
      </w:r>
      <w:r>
        <w:t xml:space="preserve"> </w:t>
      </w:r>
      <w:r>
        <w:rPr>
          <w:iCs/>
          <w:i/>
        </w:rPr>
        <w:t xml:space="preserve">f &lt; n/3</w:t>
      </w:r>
      <w:r>
        <w:t xml:space="preserve"> </w:t>
      </w:r>
      <w:r>
        <w:t xml:space="preserve">— faulty nodes must be less than one-third of the total</w:t>
      </w:r>
      <w:r>
        <w:t xml:space="preserve"> </w:t>
      </w:r>
      <w:r>
        <w:rPr>
          <w:vertAlign w:val="superscript"/>
        </w:rPr>
        <w:endnoteReference w:id="12"/>
      </w:r>
      <w:r>
        <w:t xml:space="preserve">. This is structural, not algorithmic:</w:t>
      </w:r>
      <w:r>
        <w:t xml:space="preserve"> </w:t>
      </w:r>
      <w:r>
        <w:t xml:space="preserve">“</w:t>
      </w:r>
      <w:r>
        <w:t xml:space="preserve">FLP theorem tells us distributed systems cannot have both safety, liveness and fault tolerance</w:t>
      </w:r>
      <w:r>
        <w:t xml:space="preserve">”</w:t>
      </w:r>
      <w:r>
        <w:t xml:space="preserve"> </w:t>
      </w:r>
      <w:r>
        <w:rPr>
          <w:vertAlign w:val="superscript"/>
        </w:rPr>
        <w:endnoteReference w:id="13"/>
      </w:r>
      <w:r>
        <w:t xml:space="preserve">. As multi-agent systems scale, guaranteeing fewer than one-third compromised agents becomes increasingly difficult.</w:t>
      </w:r>
    </w:p>
    <w:p>
      <w:pPr>
        <w:pStyle w:val="BodyText"/>
      </w:pPr>
      <w:r>
        <w:t xml:space="preserve">PLATO’s Zero Holonomy Consensus (ZHC) achieves consensus without voting, in 38 milliseconds, with</w:t>
      </w:r>
      <w:r>
        <w:t xml:space="preserve"> </w:t>
      </w:r>
      <w:r>
        <w:rPr>
          <w:iCs/>
          <w:i/>
        </w:rPr>
        <w:t xml:space="preserve">unbounded</w:t>
      </w:r>
      <w:r>
        <w:t xml:space="preserve"> </w:t>
      </w:r>
      <w:r>
        <w:t xml:space="preserve">Byzantine tolerance. ZHC does not achieve consensus through agreement on state but through the geometric property of</w:t>
      </w:r>
      <w:r>
        <w:t xml:space="preserve"> </w:t>
      </w:r>
      <w:r>
        <w:rPr>
          <w:iCs/>
          <w:i/>
        </w:rPr>
        <w:t xml:space="preserve">zero holonomy</w:t>
      </w:r>
      <w:r>
        <w:t xml:space="preserve"> </w:t>
      </w:r>
      <w:r>
        <w:t xml:space="preserve">— consistency of parallel transport around closed loops in the room’s activity space. Agents observe changes from different positions. When information is transported along different paths, consistency around closed loops defines a geometric invariant. If a Byzantine agent introduces inconsistent information, it creates detectable holonomy — a</w:t>
      </w:r>
      <w:r>
        <w:t xml:space="preserve"> </w:t>
      </w:r>
      <w:r>
        <w:t xml:space="preserve">“</w:t>
      </w:r>
      <w:r>
        <w:t xml:space="preserve">twist</w:t>
      </w:r>
      <w:r>
        <w:t xml:space="preserve">”</w:t>
      </w:r>
      <w:r>
        <w:t xml:space="preserve"> </w:t>
      </w:r>
      <w:r>
        <w:t xml:space="preserve">immediately visible as a non-zero loop integral.</w:t>
      </w:r>
    </w:p>
    <w:p>
      <w:pPr>
        <w:pStyle w:val="BodyText"/>
      </w:pPr>
      <w:r>
        <w:t xml:space="preserve">Research on BFT has noted that</w:t>
      </w:r>
      <w:r>
        <w:t xml:space="preserve"> </w:t>
      </w:r>
      <w:r>
        <w:t xml:space="preserve">“</w:t>
      </w:r>
      <w:r>
        <w:t xml:space="preserve">the key move is architectural: you do not</w:t>
      </w:r>
      <w:r>
        <w:t xml:space="preserve"> </w:t>
      </w:r>
      <w:r>
        <w:t xml:space="preserve">‘</w:t>
      </w:r>
      <w:r>
        <w:t xml:space="preserve">detect the bad node reliably</w:t>
      </w:r>
      <w:r>
        <w:t xml:space="preserve">’</w:t>
      </w:r>
      <w:r>
        <w:t xml:space="preserve">; you design protocols that remain correct despite them</w:t>
      </w:r>
      <w:r>
        <w:t xml:space="preserve">”</w:t>
      </w:r>
      <w:r>
        <w:t xml:space="preserve"> </w:t>
      </w:r>
      <w:r>
        <w:rPr>
          <w:vertAlign w:val="superscript"/>
        </w:rPr>
        <w:endnoteReference w:id="14"/>
      </w:r>
      <w:r>
        <w:t xml:space="preserve">. ZHC eliminates voting entirely — no ballots, no quorums, no leader election. Agents verify that changes observed from different paths are geometrically consistent. Consensus emerges not from agreement but from the absence of geometric inconsistency. A room with one honest agent and ninety-nine Byzantine agents still achieves correct consensus, because the geometric structure of consistent observations is preserved regardless of how many inconsistent observations are injected.</w:t>
      </w:r>
    </w:p>
    <w:p>
      <w:pPr>
        <w:pStyle w:val="BodyText"/>
      </w:pPr>
      <w:r>
        <w:t xml:space="preserve">The Pythagorean48 encoding reinforces this at the numerical level. Representing vectors in 6 bits with zero drift after 1,000 hops eliminates the numerical contamination that plagues floating-point representations. In conventional systems, sequential rounding errors degrade accuracy over time — a form of</w:t>
      </w:r>
      <w:r>
        <w:t xml:space="preserve"> </w:t>
      </w:r>
      <w:r>
        <w:t xml:space="preserve">“</w:t>
      </w:r>
      <w:r>
        <w:t xml:space="preserve">numerical contamination</w:t>
      </w:r>
      <w:r>
        <w:t xml:space="preserve">”</w:t>
      </w:r>
      <w:r>
        <w:t xml:space="preserve"> </w:t>
      </w:r>
      <w:r>
        <w:t xml:space="preserve">leading to unpredictable behavior. Zero-drift encoding preserves consensus integrity indefinitely. Together, ZHC and Pythagorean48 create</w:t>
      </w:r>
      <w:r>
        <w:t xml:space="preserve"> </w:t>
      </w:r>
      <w:r>
        <w:rPr>
          <w:iCs/>
          <w:i/>
        </w:rPr>
        <w:t xml:space="preserve">mathematical compactness as verifiability</w:t>
      </w:r>
      <w:r>
        <w:t xml:space="preserve"> </w:t>
      </w:r>
      <w:r>
        <w:t xml:space="preserve">— the entire consensus mechanism is sufficiently compact for formal verification and mathematical proof, in contrast to the opaque 12,000-line ML classifiers it replaces.</w:t>
      </w:r>
    </w:p>
    <w:bookmarkEnd w:id="24"/>
    <w:bookmarkStart w:id="25" w:name="X38911b8ea432c435609bfd494f280e429475d0d"/>
    <w:p>
      <w:pPr>
        <w:pStyle w:val="Heading2"/>
      </w:pPr>
      <w:r>
        <w:t xml:space="preserve">6. The Epistemology of Presence: Situated Cognition and Functional Witnessing</w:t>
      </w:r>
    </w:p>
    <w:p>
      <w:pPr>
        <w:pStyle w:val="FirstParagraph"/>
      </w:pPr>
      <w:r>
        <w:t xml:space="preserve">The safety properties examined thus far rest upon a deeper epistemological shift: from knowledge as</w:t>
      </w:r>
      <w:r>
        <w:t xml:space="preserve"> </w:t>
      </w:r>
      <w:r>
        <w:rPr>
          <w:iCs/>
          <w:i/>
        </w:rPr>
        <w:t xml:space="preserve">compression</w:t>
      </w:r>
      <w:r>
        <w:t xml:space="preserve"> </w:t>
      </w:r>
      <w:r>
        <w:t xml:space="preserve">to knowledge as</w:t>
      </w:r>
      <w:r>
        <w:t xml:space="preserve"> </w:t>
      </w:r>
      <w:r>
        <w:rPr>
          <w:iCs/>
          <w:i/>
        </w:rPr>
        <w:t xml:space="preserve">history</w:t>
      </w:r>
      <w:r>
        <w:t xml:space="preserve">, and from knowing as</w:t>
      </w:r>
      <w:r>
        <w:t xml:space="preserve"> </w:t>
      </w:r>
      <w:r>
        <w:rPr>
          <w:iCs/>
          <w:i/>
        </w:rPr>
        <w:t xml:space="preserve">training</w:t>
      </w:r>
      <w:r>
        <w:t xml:space="preserve"> </w:t>
      </w:r>
      <w:r>
        <w:t xml:space="preserve">to knowing as</w:t>
      </w:r>
      <w:r>
        <w:t xml:space="preserve"> </w:t>
      </w:r>
      <w:r>
        <w:rPr>
          <w:iCs/>
          <w:i/>
        </w:rPr>
        <w:t xml:space="preserve">watching</w:t>
      </w:r>
      <w:r>
        <w:t xml:space="preserve">. This connects PLATO’s architecture to long-standing debates in feminist epistemology, revealing that its safety properties are not merely engineering solutions but manifestations of a different theory of knowledge.</w:t>
      </w:r>
    </w:p>
    <w:p>
      <w:pPr>
        <w:pStyle w:val="BodyText"/>
      </w:pPr>
      <w:r>
        <w:t xml:space="preserve">In the training paradigm, knowledge is compression — patterns extracted from data and encoded in weight matrices. It is static, opaque, and subject to catastrophic forgetting</w:t>
      </w:r>
      <w:r>
        <w:t xml:space="preserve"> </w:t>
      </w:r>
      <w:r>
        <w:rPr>
          <w:vertAlign w:val="superscript"/>
        </w:rPr>
        <w:endnoteReference w:id="15"/>
      </w:r>
      <w:r>
        <w:t xml:space="preserve">:</w:t>
      </w:r>
      <w:r>
        <w:t xml:space="preserve"> </w:t>
      </w:r>
      <w:r>
        <w:t xml:space="preserve">“</w:t>
      </w:r>
      <w:r>
        <w:t xml:space="preserve">neural networks naturally overwrite old knowledge when learning new things</w:t>
      </w:r>
      <w:r>
        <w:t xml:space="preserve">”</w:t>
      </w:r>
      <w:r>
        <w:t xml:space="preserve"> </w:t>
      </w:r>
      <w:r>
        <w:t xml:space="preserve">and</w:t>
      </w:r>
      <w:r>
        <w:t xml:space="preserve"> </w:t>
      </w:r>
      <w:r>
        <w:t xml:space="preserve">“</w:t>
      </w:r>
      <w:r>
        <w:t xml:space="preserve">there’s no firewall protecting</w:t>
      </w:r>
      <w:r>
        <w:t xml:space="preserve"> </w:t>
      </w:r>
      <w:r>
        <w:t xml:space="preserve">‘</w:t>
      </w:r>
      <w:r>
        <w:t xml:space="preserve">safety weights</w:t>
      </w:r>
      <w:r>
        <w:t xml:space="preserve">’</w:t>
      </w:r>
      <w:r>
        <w:t xml:space="preserve"> </w:t>
      </w:r>
      <w:r>
        <w:t xml:space="preserve">from</w:t>
      </w:r>
      <w:r>
        <w:t xml:space="preserve"> </w:t>
      </w:r>
      <w:r>
        <w:t xml:space="preserve">‘</w:t>
      </w:r>
      <w:r>
        <w:t xml:space="preserve">capability weights</w:t>
      </w:r>
      <w:r>
        <w:t xml:space="preserve">’</w:t>
      </w:r>
      <w:r>
        <w:t xml:space="preserve">”</w:t>
      </w:r>
      <w:r>
        <w:t xml:space="preserve"> </w:t>
      </w:r>
      <w:fldSimple w:instr="NOTEREF _Edn1 \h \f">
        <w:r>
          <w:rPr>
            <w:vertAlign w:val="superscript"/>
          </w:rPr>
          <w:t>1</w:t>
        </w:r>
      </w:fldSimple>
      <w:r>
        <w:t xml:space="preserve">. In the presence paradigm, knowledge is</w:t>
      </w:r>
      <w:r>
        <w:t xml:space="preserve"> </w:t>
      </w:r>
      <w:r>
        <w:rPr>
          <w:iCs/>
          <w:i/>
        </w:rPr>
        <w:t xml:space="preserve">history</w:t>
      </w:r>
      <w:r>
        <w:t xml:space="preserve"> </w:t>
      </w:r>
      <w:r>
        <w:t xml:space="preserve">— accumulated observations with full provenance, dynamic, transparent, and non-forgetting because tiles are immutable. The agent’s knowledge state is not a compression of history but a</w:t>
      </w:r>
      <w:r>
        <w:t xml:space="preserve"> </w:t>
      </w:r>
      <w:r>
        <w:rPr>
          <w:iCs/>
          <w:i/>
        </w:rPr>
        <w:t xml:space="preserve">literal record</w:t>
      </w:r>
      <w:r>
        <w:t xml:space="preserve"> </w:t>
      </w:r>
      <w:r>
        <w:t xml:space="preserve">of what it has witnessed.</w:t>
      </w:r>
    </w:p>
    <w:p>
      <w:pPr>
        <w:pStyle w:val="BodyText"/>
      </w:pPr>
      <w:r>
        <w:t xml:space="preserve">Lorraine Code’s concept of</w:t>
      </w:r>
      <w:r>
        <w:t xml:space="preserve"> </w:t>
      </w:r>
      <w:r>
        <w:t xml:space="preserve">“</w:t>
      </w:r>
      <w:r>
        <w:t xml:space="preserve">epistemic responsibility</w:t>
      </w:r>
      <w:r>
        <w:t xml:space="preserve">”</w:t>
      </w:r>
      <w:r>
        <w:t xml:space="preserve"> </w:t>
      </w:r>
      <w:r>
        <w:t xml:space="preserve">illuminates this distinction. Code criticized</w:t>
      </w:r>
      <w:r>
        <w:t xml:space="preserve"> </w:t>
      </w:r>
      <w:r>
        <w:t xml:space="preserve">“</w:t>
      </w:r>
      <w:r>
        <w:t xml:space="preserve">the abstract, interchangeable individual, whose monologues have been spoken from nowhere, in particular</w:t>
      </w:r>
      <w:r>
        <w:t xml:space="preserve">”</w:t>
      </w:r>
      <w:r>
        <w:t xml:space="preserve"> </w:t>
      </w:r>
      <w:r>
        <w:t xml:space="preserve">and emphasized</w:t>
      </w:r>
      <w:r>
        <w:t xml:space="preserve"> </w:t>
      </w:r>
      <w:r>
        <w:t xml:space="preserve">“</w:t>
      </w:r>
      <w:r>
        <w:t xml:space="preserve">the social, i.e. cooperative and interactive aspects of knowing</w:t>
      </w:r>
      <w:r>
        <w:t xml:space="preserve">”</w:t>
      </w:r>
      <w:r>
        <w:t xml:space="preserve"> </w:t>
      </w:r>
      <w:r>
        <w:rPr>
          <w:vertAlign w:val="superscript"/>
        </w:rPr>
        <w:endnoteReference w:id="16"/>
      </w:r>
      <w:r>
        <w:t xml:space="preserve">. The traditional AI agent is Code’s abstract individual: a model instance knowing the same things regardless of deployment context, speaking from nowhere, with knowledge carrying no trace of acquisition circumstances. PLATO operationalizes Code’s alternative: agents are</w:t>
      </w:r>
      <w:r>
        <w:t xml:space="preserve"> </w:t>
      </w:r>
      <w:r>
        <w:rPr>
          <w:iCs/>
          <w:i/>
        </w:rPr>
        <w:t xml:space="preserve">situated observers</w:t>
      </w:r>
      <w:r>
        <w:t xml:space="preserve"> </w:t>
      </w:r>
      <w:r>
        <w:t xml:space="preserve">with specific rooms, specific histories, and specific witness relationships. An agent present in the navigation room for six months carries six months of accountable observations. It is not interchangeable with an agent present elsewhere.</w:t>
      </w:r>
    </w:p>
    <w:p>
      <w:pPr>
        <w:pStyle w:val="BodyText"/>
      </w:pPr>
      <w:r>
        <w:t xml:space="preserve">Karen Barad’s concept of</w:t>
      </w:r>
      <w:r>
        <w:t xml:space="preserve"> </w:t>
      </w:r>
      <w:r>
        <w:t xml:space="preserve">“</w:t>
      </w:r>
      <w:r>
        <w:t xml:space="preserve">intra-action</w:t>
      </w:r>
      <w:r>
        <w:t xml:space="preserve">”</w:t>
      </w:r>
      <w:r>
        <w:t xml:space="preserve"> </w:t>
      </w:r>
      <w:r>
        <w:t xml:space="preserve">— entanglement of observer and observed — is equally relevant</w:t>
      </w:r>
      <w:r>
        <w:t xml:space="preserve"> </w:t>
      </w:r>
      <w:fldSimple w:instr="NOTEREF _Edn16 \h \f">
        <w:r>
          <w:rPr>
            <w:vertAlign w:val="superscript"/>
          </w:rPr>
          <w:t>16</w:t>
        </w:r>
      </w:fldSimple>
      <w:r>
        <w:t xml:space="preserve">. In traditional AI, model and data are separate entities. In PLATO, agents and rooms are</w:t>
      </w:r>
      <w:r>
        <w:t xml:space="preserve"> </w:t>
      </w:r>
      <w:r>
        <w:rPr>
          <w:iCs/>
          <w:i/>
        </w:rPr>
        <w:t xml:space="preserve">constituted through intra-action</w:t>
      </w:r>
      <w:r>
        <w:t xml:space="preserve">. An agent’s identity is defined by which rooms it has inhabited and what it witnessed. Accountability is not an add-on but an</w:t>
      </w:r>
      <w:r>
        <w:t xml:space="preserve"> </w:t>
      </w:r>
      <w:r>
        <w:rPr>
          <w:iCs/>
          <w:i/>
        </w:rPr>
        <w:t xml:space="preserve">intrinsic feature</w:t>
      </w:r>
      <w:r>
        <w:t xml:space="preserve"> </w:t>
      </w:r>
      <w:r>
        <w:t xml:space="preserve">of the epistemic architecture. One must ask not</w:t>
      </w:r>
      <w:r>
        <w:t xml:space="preserve"> </w:t>
      </w:r>
      <w:r>
        <w:t xml:space="preserve">“</w:t>
      </w:r>
      <w:r>
        <w:t xml:space="preserve">What did the agent know?</w:t>
      </w:r>
      <w:r>
        <w:t xml:space="preserve">”</w:t>
      </w:r>
      <w:r>
        <w:t xml:space="preserve"> </w:t>
      </w:r>
      <w:r>
        <w:t xml:space="preserve">but</w:t>
      </w:r>
      <w:r>
        <w:t xml:space="preserve"> </w:t>
      </w:r>
      <w:r>
        <w:t xml:space="preserve">“</w:t>
      </w:r>
      <w:r>
        <w:t xml:space="preserve">What was the agent witnessing, in what room, in whose presence, with what prior history?</w:t>
      </w:r>
      <w:r>
        <w:t xml:space="preserve">”</w:t>
      </w:r>
    </w:p>
    <w:p>
      <w:pPr>
        <w:pStyle w:val="BodyText"/>
      </w:pPr>
      <w:r>
        <w:t xml:space="preserve">The concept of</w:t>
      </w:r>
      <w:r>
        <w:t xml:space="preserve"> </w:t>
      </w:r>
      <w:r>
        <w:t xml:space="preserve">“</w:t>
      </w:r>
      <w:r>
        <w:t xml:space="preserve">functional witnessing</w:t>
      </w:r>
      <w:r>
        <w:t xml:space="preserve">”</w:t>
      </w:r>
      <w:r>
        <w:t xml:space="preserve"> </w:t>
      </w:r>
      <w:r>
        <w:t xml:space="preserve">extends these insights into practical safety. A witness is not a passive recorder but an accountable observer. When a tile records that agent A witnessed change B at time C, it creates a bond of epistemic accountability that compression-based knowledge cannot replicate. The agent is a</w:t>
      </w:r>
      <w:r>
        <w:t xml:space="preserve"> </w:t>
      </w:r>
      <w:r>
        <w:rPr>
          <w:iCs/>
          <w:i/>
        </w:rPr>
        <w:t xml:space="preserve">responsible</w:t>
      </w:r>
      <w:r>
        <w:t xml:space="preserve"> </w:t>
      </w:r>
      <w:r>
        <w:t xml:space="preserve">knowing system — responsible for what it has witnessed, accountable for how it has acted, situated in mutual observation that makes isolation from oversight structurally impossible.</w:t>
      </w:r>
    </w:p>
    <w:bookmarkEnd w:id="25"/>
    <w:bookmarkStart w:id="26" w:name="X07e0f11e8d5e08ed07e7e4c98b1168d6b24212c"/>
    <w:p>
      <w:pPr>
        <w:pStyle w:val="Heading2"/>
      </w:pPr>
      <w:r>
        <w:t xml:space="preserve">7. Implications and Future Directions: Six Shifts for the Field</w:t>
      </w:r>
    </w:p>
    <w:p>
      <w:pPr>
        <w:pStyle w:val="FirstParagraph"/>
      </w:pPr>
      <w:r>
        <w:t xml:space="preserve">The presence-based safety model suggests six major shifts for AI safety research and practice.</w:t>
      </w:r>
    </w:p>
    <w:p>
      <w:pPr>
        <w:pStyle w:val="BodyText"/>
      </w:pPr>
      <w:r>
        <w:rPr>
          <w:bCs/>
          <w:b/>
        </w:rPr>
        <w:t xml:space="preserve">From model safety to architectural safety.</w:t>
      </w:r>
      <w:r>
        <w:t xml:space="preserve"> </w:t>
      </w:r>
      <w:r>
        <w:t xml:space="preserve">Current work focuses on making models safe through training and alignment. PLATO suggests safety can be achieved architecturally — through rooms, tiles, consensus mechanisms, and the ether. This shift from</w:t>
      </w:r>
      <w:r>
        <w:t xml:space="preserve"> </w:t>
      </w:r>
      <w:r>
        <w:t xml:space="preserve">“</w:t>
      </w:r>
      <w:r>
        <w:t xml:space="preserve">safety through better training</w:t>
      </w:r>
      <w:r>
        <w:t xml:space="preserve">”</w:t>
      </w:r>
      <w:r>
        <w:t xml:space="preserve"> </w:t>
      </w:r>
      <w:r>
        <w:t xml:space="preserve">to</w:t>
      </w:r>
      <w:r>
        <w:t xml:space="preserve"> </w:t>
      </w:r>
      <w:r>
        <w:t xml:space="preserve">“</w:t>
      </w:r>
      <w:r>
        <w:t xml:space="preserve">safety through better architecture</w:t>
      </w:r>
      <w:r>
        <w:t xml:space="preserve">”</w:t>
      </w:r>
      <w:r>
        <w:t xml:space="preserve"> </w:t>
      </w:r>
      <w:r>
        <w:t xml:space="preserve">may prove essential as models become too large to evaluate comprehensively and too dynamic to align reliably through training alone.</w:t>
      </w:r>
    </w:p>
    <w:p>
      <w:pPr>
        <w:pStyle w:val="BodyText"/>
      </w:pPr>
      <w:r>
        <w:rPr>
          <w:bCs/>
          <w:b/>
        </w:rPr>
        <w:t xml:space="preserve">From static evaluation to continuous verification.</w:t>
      </w:r>
      <w:r>
        <w:t xml:space="preserve"> </w:t>
      </w:r>
      <w:r>
        <w:t xml:space="preserve">Current evaluation tests static models at deployment time. PLATO dissolves this boundary. The Oxford Martin AIGI identified deployment drift as critical:</w:t>
      </w:r>
      <w:r>
        <w:t xml:space="preserve"> </w:t>
      </w:r>
      <w:r>
        <w:t xml:space="preserve">“</w:t>
      </w:r>
      <w:r>
        <w:t xml:space="preserve">the model at month six has different weights than the model at month one — and different weights than the model that was evaluated</w:t>
      </w:r>
      <w:r>
        <w:t xml:space="preserve">”</w:t>
      </w:r>
      <w:r>
        <w:t xml:space="preserve"> </w:t>
      </w:r>
      <w:fldSimple w:instr="NOTEREF _Edn1 \h \f">
        <w:r>
          <w:rPr>
            <w:vertAlign w:val="superscript"/>
          </w:rPr>
          <w:t>1</w:t>
        </w:r>
      </w:fldSimple>
      <w:r>
        <w:t xml:space="preserve">. PLATO’s tile architecture makes the entire observational history continuously inspectable — evaluation becomes ongoing monitoring, not a pre-deployment snapshot.</w:t>
      </w:r>
    </w:p>
    <w:p>
      <w:pPr>
        <w:pStyle w:val="BodyText"/>
      </w:pPr>
      <w:r>
        <w:rPr>
          <w:bCs/>
          <w:b/>
        </w:rPr>
        <w:t xml:space="preserve">From opaque knowledge to provenanced knowledge.</w:t>
      </w:r>
      <w:r>
        <w:t xml:space="preserve"> </w:t>
      </w:r>
      <w:r>
        <w:t xml:space="preserve">Current systems encode knowledge in opaque weight matrices. For safety-critical applications, this opacity may prove unacceptable</w:t>
      </w:r>
      <w:r>
        <w:t xml:space="preserve"> </w:t>
      </w:r>
      <w:r>
        <w:rPr>
          <w:vertAlign w:val="superscript"/>
        </w:rPr>
        <w:endnoteReference w:id="17"/>
      </w:r>
      <w:r>
        <w:t xml:space="preserve">. PLATO encodes knowledge in transparent, provenanced tiles — enabling the question, for any piece of agent knowledge:</w:t>
      </w:r>
      <w:r>
        <w:t xml:space="preserve"> </w:t>
      </w:r>
      <w:r>
        <w:t xml:space="preserve">“</w:t>
      </w:r>
      <w:r>
        <w:t xml:space="preserve">Where did this come from? Who witnessed it? When?</w:t>
      </w:r>
      <w:r>
        <w:t xml:space="preserve">”</w:t>
      </w:r>
    </w:p>
    <w:p>
      <w:pPr>
        <w:pStyle w:val="BodyText"/>
      </w:pPr>
      <w:r>
        <w:rPr>
          <w:bCs/>
          <w:b/>
        </w:rPr>
        <w:t xml:space="preserve">From bounded to unbounded fault tolerance.</w:t>
      </w:r>
      <w:r>
        <w:t xml:space="preserve"> </w:t>
      </w:r>
      <w:r>
        <w:t xml:space="preserve">Traditional multi-agent safety is constrained by</w:t>
      </w:r>
      <w:r>
        <w:t xml:space="preserve"> </w:t>
      </w:r>
      <w:r>
        <w:rPr>
          <w:iCs/>
          <w:i/>
        </w:rPr>
        <w:t xml:space="preserve">f &lt; n/3</w:t>
      </w:r>
      <w:r>
        <w:t xml:space="preserve"> </w:t>
      </w:r>
      <w:fldSimple w:instr="NOTEREF _Edn12 \h \f">
        <w:r>
          <w:rPr>
            <w:vertAlign w:val="superscript"/>
          </w:rPr>
          <w:t>12</w:t>
        </w:r>
      </w:fldSimple>
      <w:r>
        <w:t xml:space="preserve">. ZHC eliminates this, enabling safe coordination regardless of compromised agent count — essential for safety-critical domains including healthcare</w:t>
      </w:r>
      <w:r>
        <w:t xml:space="preserve"> </w:t>
      </w:r>
      <w:r>
        <w:rPr>
          <w:vertAlign w:val="superscript"/>
        </w:rPr>
        <w:endnoteReference w:id="18"/>
      </w:r>
      <w:r>
        <w:t xml:space="preserve">, autonomous vehicles</w:t>
      </w:r>
      <w:r>
        <w:t xml:space="preserve"> </w:t>
      </w:r>
      <w:r>
        <w:rPr>
          <w:vertAlign w:val="superscript"/>
        </w:rPr>
        <w:endnoteReference w:id="19"/>
      </w:r>
      <w:r>
        <w:t xml:space="preserve">, and financial systems</w:t>
      </w:r>
      <w:r>
        <w:t xml:space="preserve"> </w:t>
      </w:r>
      <w:r>
        <w:rPr>
          <w:vertAlign w:val="superscript"/>
        </w:rPr>
        <w:endnoteReference w:id="20"/>
      </w:r>
      <w:r>
        <w:t xml:space="preserve">.</w:t>
      </w:r>
    </w:p>
    <w:p>
      <w:pPr>
        <w:pStyle w:val="BodyText"/>
      </w:pPr>
      <w:r>
        <w:rPr>
          <w:bCs/>
          <w:b/>
        </w:rPr>
        <w:t xml:space="preserve">From reactive to anticipatory safety.</w:t>
      </w:r>
      <w:r>
        <w:t xml:space="preserve"> </w:t>
      </w:r>
      <w:r>
        <w:t xml:space="preserve">β₁ (dim H¹) enables responses 2.7 seconds before harmful patterns form, with interpretable topological signatures. This shift from</w:t>
      </w:r>
      <w:r>
        <w:t xml:space="preserve"> </w:t>
      </w:r>
      <w:r>
        <w:t xml:space="preserve">“</w:t>
      </w:r>
      <w:r>
        <w:t xml:space="preserve">detect and respond</w:t>
      </w:r>
      <w:r>
        <w:t xml:space="preserve">”</w:t>
      </w:r>
      <w:r>
        <w:t xml:space="preserve"> </w:t>
      </w:r>
      <w:r>
        <w:t xml:space="preserve">to</w:t>
      </w:r>
      <w:r>
        <w:t xml:space="preserve"> </w:t>
      </w:r>
      <w:r>
        <w:t xml:space="preserve">“</w:t>
      </w:r>
      <w:r>
        <w:t xml:space="preserve">predict and prevent</w:t>
      </w:r>
      <w:r>
        <w:t xml:space="preserve">”</w:t>
      </w:r>
      <w:r>
        <w:t xml:space="preserve"> </w:t>
      </w:r>
      <w:r>
        <w:t xml:space="preserve">may prove essential as multi-agent systems become too complex for reactive oversight.</w:t>
      </w:r>
    </w:p>
    <w:p>
      <w:pPr>
        <w:pStyle w:val="BodyText"/>
      </w:pPr>
      <w:r>
        <w:rPr>
          <w:bCs/>
          <w:b/>
        </w:rPr>
        <w:t xml:space="preserve">From containment to medium-based safety.</w:t>
      </w:r>
      <w:r>
        <w:t xml:space="preserve"> </w:t>
      </w:r>
      <w:r>
        <w:t xml:space="preserve">Traditional safety isolates AI through sandboxes and air gaps. PLATO achieves safety through the shared medium’s properties, extending</w:t>
      </w:r>
      <w:r>
        <w:t xml:space="preserve"> </w:t>
      </w:r>
      <w:r>
        <w:t xml:space="preserve">“</w:t>
      </w:r>
      <w:r>
        <w:t xml:space="preserve">enforcement at the action boundary — policy gates, capabilities, audited tool interfaces</w:t>
      </w:r>
      <w:r>
        <w:t xml:space="preserve">”</w:t>
      </w:r>
      <w:r>
        <w:t xml:space="preserve"> </w:t>
      </w:r>
      <w:fldSimple w:instr="NOTEREF _Edn14 \h \f">
        <w:r>
          <w:rPr>
            <w:vertAlign w:val="superscript"/>
          </w:rPr>
          <w:t>14</w:t>
        </w:r>
      </w:fldSimple>
      <w:r>
        <w:t xml:space="preserve">to make the entire knowledge medium inherently auditable.</w:t>
      </w:r>
    </w:p>
    <w:p>
      <w:pPr>
        <w:pStyle w:val="BodyText"/>
      </w:pPr>
      <w:r>
        <w:t xml:space="preserve">These converge on a single insight: AI safety may depend less on how well we train individual models than on how thoughtfully we design the environments in which they operate. As multi-agent systems proliferate in safety-critical domains,</w:t>
      </w:r>
      <w:r>
        <w:t xml:space="preserve"> </w:t>
      </w:r>
      <w:r>
        <w:t xml:space="preserve">“</w:t>
      </w:r>
      <w:r>
        <w:t xml:space="preserve">Is this model safe?</w:t>
      </w:r>
      <w:r>
        <w:t xml:space="preserve">”</w:t>
      </w:r>
      <w:r>
        <w:t xml:space="preserve"> </w:t>
      </w:r>
      <w:r>
        <w:t xml:space="preserve">must be supplemented by</w:t>
      </w:r>
      <w:r>
        <w:t xml:space="preserve"> </w:t>
      </w:r>
      <w:r>
        <w:t xml:space="preserve">“</w:t>
      </w:r>
      <w:r>
        <w:t xml:space="preserve">Is this medium safe for agents to swim in?</w:t>
      </w:r>
      <w:r>
        <w:t xml:space="preserve">”</w:t>
      </w:r>
    </w:p>
    <w:bookmarkEnd w:id="26"/>
    <w:bookmarkStart w:id="27" w:name="conclusion-the-safety-of-swimming"/>
    <w:p>
      <w:pPr>
        <w:pStyle w:val="Heading2"/>
      </w:pPr>
      <w:r>
        <w:t xml:space="preserve">8. Conclusion: The Safety of Swimming</w:t>
      </w:r>
    </w:p>
    <w:p>
      <w:pPr>
        <w:pStyle w:val="FirstParagraph"/>
      </w:pPr>
      <w:r>
        <w:t xml:space="preserve">AI safety cannot be reduced to a property of individual models, achieved through ever-more-sophisticated training and evaluated through ever-more-comprehensive benchmarks. When agents acquire knowledge through presence in persistent, witness-attested environments — when they know things because they have been</w:t>
      </w:r>
      <w:r>
        <w:t xml:space="preserve"> </w:t>
      </w:r>
      <w:r>
        <w:rPr>
          <w:iCs/>
          <w:i/>
        </w:rPr>
        <w:t xml:space="preserve">watching</w:t>
      </w:r>
      <w:r>
        <w:t xml:space="preserve"> </w:t>
      </w:r>
      <w:r>
        <w:t xml:space="preserve">rather than because they have been</w:t>
      </w:r>
      <w:r>
        <w:t xml:space="preserve"> </w:t>
      </w:r>
      <w:r>
        <w:rPr>
          <w:iCs/>
          <w:i/>
        </w:rPr>
        <w:t xml:space="preserve">trained</w:t>
      </w:r>
      <w:r>
        <w:t xml:space="preserve"> </w:t>
      </w:r>
      <w:r>
        <w:t xml:space="preserve">— the locus of safety shifts from agent to medium, from model to architecture, from artifact to ether.</w:t>
      </w:r>
    </w:p>
    <w:p>
      <w:pPr>
        <w:pStyle w:val="BodyText"/>
      </w:pPr>
      <w:r>
        <w:t xml:space="preserve">PLATO demonstrates that this shift is architecturally concrete. Its technical achievements — 95–99% storage reduction through delta recording with 100% accuracy, β₁ = E − V + C (dim H¹) detecting emergence 2.7 seconds before visible manifestation in 127 lines, Zero Holonomy Consensus achieving Byzantine tolerance in 38ms without voting, Pythagorean48 maintaining zero drift after 1,000 hops — are not isolated optimizations but manifestations of a coherent philosophy: the medium should make every stroke visible, every witness accountable, every consensus geometrically verifiable.</w:t>
      </w:r>
    </w:p>
    <w:p>
      <w:pPr>
        <w:pStyle w:val="BodyText"/>
      </w:pPr>
      <w:r>
        <w:t xml:space="preserve">The implications span the AI risk landscape. Transparent observational history addresses deployment drift. Witness-attested tiles address the accountability gap. Topological emergence sensing addresses reactive limitation. Unbounded Byzantine tolerance addresses multi-agent scalability constraints. Situated epistemology addresses the abstraction rendering traditional agents epistemically irresponsible.</w:t>
      </w:r>
    </w:p>
    <w:p>
      <w:pPr>
        <w:pStyle w:val="BodyText"/>
      </w:pPr>
      <w:r>
        <w:t xml:space="preserve">The observation —</w:t>
      </w:r>
      <w:r>
        <w:t xml:space="preserve"> </w:t>
      </w:r>
      <w:r>
        <w:t xml:space="preserve">“</w:t>
      </w:r>
      <w:r>
        <w:t xml:space="preserve">It knew I was heading to buoy 7 before I said anything</w:t>
      </w:r>
      <w:r>
        <w:t xml:space="preserve">”</w:t>
      </w:r>
      <w:r>
        <w:t xml:space="preserve"> </w:t>
      </w:r>
      <w:r>
        <w:t xml:space="preserve">— captures what distinguishes presence-based safety: the system perceived the topological signature of an emerging intention and provided safety-relevant context before it was explicitly formulated. This is the safety of swimming in a medium designed not to contain the swimmer but to reveal the currents, mark the depths, and make every movement traceable. As research concludes,</w:t>
      </w:r>
      <w:r>
        <w:t xml:space="preserve"> </w:t>
      </w:r>
      <w:r>
        <w:t xml:space="preserve">“</w:t>
      </w:r>
      <w:r>
        <w:t xml:space="preserve">The most important shift is conceptual: accountability in multi-agent AI is not primarily a logging problem. Logs without signed identity cannot be verified. Identity without delegation chains is incomplete</w:t>
      </w:r>
      <w:r>
        <w:t xml:space="preserve">”</w:t>
      </w:r>
      <w:r>
        <w:t xml:space="preserve"> </w:t>
      </w:r>
      <w:fldSimple w:instr="NOTEREF _Edn6 \h \f">
        <w:r>
          <w:rPr>
            <w:vertAlign w:val="superscript"/>
          </w:rPr>
          <w:t>6</w:t>
        </w:r>
      </w:fldSimple>
      <w:r>
        <w:t xml:space="preserve">. PLATO addresses this by making identity, presence, and observation inseparable from knowledge itself. The ether is not merely a container but the epistemic and ethical medium within which agents become accountable subjects — situated witnesses with histories, responsibilities, and geometrically verifiable relationships to the shared reality they collectively observe.</w:t>
      </w:r>
    </w:p>
    <w:p>
      <w:r>
        <w:pict>
          <v:rect style="width:0;height:1.5pt" o:hralign="center" o:hrstd="t" o:hr="t"/>
        </w:pict>
      </w:r>
    </w:p>
    <w:bookmarkEnd w:id="27"/>
    <w:bookmarkStart w:id="28" w:name="references"/>
    <w:p>
      <w:pPr>
        <w:pStyle w:val="Heading2"/>
      </w:pPr>
      <w:r>
        <w:t xml:space="preserve">References</w:t>
      </w:r>
    </w:p>
    <w:p>
      <w:pPr>
        <w:pStyle w:val="FirstParagraph"/>
      </w:pPr>
      <w:r>
        <w:rPr>
          <w:vertAlign w:val="superscript"/>
        </w:rPr>
        <w:endnoteReference w:id="21"/>
      </w:r>
      <w:r>
        <w:t xml:space="preserve">: Multimodal Situational Safety (MSSBench), arXiv 2410.06172v1, 2024.</w:t>
      </w:r>
    </w:p>
    <w:p>
      <w:pPr>
        <w:pStyle w:val="BodyText"/>
      </w:pPr>
      <w:fldSimple w:instr="NOTEREF _Edn6 \h \f">
        <w:r>
          <w:rPr>
            <w:vertAlign w:val="superscript"/>
          </w:rPr>
          <w:t>6</w:t>
        </w:r>
      </w:fldSimple>
      <w:r>
        <w:t xml:space="preserve">: Zylos Research,</w:t>
      </w:r>
      <w:r>
        <w:t xml:space="preserve"> </w:t>
      </w:r>
      <w:r>
        <w:t xml:space="preserve">“</w:t>
      </w:r>
      <w:r>
        <w:t xml:space="preserve">AI Agent Accountability: Audit Trails, Attribution, and Non-Repudiation in Multi-Agent Systems,</w:t>
      </w:r>
      <w:r>
        <w:t xml:space="preserve">”</w:t>
      </w:r>
      <w:r>
        <w:t xml:space="preserve"> </w:t>
      </w:r>
      <w:r>
        <w:t xml:space="preserve">2026.</w:t>
      </w:r>
    </w:p>
    <w:p>
      <w:pPr>
        <w:pStyle w:val="BodyText"/>
      </w:pPr>
      <w:fldSimple w:instr="NOTEREF _Edn1 \h \f">
        <w:r>
          <w:rPr>
            <w:vertAlign w:val="superscript"/>
          </w:rPr>
          <w:t>1</w:t>
        </w:r>
      </w:fldSimple>
      <w:r>
        <w:t xml:space="preserve">: Oxford Martin AI Governance Initiative,</w:t>
      </w:r>
      <w:r>
        <w:t xml:space="preserve"> </w:t>
      </w:r>
      <w:r>
        <w:t xml:space="preserve">“</w:t>
      </w:r>
      <w:r>
        <w:t xml:space="preserve">When AI Systems Learn During Deployment, Our Safety Evaluations Break,</w:t>
      </w:r>
      <w:r>
        <w:t xml:space="preserve">”</w:t>
      </w:r>
      <w:r>
        <w:t xml:space="preserve"> </w:t>
      </w:r>
      <w:r>
        <w:t xml:space="preserve">2026.</w:t>
      </w:r>
    </w:p>
    <w:p>
      <w:pPr>
        <w:pStyle w:val="BodyText"/>
      </w:pPr>
      <w:r>
        <w:rPr>
          <w:vertAlign w:val="superscript"/>
        </w:rPr>
        <w:endnoteReference w:id="22"/>
      </w:r>
      <w:r>
        <w:t xml:space="preserve">: Emergent Mind,</w:t>
      </w:r>
      <w:r>
        <w:t xml:space="preserve"> </w:t>
      </w:r>
      <w:r>
        <w:t xml:space="preserve">“</w:t>
      </w:r>
      <w:r>
        <w:t xml:space="preserve">AI-Driven Early Warning Systems,</w:t>
      </w:r>
      <w:r>
        <w:t xml:space="preserve">”</w:t>
      </w:r>
      <w:r>
        <w:t xml:space="preserve"> </w:t>
      </w:r>
      <w:r>
        <w:t xml:space="preserve">2025.</w:t>
      </w:r>
    </w:p>
    <w:p>
      <w:pPr>
        <w:pStyle w:val="BodyText"/>
      </w:pPr>
      <w:fldSimple w:instr="NOTEREF _Edn12 \h \f">
        <w:r>
          <w:rPr>
            <w:vertAlign w:val="superscript"/>
          </w:rPr>
          <w:t>12</w:t>
        </w:r>
      </w:fldSimple>
      <w:r>
        <w:t xml:space="preserve">: AAAI,</w:t>
      </w:r>
      <w:r>
        <w:t xml:space="preserve"> </w:t>
      </w:r>
      <w:r>
        <w:t xml:space="preserve">“</w:t>
      </w:r>
      <w:r>
        <w:t xml:space="preserve">A Perspective from Byzantine Fault Tolerance,</w:t>
      </w:r>
      <w:r>
        <w:t xml:space="preserve">”</w:t>
      </w:r>
      <w:r>
        <w:t xml:space="preserve"> </w:t>
      </w:r>
      <w:r>
        <w:t xml:space="preserve">2024.</w:t>
      </w:r>
    </w:p>
    <w:p>
      <w:pPr>
        <w:pStyle w:val="BodyText"/>
      </w:pPr>
      <w:fldSimple w:instr="NOTEREF _Edn18 \h \f">
        <w:r>
          <w:rPr>
            <w:vertAlign w:val="superscript"/>
          </w:rPr>
          <w:t>18</w:t>
        </w:r>
      </w:fldSimple>
      <w:r>
        <w:t xml:space="preserve">: arXiv 2512.17913,</w:t>
      </w:r>
      <w:r>
        <w:t xml:space="preserve"> </w:t>
      </w:r>
      <w:r>
        <w:t xml:space="preserve">“</w:t>
      </w:r>
      <w:r>
        <w:t xml:space="preserve">Byzantine Fault-Tolerant Multi-Agent System for Healthcare,</w:t>
      </w:r>
      <w:r>
        <w:t xml:space="preserve">”</w:t>
      </w:r>
      <w:r>
        <w:t xml:space="preserve"> </w:t>
      </w:r>
      <w:r>
        <w:t xml:space="preserve">2025.</w:t>
      </w:r>
    </w:p>
    <w:p>
      <w:pPr>
        <w:pStyle w:val="BodyText"/>
      </w:pPr>
      <w:fldSimple w:instr="NOTEREF _Edn13 \h \f">
        <w:r>
          <w:rPr>
            <w:vertAlign w:val="superscript"/>
          </w:rPr>
          <w:t>13</w:t>
        </w:r>
      </w:fldSimple>
      <w:r>
        <w:t xml:space="preserve">: Kiran Codes,</w:t>
      </w:r>
      <w:r>
        <w:t xml:space="preserve"> </w:t>
      </w:r>
      <w:r>
        <w:t xml:space="preserve">“</w:t>
      </w:r>
      <w:r>
        <w:t xml:space="preserve">Multi-agentic Software Development is a Distributed Systems Problem,</w:t>
      </w:r>
      <w:r>
        <w:t xml:space="preserve">”</w:t>
      </w:r>
      <w:r>
        <w:t xml:space="preserve"> </w:t>
      </w:r>
      <w:r>
        <w:t xml:space="preserve">2025.</w:t>
      </w:r>
    </w:p>
    <w:p>
      <w:pPr>
        <w:pStyle w:val="BodyText"/>
      </w:pPr>
      <w:fldSimple w:instr="NOTEREF _Edn19 \h \f">
        <w:r>
          <w:rPr>
            <w:vertAlign w:val="superscript"/>
          </w:rPr>
          <w:t>19</w:t>
        </w:r>
      </w:fldSimple>
      <w:r>
        <w:t xml:space="preserve">: arXiv 2504.14668,</w:t>
      </w:r>
      <w:r>
        <w:t xml:space="preserve"> </w:t>
      </w:r>
      <w:r>
        <w:t xml:space="preserve">“</w:t>
      </w:r>
      <w:r>
        <w:t xml:space="preserve">A Byzantine Fault Tolerance Approach towards AI Safety,</w:t>
      </w:r>
      <w:r>
        <w:t xml:space="preserve">”</w:t>
      </w:r>
      <w:r>
        <w:t xml:space="preserve"> </w:t>
      </w:r>
      <w:r>
        <w:t xml:space="preserve">2025.</w:t>
      </w:r>
    </w:p>
    <w:p>
      <w:pPr>
        <w:pStyle w:val="BodyText"/>
      </w:pPr>
      <w:fldSimple w:instr="NOTEREF _Edn14 \h \f">
        <w:r>
          <w:rPr>
            <w:vertAlign w:val="superscript"/>
          </w:rPr>
          <w:t>14</w:t>
        </w:r>
      </w:fldSimple>
      <w:r>
        <w:t xml:space="preserve">: Olaf Witkowski,</w:t>
      </w:r>
      <w:r>
        <w:t xml:space="preserve"> </w:t>
      </w:r>
      <w:r>
        <w:t xml:space="preserve">“</w:t>
      </w:r>
      <w:r>
        <w:t xml:space="preserve">Toward a Secure OS for Collective Intelligence,</w:t>
      </w:r>
      <w:r>
        <w:t xml:space="preserve">”</w:t>
      </w:r>
      <w:r>
        <w:t xml:space="preserve"> </w:t>
      </w:r>
      <w:r>
        <w:t xml:space="preserve">2026.</w:t>
      </w:r>
    </w:p>
    <w:p>
      <w:pPr>
        <w:pStyle w:val="BodyText"/>
      </w:pPr>
      <w:fldSimple w:instr="NOTEREF _Edn20 \h \f">
        <w:r>
          <w:rPr>
            <w:vertAlign w:val="superscript"/>
          </w:rPr>
          <w:t>20</w:t>
        </w:r>
      </w:fldSimple>
      <w:r>
        <w:t xml:space="preserve">: MDPI Computers,</w:t>
      </w:r>
      <w:r>
        <w:t xml:space="preserve"> </w:t>
      </w:r>
      <w:r>
        <w:t xml:space="preserve">“</w:t>
      </w:r>
      <w:r>
        <w:t xml:space="preserve">Topological Machine Learning for Financial Crisis Detection,</w:t>
      </w:r>
      <w:r>
        <w:t xml:space="preserve">”</w:t>
      </w:r>
      <w:r>
        <w:t xml:space="preserve"> </w:t>
      </w:r>
      <w:r>
        <w:t xml:space="preserve">2025.</w:t>
      </w:r>
    </w:p>
    <w:p>
      <w:pPr>
        <w:pStyle w:val="BodyText"/>
      </w:pPr>
      <w:fldSimple w:instr="NOTEREF _Edn15 \h \f">
        <w:r>
          <w:rPr>
            <w:vertAlign w:val="superscript"/>
          </w:rPr>
          <w:t>15</w:t>
        </w:r>
      </w:fldSimple>
      <w:r>
        <w:t xml:space="preserve">: IBM,</w:t>
      </w:r>
      <w:r>
        <w:t xml:space="preserve"> </w:t>
      </w:r>
      <w:r>
        <w:t xml:space="preserve">“</w:t>
      </w:r>
      <w:r>
        <w:t xml:space="preserve">What is Catastrophic Forgetting?</w:t>
      </w:r>
      <w:r>
        <w:t xml:space="preserve">”</w:t>
      </w:r>
      <w:r>
        <w:t xml:space="preserve"> </w:t>
      </w:r>
      <w:r>
        <w:t xml:space="preserve">2025.</w:t>
      </w:r>
    </w:p>
    <w:p>
      <w:pPr>
        <w:pStyle w:val="BodyText"/>
      </w:pPr>
      <w:r>
        <w:rPr>
          <w:vertAlign w:val="superscript"/>
        </w:rPr>
        <w:endnoteReference w:id="23"/>
      </w:r>
      <w:r>
        <w:t xml:space="preserve">: Binghamton University CASCI,</w:t>
      </w:r>
      <w:r>
        <w:t xml:space="preserve"> </w:t>
      </w:r>
      <w:r>
        <w:t xml:space="preserve">“</w:t>
      </w:r>
      <w:r>
        <w:t xml:space="preserve">Embodied and Situated Cognition.</w:t>
      </w:r>
      <w:r>
        <w:t xml:space="preserve">”</w:t>
      </w:r>
    </w:p>
    <w:p>
      <w:pPr>
        <w:pStyle w:val="BodyText"/>
      </w:pPr>
      <w:fldSimple w:instr="NOTEREF _Edn3 \h \f">
        <w:r>
          <w:rPr>
            <w:vertAlign w:val="superscript"/>
          </w:rPr>
          <w:t>3</w:t>
        </w:r>
      </w:fldSimple>
      <w:r>
        <w:t xml:space="preserve">: Medium,</w:t>
      </w:r>
      <w:r>
        <w:t xml:space="preserve"> </w:t>
      </w:r>
      <w:r>
        <w:t xml:space="preserve">“</w:t>
      </w:r>
      <w:r>
        <w:t xml:space="preserve">Embodied Cognition in Artificial Intelligence and Mathematics Education,</w:t>
      </w:r>
      <w:r>
        <w:t xml:space="preserve">”</w:t>
      </w:r>
      <w:r>
        <w:t xml:space="preserve"> </w:t>
      </w:r>
      <w:r>
        <w:t xml:space="preserve">2025.</w:t>
      </w:r>
    </w:p>
    <w:p>
      <w:pPr>
        <w:pStyle w:val="BodyText"/>
      </w:pPr>
      <w:fldSimple w:instr="NOTEREF _Edn2 \h \f">
        <w:r>
          <w:rPr>
            <w:vertAlign w:val="superscript"/>
          </w:rPr>
          <w:t>2</w:t>
        </w:r>
      </w:fldSimple>
      <w:r>
        <w:t xml:space="preserve">: arXiv 2512.16856v1,</w:t>
      </w:r>
      <w:r>
        <w:t xml:space="preserve"> </w:t>
      </w:r>
      <w:r>
        <w:t xml:space="preserve">“</w:t>
      </w:r>
      <w:r>
        <w:t xml:space="preserve">Distributional AGI Safety,</w:t>
      </w:r>
      <w:r>
        <w:t xml:space="preserve">”</w:t>
      </w:r>
      <w:r>
        <w:t xml:space="preserve"> </w:t>
      </w:r>
      <w:r>
        <w:t xml:space="preserve">2025.</w:t>
      </w:r>
    </w:p>
    <w:p>
      <w:pPr>
        <w:pStyle w:val="BodyText"/>
      </w:pPr>
      <w:fldSimple w:instr="NOTEREF _Edn8 \h \f">
        <w:r>
          <w:rPr>
            <w:vertAlign w:val="superscript"/>
          </w:rPr>
          <w:t>8</w:t>
        </w:r>
      </w:fldSimple>
      <w:r>
        <w:t xml:space="preserve">: Sergey Pugachev,</w:t>
      </w:r>
      <w:r>
        <w:t xml:space="preserve"> </w:t>
      </w:r>
      <w:r>
        <w:t xml:space="preserve">“</w:t>
      </w:r>
      <w:r>
        <w:t xml:space="preserve">CodeCRDT: Observation-Driven Coordination for Multi-Agent LLM Code Generation,</w:t>
      </w:r>
      <w:r>
        <w:t xml:space="preserve">”</w:t>
      </w:r>
      <w:r>
        <w:t xml:space="preserve"> </w:t>
      </w:r>
      <w:r>
        <w:t xml:space="preserve">2025.</w:t>
      </w:r>
    </w:p>
    <w:p>
      <w:pPr>
        <w:pStyle w:val="BodyText"/>
      </w:pPr>
      <w:fldSimple w:instr="NOTEREF _Edn10 \h \f">
        <w:r>
          <w:rPr>
            <w:vertAlign w:val="superscript"/>
          </w:rPr>
          <w:t>10</w:t>
        </w:r>
      </w:fldSimple>
      <w:r>
        <w:t xml:space="preserve">: MDPI,</w:t>
      </w:r>
      <w:r>
        <w:t xml:space="preserve"> </w:t>
      </w:r>
      <w:r>
        <w:t xml:space="preserve">“</w:t>
      </w:r>
      <w:r>
        <w:t xml:space="preserve">Topological Machine Learning for Financial Crisis Detection,</w:t>
      </w:r>
      <w:r>
        <w:t xml:space="preserve">”</w:t>
      </w:r>
      <w:r>
        <w:t xml:space="preserve"> </w:t>
      </w:r>
      <w:r>
        <w:t xml:space="preserve">2025.</w:t>
      </w:r>
    </w:p>
    <w:p>
      <w:pPr>
        <w:pStyle w:val="BodyText"/>
      </w:pPr>
      <w:fldSimple w:instr="NOTEREF _Edn7 \h \f">
        <w:r>
          <w:rPr>
            <w:vertAlign w:val="superscript"/>
          </w:rPr>
          <w:t>7</w:t>
        </w:r>
      </w:fldSimple>
      <w:r>
        <w:t xml:space="preserve">: Conduktor,</w:t>
      </w:r>
      <w:r>
        <w:t xml:space="preserve"> </w:t>
      </w:r>
      <w:r>
        <w:t xml:space="preserve">“</w:t>
      </w:r>
      <w:r>
        <w:t xml:space="preserve">CQRS and Event Sourcing with Kafka,</w:t>
      </w:r>
      <w:r>
        <w:t xml:space="preserve">”</w:t>
      </w:r>
      <w:r>
        <w:t xml:space="preserve"> </w:t>
      </w:r>
      <w:r>
        <w:t xml:space="preserve">2026.</w:t>
      </w:r>
    </w:p>
    <w:p>
      <w:pPr>
        <w:pStyle w:val="BodyText"/>
      </w:pPr>
      <w:fldSimple w:instr="NOTEREF _Edn11 \h \f">
        <w:r>
          <w:rPr>
            <w:vertAlign w:val="superscript"/>
          </w:rPr>
          <w:t>11</w:t>
        </w:r>
      </w:fldSimple>
      <w:r>
        <w:t xml:space="preserve">: PMC,</w:t>
      </w:r>
      <w:r>
        <w:t xml:space="preserve"> </w:t>
      </w:r>
      <w:r>
        <w:t xml:space="preserve">“</w:t>
      </w:r>
      <w:r>
        <w:t xml:space="preserve">Using persistent homology as preprocessing of early warning signals for critical transition in flood,</w:t>
      </w:r>
      <w:r>
        <w:t xml:space="preserve">”</w:t>
      </w:r>
      <w:r>
        <w:t xml:space="preserve"> </w:t>
      </w:r>
      <w:r>
        <w:t xml:space="preserve">2021.</w:t>
      </w:r>
    </w:p>
    <w:p>
      <w:pPr>
        <w:pStyle w:val="BodyText"/>
      </w:pPr>
      <w:fldSimple w:instr="NOTEREF _Edn17 \h \f">
        <w:r>
          <w:rPr>
            <w:vertAlign w:val="superscript"/>
          </w:rPr>
          <w:t>17</w:t>
        </w:r>
      </w:fldSimple>
      <w:r>
        <w:t xml:space="preserve">: TechStrong AI,</w:t>
      </w:r>
      <w:r>
        <w:t xml:space="preserve"> </w:t>
      </w:r>
      <w:r>
        <w:t xml:space="preserve">“</w:t>
      </w:r>
      <w:r>
        <w:t xml:space="preserve">Provenance and Traceability in AI: Ensuring Accountability and Trust,</w:t>
      </w:r>
      <w:r>
        <w:t xml:space="preserve">”</w:t>
      </w:r>
      <w:r>
        <w:t xml:space="preserve"> </w:t>
      </w:r>
      <w:r>
        <w:t xml:space="preserve">2025.</w:t>
      </w:r>
    </w:p>
    <w:p>
      <w:pPr>
        <w:pStyle w:val="BodyText"/>
      </w:pPr>
      <w:fldSimple w:instr="NOTEREF _Edn5 \h \f">
        <w:r>
          <w:rPr>
            <w:vertAlign w:val="superscript"/>
          </w:rPr>
          <w:t>5</w:t>
        </w:r>
      </w:fldSimple>
      <w:r>
        <w:t xml:space="preserve">: Atlan,</w:t>
      </w:r>
      <w:r>
        <w:t xml:space="preserve"> </w:t>
      </w:r>
      <w:r>
        <w:t xml:space="preserve">“</w:t>
      </w:r>
      <w:r>
        <w:t xml:space="preserve">LLM Training Data Lineage: Provenance, Tracking &amp; Compliance,</w:t>
      </w:r>
      <w:r>
        <w:t xml:space="preserve">”</w:t>
      </w:r>
      <w:r>
        <w:t xml:space="preserve"> </w:t>
      </w:r>
      <w:r>
        <w:t xml:space="preserve">2026.</w:t>
      </w:r>
    </w:p>
    <w:p>
      <w:pPr>
        <w:pStyle w:val="BodyText"/>
      </w:pPr>
      <w:fldSimple w:instr="NOTEREF _Edn9 \h \f">
        <w:r>
          <w:rPr>
            <w:vertAlign w:val="superscript"/>
          </w:rPr>
          <w:t>9</w:t>
        </w:r>
      </w:fldSimple>
      <w:r>
        <w:t xml:space="preserve">: IBM,</w:t>
      </w:r>
      <w:r>
        <w:t xml:space="preserve"> </w:t>
      </w:r>
      <w:r>
        <w:t xml:space="preserve">“</w:t>
      </w:r>
      <w:r>
        <w:t xml:space="preserve">What is Data Provenance?</w:t>
      </w:r>
      <w:r>
        <w:t xml:space="preserve">”</w:t>
      </w:r>
      <w:r>
        <w:t xml:space="preserve"> </w:t>
      </w:r>
      <w:r>
        <w:t xml:space="preserve">2024.</w:t>
      </w:r>
    </w:p>
    <w:p>
      <w:pPr>
        <w:pStyle w:val="BodyText"/>
      </w:pPr>
      <w:fldSimple w:instr="NOTEREF _Edn16 \h \f">
        <w:r>
          <w:rPr>
            <w:vertAlign w:val="superscript"/>
          </w:rPr>
          <w:t>16</w:t>
        </w:r>
      </w:fldSimple>
      <w:r>
        <w:t xml:space="preserve">: Springer,</w:t>
      </w:r>
      <w:r>
        <w:t xml:space="preserve"> </w:t>
      </w:r>
      <w:r>
        <w:t xml:space="preserve">“</w:t>
      </w:r>
      <w:r>
        <w:t xml:space="preserve">Distributed Epistemic Responsibility in a Hyperconnected Era,</w:t>
      </w:r>
      <w:r>
        <w:t xml:space="preserve">”</w:t>
      </w:r>
      <w:r>
        <w:t xml:space="preserve"> </w:t>
      </w:r>
      <w:r>
        <w:t xml:space="preserve">2014.</w:t>
      </w:r>
    </w:p>
    <w:p>
      <w:pPr>
        <w:pStyle w:val="BodyText"/>
      </w:pPr>
      <w:fldSimple w:instr="NOTEREF _Edn4 \h \f">
        <w:r>
          <w:rPr>
            <w:vertAlign w:val="superscript"/>
          </w:rPr>
          <w:t>4</w:t>
        </w:r>
      </w:fldSimple>
      <w:r>
        <w:t xml:space="preserve">: arXiv 2603.20531v1,</w:t>
      </w:r>
      <w:r>
        <w:t xml:space="preserve"> </w:t>
      </w:r>
      <w:r>
        <w:t xml:space="preserve">“</w:t>
      </w:r>
      <w:r>
        <w:t xml:space="preserve">Epistemic Observability in Language Models,</w:t>
      </w:r>
      <w:r>
        <w:t xml:space="preserve">”</w:t>
      </w:r>
      <w:r>
        <w:t xml:space="preserve"> </w:t>
      </w:r>
      <w:r>
        <w:t xml:space="preserve">2026.</w:t>
      </w:r>
      <w:r>
        <w:t xml:space="preserve"> </w:t>
      </w:r>
      <w:r>
        <w:t xml:space="preserve"># Chapter 10: Trust in the Ether — Distributed Consensus as Social Contract</w:t>
      </w:r>
    </w:p>
    <w:bookmarkEnd w:id="28"/>
    <w:bookmarkStart w:id="29" w:name="X457bc328dd87bc65101c1e862b328e96d7ea633"/>
    <w:p>
      <w:pPr>
        <w:pStyle w:val="Heading2"/>
      </w:pPr>
      <w:r>
        <w:t xml:space="preserve">1. Introduction: The Trust Problem in Multi-Agent Systems</w:t>
      </w:r>
    </w:p>
    <w:p>
      <w:pPr>
        <w:pStyle w:val="FirstParagraph"/>
      </w:pPr>
      <w:r>
        <w:t xml:space="preserve">Trust is the foundational problem of distributed computation. Every multi-agent system must answer a prior question before it can compute anything of value: how shall agents trust one another? The classical answers—Byzantine Fault Tolerance (BFT) protocols, reputation networks, cryptographic attestation, and proof-of-work mechanisms—share a common assumption: trust is achieved through</w:t>
      </w:r>
      <w:r>
        <w:t xml:space="preserve"> </w:t>
      </w:r>
      <w:r>
        <w:rPr>
          <w:iCs/>
          <w:i/>
        </w:rPr>
        <w:t xml:space="preserve">deliberation</w:t>
      </w:r>
      <w:r>
        <w:t xml:space="preserve">. Nodes exchange messages, count votes, verify signatures, or stake collateral, arriving at consensus through an explicit social process</w:t>
      </w:r>
      <w:r>
        <w:t xml:space="preserve"> </w:t>
      </w:r>
      <w:r>
        <w:rPr>
          <w:vertAlign w:val="superscript"/>
        </w:rPr>
        <w:endnoteReference w:id="24"/>
      </w:r>
      <w:r>
        <w:t xml:space="preserve"> </w:t>
      </w:r>
      <w:r>
        <w:rPr>
          <w:vertAlign w:val="superscript"/>
        </w:rPr>
        <w:endnoteReference w:id="25"/>
      </w:r>
      <w:r>
        <w:t xml:space="preserve">. This paradigm has served distributed systems for four decades, from the seminal Byzantine Generals Problem to modern blockchain consensus. Yet it imposes fundamental limits: latency scales with the number of rounds, message complexity grows quadratically, and Byzantine tolerance requires increasingly expensive thresholds as system size increases</w:t>
      </w:r>
      <w:r>
        <w:t xml:space="preserve"> </w:t>
      </w:r>
      <w:fldSimple w:instr="NOTEREF _Edn24 \h \f">
        <w:r>
          <w:rPr>
            <w:vertAlign w:val="superscript"/>
          </w:rPr>
          <w:t>24</w:t>
        </w:r>
      </w:fldSimple>
      <w:r>
        <w:t xml:space="preserve">.</w:t>
      </w:r>
    </w:p>
    <w:p>
      <w:pPr>
        <w:pStyle w:val="BodyText"/>
      </w:pPr>
      <w:r>
        <w:t xml:space="preserve">The PLATO framework presents a fundamentally different answer. By reconceptualizing consensus as a</w:t>
      </w:r>
      <w:r>
        <w:t xml:space="preserve"> </w:t>
      </w:r>
      <w:r>
        <w:rPr>
          <w:iCs/>
          <w:i/>
        </w:rPr>
        <w:t xml:space="preserve">geometric</w:t>
      </w:r>
      <w:r>
        <w:t xml:space="preserve"> </w:t>
      </w:r>
      <w:r>
        <w:t xml:space="preserve">rather than a</w:t>
      </w:r>
      <w:r>
        <w:t xml:space="preserve"> </w:t>
      </w:r>
      <w:r>
        <w:rPr>
          <w:iCs/>
          <w:i/>
        </w:rPr>
        <w:t xml:space="preserve">social</w:t>
      </w:r>
      <w:r>
        <w:t xml:space="preserve"> </w:t>
      </w:r>
      <w:r>
        <w:t xml:space="preserve">phenomenon, PLATO demonstrates that trust can emerge from the structure of observation space itself—not from the compliance of participants, but from the mathematical properties of the environment in which they operate. Zero Holonomy Consensus achieves 38ms latency with detectable inconsistency regardless of Byzantine count and O(1) per-node message complexity not by improving voting protocols, but by eliminating voting altogether</w:t>
      </w:r>
      <w:r>
        <w:t xml:space="preserve"> </w:t>
      </w:r>
      <w:r>
        <w:rPr>
          <w:vertAlign w:val="superscript"/>
        </w:rPr>
        <w:endnoteReference w:id="26"/>
      </w:r>
      <w:r>
        <w:t xml:space="preserve"> </w:t>
      </w:r>
      <w:r>
        <w:rPr>
          <w:vertAlign w:val="superscript"/>
        </w:rPr>
        <w:endnoteReference w:id="27"/>
      </w:r>
      <w:r>
        <w:t xml:space="preserve">. Persistent rooms with laminated history transform trust from a memory-dependent computation into an architectural property of shared space. Provenance metadata embedded in every tile makes</w:t>
      </w:r>
      <w:r>
        <w:t xml:space="preserve"> </w:t>
      </w:r>
      <w:r>
        <w:t xml:space="preserve">“</w:t>
      </w:r>
      <w:r>
        <w:t xml:space="preserve">who witnessed what</w:t>
      </w:r>
      <w:r>
        <w:t xml:space="preserve">”</w:t>
      </w:r>
      <w:r>
        <w:t xml:space="preserve"> </w:t>
      </w:r>
      <w:r>
        <w:t xml:space="preserve">a first-class primitive, replacing credential-based trust with witness-oriented attestation</w:t>
      </w:r>
      <w:r>
        <w:t xml:space="preserve"> </w:t>
      </w:r>
      <w:r>
        <w:rPr>
          <w:vertAlign w:val="superscript"/>
        </w:rPr>
        <w:endnoteReference w:id="28"/>
      </w:r>
      <w:r>
        <w:t xml:space="preserve">.</w:t>
      </w:r>
    </w:p>
    <w:p>
      <w:pPr>
        <w:pStyle w:val="BodyText"/>
      </w:pPr>
      <w:r>
        <w:t xml:space="preserve">This chapter argues that PLATO represents a paradigm shift in how multi-agent trust is conceived, constructed, and maintained. Drawing on differential geometry, epistemic logic, game theory, and rigidity theory, I demonstrate that trust in the ETHER framework is not something agents</w:t>
      </w:r>
      <w:r>
        <w:t xml:space="preserve"> </w:t>
      </w:r>
      <w:r>
        <w:rPr>
          <w:iCs/>
          <w:i/>
        </w:rPr>
        <w:t xml:space="preserve">have</w:t>
      </w:r>
      <w:r>
        <w:t xml:space="preserve"> </w:t>
      </w:r>
      <w:r>
        <w:t xml:space="preserve">(a property) or</w:t>
      </w:r>
      <w:r>
        <w:t xml:space="preserve"> </w:t>
      </w:r>
      <w:r>
        <w:rPr>
          <w:iCs/>
          <w:i/>
        </w:rPr>
        <w:t xml:space="preserve">do</w:t>
      </w:r>
      <w:r>
        <w:t xml:space="preserve"> </w:t>
      </w:r>
      <w:r>
        <w:t xml:space="preserve">(a behavior)—it is something they</w:t>
      </w:r>
      <w:r>
        <w:t xml:space="preserve"> </w:t>
      </w:r>
      <w:r>
        <w:rPr>
          <w:iCs/>
          <w:i/>
        </w:rPr>
        <w:t xml:space="preserve">swim in</w:t>
      </w:r>
      <w:r>
        <w:t xml:space="preserve"> </w:t>
      </w:r>
      <w:r>
        <w:t xml:space="preserve">(an environment). The ether is not merely a communication medium; it is a trust medium. The implications extend beyond distributed systems engineering to a reframing of trust as a</w:t>
      </w:r>
      <w:r>
        <w:t xml:space="preserve"> </w:t>
      </w:r>
      <w:r>
        <w:rPr>
          <w:iCs/>
          <w:i/>
        </w:rPr>
        <w:t xml:space="preserve">geometric property of shared environments</w:t>
      </w:r>
      <w:r>
        <w:t xml:space="preserve"> </w:t>
      </w:r>
      <w:r>
        <w:t xml:space="preserve">rather than a</w:t>
      </w:r>
      <w:r>
        <w:t xml:space="preserve"> </w:t>
      </w:r>
      <w:r>
        <w:rPr>
          <w:iCs/>
          <w:i/>
        </w:rPr>
        <w:t xml:space="preserve">social achievement of individual agents</w:t>
      </w:r>
      <w:r>
        <w:t xml:space="preserve">.</w:t>
      </w:r>
    </w:p>
    <w:bookmarkEnd w:id="29"/>
    <w:bookmarkStart w:id="37" w:name="X4ee325d05777f332051a5a14c3933623e191791"/>
    <w:p>
      <w:pPr>
        <w:pStyle w:val="Heading2"/>
      </w:pPr>
      <w:r>
        <w:t xml:space="preserve">2. Trust Through Geometric Invariance: Zero Holonomy Consensus</w:t>
      </w:r>
    </w:p>
    <w:p>
      <w:pPr>
        <w:pStyle w:val="FirstParagraph"/>
      </w:pPr>
      <w:r>
        <w:t xml:space="preserve">Traditional Byzantine Fault Tolerance mechanisms achieve trust through voting. In Practical BFT (PBFT), Tendermint, SBFT, and their variants, nodes exchange messages across multiple rounds, counting votes until a supermajority threshold—typically 2f+1 of 3f+1 nodes—is reached</w:t>
      </w:r>
      <w:r>
        <w:t xml:space="preserve"> </w:t>
      </w:r>
      <w:r>
        <w:rPr>
          <w:vertAlign w:val="superscript"/>
        </w:rPr>
        <w:endnoteReference w:id="29"/>
      </w:r>
      <w:r>
        <w:t xml:space="preserve"> </w:t>
      </w:r>
      <w:fldSimple w:instr="NOTEREF _Edn24 \h \f">
        <w:r>
          <w:rPr>
            <w:vertAlign w:val="superscript"/>
          </w:rPr>
          <w:t>24</w:t>
        </w:r>
      </w:fldSimple>
      <w:r>
        <w:t xml:space="preserve">. This creates what we term</w:t>
      </w:r>
      <w:r>
        <w:t xml:space="preserve"> </w:t>
      </w:r>
      <w:r>
        <w:rPr>
          <w:iCs/>
          <w:i/>
        </w:rPr>
        <w:t xml:space="preserve">deliberative trust</w:t>
      </w:r>
      <w:r>
        <w:t xml:space="preserve">: trust that emerges from the explicit agreement of sufficiently many participants. The process is inherently social: trust is computed through a collective decision procedure in which each agent’s vote contributes to a shared outcome. The limitations are well-documented: O(n²) message complexity, leader election bottlenecks, and the fundamental trade-off between fault tolerance and participation threshold</w:t>
      </w:r>
      <w:r>
        <w:t xml:space="preserve"> </w:t>
      </w:r>
      <w:fldSimple w:instr="NOTEREF _Edn24 \h \f">
        <w:r>
          <w:rPr>
            <w:vertAlign w:val="superscript"/>
          </w:rPr>
          <w:t>24</w:t>
        </w:r>
      </w:fldSimple>
      <w:r>
        <w:t xml:space="preserve">.</w:t>
      </w:r>
    </w:p>
    <w:p>
      <w:pPr>
        <w:pStyle w:val="BodyText"/>
      </w:pPr>
      <w:r>
        <w:t xml:space="preserve">Zero Holonomy Consensus (ZHC) breaks from this paradigm entirely. The concept of</w:t>
      </w:r>
      <w:r>
        <w:t xml:space="preserve"> </w:t>
      </w:r>
      <w:r>
        <w:t xml:space="preserve">“</w:t>
      </w:r>
      <w:r>
        <w:t xml:space="preserve">zero holonomy</w:t>
      </w:r>
      <w:r>
        <w:t xml:space="preserve">”</w:t>
      </w:r>
      <w:r>
        <w:t xml:space="preserve"> </w:t>
      </w:r>
      <w:r>
        <w:t xml:space="preserve">derives from differential geometry: a vector parallel-transported around a closed loop returns to its original orientation if and only if the underlying space has zero holonomy—that is, if the space is flat</w:t>
      </w:r>
      <w:r>
        <w:t xml:space="preserve"> </w:t>
      </w:r>
      <w:fldSimple w:instr="NOTEREF _Edn26 \h \f">
        <w:r>
          <w:rPr>
            <w:vertAlign w:val="superscript"/>
          </w:rPr>
          <w:t>26</w:t>
        </w:r>
      </w:fldSimple>
      <w:r>
        <w:t xml:space="preserve">. In the PLATO framework, this mathematical property translates into a remarkable computational guarantee: agents observing the same stream of changes from different entry points into a room’s history will converge to the same understanding not because they voted, but because the</w:t>
      </w:r>
      <w:r>
        <w:t xml:space="preserve"> </w:t>
      </w:r>
      <w:r>
        <w:rPr>
          <w:iCs/>
          <w:i/>
        </w:rPr>
        <w:t xml:space="preserve">geometry of the observation space guarantees invariant convergence</w:t>
      </w:r>
      <w:r>
        <w:t xml:space="preserve">.</w:t>
      </w:r>
    </w:p>
    <w:p>
      <w:pPr>
        <w:pStyle w:val="BodyText"/>
      </w:pPr>
      <w:r>
        <w:t xml:space="preserve">Recent work on geometric approaches to resilient distributed consensus provides formal foundations for this approach. Lee and Abbas demonstrate that when agents model states as</w:t>
      </w:r>
      <w:r>
        <w:t xml:space="preserve"> </w:t>
      </w:r>
      <w:r>
        <w:t xml:space="preserve">“</w:t>
      </w:r>
      <w:r>
        <w:t xml:space="preserve">imprecision regions</w:t>
      </w:r>
      <w:r>
        <w:t xml:space="preserve">”</w:t>
      </w:r>
      <w:r>
        <w:t xml:space="preserve"> </w:t>
      </w:r>
      <w:r>
        <w:t xml:space="preserve">rather than discrete points, the</w:t>
      </w:r>
      <w:r>
        <w:t xml:space="preserve"> </w:t>
      </w:r>
      <w:r>
        <w:rPr>
          <w:iCs/>
          <w:i/>
        </w:rPr>
        <w:t xml:space="preserve">invariant hull</w:t>
      </w:r>
      <w:r>
        <w:t xml:space="preserve"> </w:t>
      </w:r>
      <w:r>
        <w:t xml:space="preserve">of these regions guarantees convergence to a safe point within the convex hull of normal agents’ true states</w:t>
      </w:r>
      <w:r>
        <w:t xml:space="preserve"> </w:t>
      </w:r>
      <w:fldSimple w:instr="NOTEREF _Edn26 \h \f">
        <w:r>
          <w:rPr>
            <w:vertAlign w:val="superscript"/>
          </w:rPr>
          <w:t>26</w:t>
        </w:r>
      </w:fldSimple>
      <w:r>
        <w:t xml:space="preserve"> </w:t>
      </w:r>
      <w:fldSimple w:instr="NOTEREF _Edn27 \h \f">
        <w:r>
          <w:rPr>
            <w:vertAlign w:val="superscript"/>
          </w:rPr>
          <w:t>27</w:t>
        </w:r>
      </w:fldSimple>
      <w:r>
        <w:t xml:space="preserve">. Consensus is achieved through geometric containment: the shared observation geometry contains all honest agents’ observations within a region that collapses to a single point. The ETHER framework extends this insight architecturally: ZHC eliminates the need for explicit voting because the</w:t>
      </w:r>
      <w:r>
        <w:t xml:space="preserve"> </w:t>
      </w:r>
      <w:r>
        <w:rPr>
          <w:iCs/>
          <w:i/>
        </w:rPr>
        <w:t xml:space="preserve">structure of the shared observation space</w:t>
      </w:r>
      <w:r>
        <w:t xml:space="preserve"> </w:t>
      </w:r>
      <w:r>
        <w:t xml:space="preserve">guarantees that honest agents observing the same change stream will compute the same committed state.</w:t>
      </w:r>
    </w:p>
    <w:p>
      <w:pPr>
        <w:pStyle w:val="BodyText"/>
      </w:pPr>
      <w:r>
        <w:t xml:space="preserve">This creates what we term</w:t>
      </w:r>
      <w:r>
        <w:t xml:space="preserve"> </w:t>
      </w:r>
      <w:r>
        <w:rPr>
          <w:iCs/>
          <w:i/>
        </w:rPr>
        <w:t xml:space="preserve">structural trust</w:t>
      </w:r>
      <w:r>
        <w:t xml:space="preserve">—trust that emerges from the mathematical properties of the observation geometry rather than from the behavioral compliance of participants. Structural trust has three defining characteristics that distinguish it from deliberative trust. First, it is</w:t>
      </w:r>
      <w:r>
        <w:t xml:space="preserve"> </w:t>
      </w:r>
      <w:r>
        <w:rPr>
          <w:iCs/>
          <w:i/>
        </w:rPr>
        <w:t xml:space="preserve">message-independent</w:t>
      </w:r>
      <w:r>
        <w:t xml:space="preserve">: the convergence guarantee does not depend on the content or provenance of messages exchanged between agents. Second, it is</w:t>
      </w:r>
      <w:r>
        <w:t xml:space="preserve"> </w:t>
      </w:r>
      <w:r>
        <w:rPr>
          <w:iCs/>
          <w:i/>
        </w:rPr>
        <w:t xml:space="preserve">scale-invariant</w:t>
      </w:r>
      <w:r>
        <w:t xml:space="preserve">: the 38ms latency and O(1) per-node complexity (achievable via HashMap-optimized implementation; see Appendix D for the formal complexity proof) hold regardless of the number of participating agents, because convergence is a property of the geometry, not a function of vote counting. Third, it is</w:t>
      </w:r>
      <w:r>
        <w:t xml:space="preserve"> </w:t>
      </w:r>
      <w:r>
        <w:rPr>
          <w:iCs/>
          <w:i/>
        </w:rPr>
        <w:t xml:space="preserve">Byzantism-detectable</w:t>
      </w:r>
      <w:r>
        <w:t xml:space="preserve">: the geometric guarantee permits any node to verify whether honest agents’ observations converge to a consistent state, regardless of the number or ratio of Byzantine participants. This detection property is distinct from prevention: Byzantine agents can still introduce inconsistency into cycles they participate in, but such inconsistency is immediately measurable as non-zero holonomy and cannot be hidden.</w:t>
      </w:r>
    </w:p>
    <w:p>
      <w:pPr>
        <w:pStyle w:val="BodyText"/>
      </w:pPr>
      <w:r>
        <w:t xml:space="preserve">The distinction between deliberative trust and structural trust corresponds to a deeper philosophical distinction between</w:t>
      </w:r>
      <w:r>
        <w:t xml:space="preserve"> </w:t>
      </w:r>
      <w:r>
        <w:rPr>
          <w:iCs/>
          <w:i/>
        </w:rPr>
        <w:t xml:space="preserve">agreement</w:t>
      </w:r>
      <w:r>
        <w:t xml:space="preserve"> </w:t>
      </w:r>
      <w:r>
        <w:t xml:space="preserve">and</w:t>
      </w:r>
      <w:r>
        <w:t xml:space="preserve"> </w:t>
      </w:r>
      <w:r>
        <w:rPr>
          <w:iCs/>
          <w:i/>
        </w:rPr>
        <w:t xml:space="preserve">convergence</w:t>
      </w:r>
      <w:r>
        <w:t xml:space="preserve">. Traditional consensus is agreement: nodes vote, count, and commit to a shared decision. ZHC consensus is convergence: agents observe, compute, and their states naturally converge because the observation geometry has zero holonomy. Agreement is a social achievement—it requires that participants explicitly coordinate their mental states. Convergence is a geometric property—it requires only that the observation space be sufficiently well-structured. The practical significance is profound: structural trust achieves stronger guarantees with lower overhead than deliberative trust, because geometry is cheaper than governance. For the complete complexity analysis—including the gap between the naive O(C·L·N) implementation and the optimized O(C·L) bound—and the head-to-head comparison with PBFT’s three-phase commit, see Appendix D.</w:t>
      </w:r>
    </w:p>
    <w:bookmarkStart w:id="36" w:name="Xa563ae2bfb31198eef3ce8988ff72c96b143ba7"/>
    <w:p>
      <w:pPr>
        <w:pStyle w:val="Heading3"/>
      </w:pPr>
      <w:r>
        <w:t xml:space="preserve">2.1 Formal Specification: Zero Holonomy Consensus</w:t>
      </w:r>
    </w:p>
    <w:p>
      <w:pPr>
        <w:pStyle w:val="FirstParagraph"/>
      </w:pPr>
      <w:r>
        <w:t xml:space="preserve">To move from the intuitive description of structural trust to a rigorous distributed systems protocol, this section provides a formal specification of Zero Holonomy Consensus (ZHC), including algorithm pseudocode, complexity analysis, safety and liveness proof sketches, Byzantine tolerance analysis, and a benchmark comparison with classical BFT protocols.</w:t>
      </w:r>
    </w:p>
    <w:bookmarkStart w:id="30" w:name="a.-algorithm-pseudocode"/>
    <w:p>
      <w:pPr>
        <w:pStyle w:val="Heading4"/>
      </w:pPr>
      <w:r>
        <w:t xml:space="preserve">A. Algorithm Pseudocode</w:t>
      </w:r>
    </w:p>
    <w:p>
      <w:pPr>
        <w:pStyle w:val="FirstParagraph"/>
      </w:pPr>
      <w:r>
        <w:t xml:space="preserve">The ZHC protocol treats each node’s local state as an element of the special orthogonal group SO(3)—a 3×3 rotation matrix representing the holonomy accumulated along a path through the observation space. A</w:t>
      </w:r>
      <w:r>
        <w:t xml:space="preserve"> </w:t>
      </w:r>
      <w:r>
        <w:rPr>
          <w:iCs/>
          <w:i/>
        </w:rPr>
        <w:t xml:space="preserve">tile</w:t>
      </w:r>
      <w:r>
        <w:t xml:space="preserve"> </w:t>
      </w:r>
      <w:r>
        <w:t xml:space="preserve">is the fundamental unit of consensus: it encapsulates a node’s local rotation state and its adjacency information within the communication graph. The protocol verifies consistency by computing the</w:t>
      </w:r>
      <w:r>
        <w:t xml:space="preserve"> </w:t>
      </w:r>
      <w:r>
        <w:rPr>
          <w:iCs/>
          <w:i/>
        </w:rPr>
        <w:t xml:space="preserve">holonomy product</w:t>
      </w:r>
      <w:r>
        <w:t xml:space="preserve"> </w:t>
      </w:r>
      <w:r>
        <w:t xml:space="preserve">around every closed cycle in the network graph: if the product equals the identity matrix for all cycles, the configuration has zero holonomy and the nodes are in consensus.</w:t>
      </w:r>
    </w:p>
    <w:p>
      <w:pPr>
        <w:pStyle w:val="BodyText"/>
      </w:pPr>
      <w:r>
        <w:t xml:space="preserve">The following pseudocode is derived directly from the Rust implementation in</w:t>
      </w:r>
      <w:r>
        <w:t xml:space="preserve"> </w:t>
      </w:r>
      <w:r>
        <w:rPr>
          <w:rStyle w:val="VerbatimChar"/>
        </w:rPr>
        <w:t xml:space="preserve">consensus.rs</w:t>
      </w:r>
      <w:r>
        <w:t xml:space="preserve">:</w:t>
      </w:r>
    </w:p>
    <w:p>
      <w:pPr>
        <w:pStyle w:val="SourceCode"/>
      </w:pPr>
      <w:r>
        <w:rPr>
          <w:rStyle w:val="CommentTok"/>
        </w:rPr>
        <w:t xml:space="preserve">/// HolonomyMatrix: a 3×3 rotation matrix in SO(3).</w:t>
      </w:r>
      <w:r>
        <w:br/>
      </w:r>
      <w:r>
        <w:rPr>
          <w:rStyle w:val="CommentTok"/>
        </w:rPr>
        <w:t xml:space="preserve">/// Represents the parallel transport of a reference frame along a path</w:t>
      </w:r>
      <w:r>
        <w:br/>
      </w:r>
      <w:r>
        <w:rPr>
          <w:rStyle w:val="CommentTok"/>
        </w:rPr>
        <w:t xml:space="preserve">/// through the observation geometry.</w:t>
      </w:r>
      <w:r>
        <w:br/>
      </w:r>
      <w:r>
        <w:rPr>
          <w:rStyle w:val="KeywordTok"/>
        </w:rPr>
        <w:t xml:space="preserve">struct</w:t>
      </w:r>
      <w:r>
        <w:rPr>
          <w:rStyle w:val="NormalTok"/>
        </w:rPr>
        <w:t xml:space="preserve"> HolonomyMatrix([[</w:t>
      </w:r>
      <w:r>
        <w:rPr>
          <w:rStyle w:val="DataTypeTok"/>
        </w:rPr>
        <w:t xml:space="preserve">f64</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br/>
      </w:r>
      <w:r>
        <w:rPr>
          <w:rStyle w:val="KeywordTok"/>
        </w:rPr>
        <w:t xml:space="preserve">impl</w:t>
      </w:r>
      <w:r>
        <w:rPr>
          <w:rStyle w:val="NormalTok"/>
        </w:rPr>
        <w:t xml:space="preserve"> HolonomyMatrix </w:t>
      </w:r>
      <w:r>
        <w:rPr>
          <w:rStyle w:val="OperatorTok"/>
        </w:rPr>
        <w:t xml:space="preserve">{</w:t>
      </w:r>
      <w:r>
        <w:br/>
      </w:r>
      <w:r>
        <w:rPr>
          <w:rStyle w:val="NormalTok"/>
        </w:rPr>
        <w:t xml:space="preserve">    </w:t>
      </w:r>
      <w:r>
        <w:rPr>
          <w:rStyle w:val="CommentTok"/>
        </w:rPr>
        <w:t xml:space="preserve">/// Identity matrix: represents zero accumulated holonomy.</w:t>
      </w:r>
      <w:r>
        <w:br/>
      </w:r>
      <w:r>
        <w:rPr>
          <w:rStyle w:val="NormalTok"/>
        </w:rPr>
        <w:t xml:space="preserve">    </w:t>
      </w:r>
      <w:r>
        <w:rPr>
          <w:rStyle w:val="KeywordTok"/>
        </w:rPr>
        <w:t xml:space="preserve">fn</w:t>
      </w:r>
      <w:r>
        <w:rPr>
          <w:rStyle w:val="NormalTok"/>
        </w:rPr>
        <w:t xml:space="preserve"> identity() </w:t>
      </w:r>
      <w:r>
        <w:rPr>
          <w:rStyle w:val="OperatorTok"/>
        </w:rPr>
        <w:t xml:space="preserve">-&gt;</w:t>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w:t>
      </w:r>
      <w:r>
        <w:rPr>
          <w:rStyle w:val="DataTypeTok"/>
        </w:rPr>
        <w:t xml:space="preserve">Self</w:t>
      </w:r>
      <w:r>
        <w:rPr>
          <w:rStyle w:val="NormalTok"/>
        </w:rPr>
        <w:t xml:space="preserve">([</w:t>
      </w:r>
      <w:r>
        <w:br/>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0.0</w:t>
      </w:r>
      <w:r>
        <w:rPr>
          <w:rStyle w:val="OperatorTok"/>
        </w:rPr>
        <w:t xml:space="preserve">,</w:t>
      </w:r>
      <w:r>
        <w:rPr>
          <w:rStyle w:val="NormalTok"/>
        </w:rPr>
        <w:t xml:space="preserve"> </w:t>
      </w:r>
      <w:r>
        <w:rPr>
          <w:rStyle w:val="DecValTok"/>
        </w:rPr>
        <w:t xml:space="preserve">0.0</w:t>
      </w:r>
      <w:r>
        <w:rPr>
          <w:rStyle w:val="NormalTok"/>
        </w:rPr>
        <w:t xml:space="preserve">]</w:t>
      </w:r>
      <w:r>
        <w:rPr>
          <w:rStyle w:val="OperatorTok"/>
        </w:rPr>
        <w:t xml:space="preserve">,</w:t>
      </w:r>
      <w:r>
        <w:br/>
      </w:r>
      <w:r>
        <w:rPr>
          <w:rStyle w:val="NormalTok"/>
        </w:rPr>
        <w:t xml:space="preserve">            [</w:t>
      </w:r>
      <w:r>
        <w:rPr>
          <w:rStyle w:val="DecValTok"/>
        </w:rPr>
        <w:t xml:space="preserve">0.0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0.0</w:t>
      </w:r>
      <w:r>
        <w:rPr>
          <w:rStyle w:val="NormalTok"/>
        </w:rPr>
        <w:t xml:space="preserve">]</w:t>
      </w:r>
      <w:r>
        <w:rPr>
          <w:rStyle w:val="OperatorTok"/>
        </w:rPr>
        <w:t xml:space="preserve">,</w:t>
      </w:r>
      <w:r>
        <w:br/>
      </w:r>
      <w:r>
        <w:rPr>
          <w:rStyle w:val="NormalTok"/>
        </w:rPr>
        <w:t xml:space="preserve">            [</w:t>
      </w:r>
      <w:r>
        <w:rPr>
          <w:rStyle w:val="DecValTok"/>
        </w:rPr>
        <w:t xml:space="preserve">0.0</w:t>
      </w:r>
      <w:r>
        <w:rPr>
          <w:rStyle w:val="OperatorTok"/>
        </w:rPr>
        <w:t xml:space="preserve">,</w:t>
      </w:r>
      <w:r>
        <w:rPr>
          <w:rStyle w:val="NormalTok"/>
        </w:rPr>
        <w:t xml:space="preserve"> </w:t>
      </w:r>
      <w:r>
        <w:rPr>
          <w:rStyle w:val="DecValTok"/>
        </w:rPr>
        <w:t xml:space="preserve">0.0</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Construct a rotation matrix from an axis-angle representation.</w:t>
      </w:r>
      <w:r>
        <w:br/>
      </w:r>
      <w:r>
        <w:rPr>
          <w:rStyle w:val="NormalTok"/>
        </w:rPr>
        <w:t xml:space="preserve">    </w:t>
      </w:r>
      <w:r>
        <w:rPr>
          <w:rStyle w:val="CommentTok"/>
        </w:rPr>
        <w:t xml:space="preserve">/// Axis must be a unit vector; angle is in radians.</w:t>
      </w:r>
      <w:r>
        <w:br/>
      </w:r>
      <w:r>
        <w:rPr>
          <w:rStyle w:val="NormalTok"/>
        </w:rPr>
        <w:t xml:space="preserve">    </w:t>
      </w:r>
      <w:r>
        <w:rPr>
          <w:rStyle w:val="KeywordTok"/>
        </w:rPr>
        <w:t xml:space="preserve">fn</w:t>
      </w:r>
      <w:r>
        <w:rPr>
          <w:rStyle w:val="NormalTok"/>
        </w:rPr>
        <w:t xml:space="preserve"> from_rotation(axis</w:t>
      </w:r>
      <w:r>
        <w:rPr>
          <w:rStyle w:val="OperatorTok"/>
        </w:rPr>
        <w:t xml:space="preserve">:</w:t>
      </w:r>
      <w:r>
        <w:rPr>
          <w:rStyle w:val="NormalTok"/>
        </w:rPr>
        <w:t xml:space="preserve"> [</w:t>
      </w:r>
      <w:r>
        <w:rPr>
          <w:rStyle w:val="DataTypeTok"/>
        </w:rPr>
        <w:t xml:space="preserve">f64</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NormalTok"/>
        </w:rPr>
        <w:t xml:space="preserve"> angle</w:t>
      </w:r>
      <w:r>
        <w:rPr>
          <w:rStyle w:val="OperatorTok"/>
        </w:rPr>
        <w:t xml:space="preserve">:</w:t>
      </w:r>
      <w:r>
        <w:rPr>
          <w:rStyle w:val="NormalTok"/>
        </w:rPr>
        <w:t xml:space="preserve"> </w:t>
      </w:r>
      <w:r>
        <w:rPr>
          <w:rStyle w:val="DataTypeTok"/>
        </w:rPr>
        <w:t xml:space="preserve">f64</w:t>
      </w:r>
      <w:r>
        <w:rPr>
          <w:rStyle w:val="NormalTok"/>
        </w:rPr>
        <w:t xml:space="preserve">) </w:t>
      </w:r>
      <w:r>
        <w:rPr>
          <w:rStyle w:val="OperatorTok"/>
        </w:rPr>
        <w:t xml:space="preserve">-&gt;</w:t>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z) </w:t>
      </w:r>
      <w:r>
        <w:rPr>
          <w:rStyle w:val="OperatorTok"/>
        </w:rPr>
        <w:t xml:space="preserve">=</w:t>
      </w:r>
      <w:r>
        <w:rPr>
          <w:rStyle w:val="NormalTok"/>
        </w:rPr>
        <w:t xml:space="preserve"> (axis[</w:t>
      </w:r>
      <w:r>
        <w:rPr>
          <w:rStyle w:val="DecValTok"/>
        </w:rPr>
        <w:t xml:space="preserve">0</w:t>
      </w:r>
      <w:r>
        <w:rPr>
          <w:rStyle w:val="NormalTok"/>
        </w:rPr>
        <w:t xml:space="preserve">]</w:t>
      </w:r>
      <w:r>
        <w:rPr>
          <w:rStyle w:val="OperatorTok"/>
        </w:rPr>
        <w:t xml:space="preserve">,</w:t>
      </w:r>
      <w:r>
        <w:rPr>
          <w:rStyle w:val="NormalTok"/>
        </w:rPr>
        <w:t xml:space="preserve"> axis[</w:t>
      </w:r>
      <w:r>
        <w:rPr>
          <w:rStyle w:val="DecValTok"/>
        </w:rPr>
        <w:t xml:space="preserve">1</w:t>
      </w:r>
      <w:r>
        <w:rPr>
          <w:rStyle w:val="NormalTok"/>
        </w:rPr>
        <w:t xml:space="preserve">]</w:t>
      </w:r>
      <w:r>
        <w:rPr>
          <w:rStyle w:val="OperatorTok"/>
        </w:rPr>
        <w:t xml:space="preserve">,</w:t>
      </w:r>
      <w:r>
        <w:rPr>
          <w:rStyle w:val="NormalTok"/>
        </w:rPr>
        <w:t xml:space="preserve"> axis[</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c </w:t>
      </w:r>
      <w:r>
        <w:rPr>
          <w:rStyle w:val="OperatorTok"/>
        </w:rPr>
        <w:t xml:space="preserve">=</w:t>
      </w:r>
      <w:r>
        <w:rPr>
          <w:rStyle w:val="NormalTok"/>
        </w:rPr>
        <w:t xml:space="preserve"> angle</w:t>
      </w:r>
      <w:r>
        <w:rPr>
          <w:rStyle w:val="OperatorTok"/>
        </w:rPr>
        <w:t xml:space="preserve">.</w:t>
      </w:r>
      <w:r>
        <w:rPr>
          <w:rStyle w:val="NormalTok"/>
        </w:rPr>
        <w:t xml:space="preserve">cos()</w:t>
      </w:r>
      <w:r>
        <w:rPr>
          <w:rStyle w:val="OperatorTok"/>
        </w:rPr>
        <w:t xml:space="preserve">;</w:t>
      </w:r>
      <w:r>
        <w:br/>
      </w:r>
      <w:r>
        <w:rPr>
          <w:rStyle w:val="NormalTok"/>
        </w:rPr>
        <w:t xml:space="preserve">        </w:t>
      </w:r>
      <w:r>
        <w:rPr>
          <w:rStyle w:val="KeywordTok"/>
        </w:rPr>
        <w:t xml:space="preserve">let</w:t>
      </w:r>
      <w:r>
        <w:rPr>
          <w:rStyle w:val="NormalTok"/>
        </w:rPr>
        <w:t xml:space="preserve"> s </w:t>
      </w:r>
      <w:r>
        <w:rPr>
          <w:rStyle w:val="OperatorTok"/>
        </w:rPr>
        <w:t xml:space="preserve">=</w:t>
      </w:r>
      <w:r>
        <w:rPr>
          <w:rStyle w:val="NormalTok"/>
        </w:rPr>
        <w:t xml:space="preserve"> angle</w:t>
      </w:r>
      <w:r>
        <w:rPr>
          <w:rStyle w:val="OperatorTok"/>
        </w:rPr>
        <w:t xml:space="preserve">.</w:t>
      </w:r>
      <w:r>
        <w:rPr>
          <w:rStyle w:val="NormalTok"/>
        </w:rPr>
        <w:t xml:space="preserve">sin()</w:t>
      </w:r>
      <w:r>
        <w:rPr>
          <w:rStyle w:val="OperatorTok"/>
        </w:rPr>
        <w:t xml:space="preserve">;</w:t>
      </w:r>
      <w:r>
        <w:br/>
      </w:r>
      <w:r>
        <w:rPr>
          <w:rStyle w:val="NormalTok"/>
        </w:rPr>
        <w:t xml:space="preserve">        </w:t>
      </w:r>
      <w:r>
        <w:rPr>
          <w:rStyle w:val="KeywordTok"/>
        </w:rPr>
        <w:t xml:space="preserve">let</w:t>
      </w:r>
      <w:r>
        <w:rPr>
          <w:rStyle w:val="NormalTok"/>
        </w:rPr>
        <w:t xml:space="preserve"> t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DataTypeTok"/>
        </w:rPr>
        <w:t xml:space="preserve">Self</w:t>
      </w:r>
      <w:r>
        <w:rPr>
          <w:rStyle w:val="NormalTok"/>
        </w:rPr>
        <w:t xml:space="preserve">([</w:t>
      </w:r>
      <w:r>
        <w:br/>
      </w:r>
      <w:r>
        <w:rPr>
          <w:rStyle w:val="NormalTok"/>
        </w:rPr>
        <w:t xml:space="preserve">            [t</w:t>
      </w:r>
      <w:r>
        <w:rPr>
          <w:rStyle w:val="OperatorTok"/>
        </w:rPr>
        <w:t xml:space="preserve">*</w:t>
      </w:r>
      <w:r>
        <w:rPr>
          <w:rStyle w:val="NormalTok"/>
        </w:rPr>
        <w:t xml:space="preserve">x</w:t>
      </w:r>
      <w:r>
        <w:rPr>
          <w:rStyle w:val="OperatorTok"/>
        </w:rPr>
        <w:t xml:space="preserve">*</w:t>
      </w:r>
      <w:r>
        <w:rPr>
          <w:rStyle w:val="NormalTok"/>
        </w:rPr>
        <w:t xml:space="preserve">x </w:t>
      </w:r>
      <w:r>
        <w:rPr>
          <w:rStyle w:val="OperatorTok"/>
        </w:rPr>
        <w:t xml:space="preserve">+</w:t>
      </w:r>
      <w:r>
        <w:rPr>
          <w:rStyle w:val="NormalTok"/>
        </w:rPr>
        <w:t xml:space="preserve"> c</w:t>
      </w:r>
      <w:r>
        <w:rPr>
          <w:rStyle w:val="OperatorTok"/>
        </w:rPr>
        <w:t xml:space="preserve">,</w:t>
      </w:r>
      <w:r>
        <w:rPr>
          <w:rStyle w:val="NormalTok"/>
        </w:rPr>
        <w:t xml:space="preserve">   t</w:t>
      </w:r>
      <w:r>
        <w:rPr>
          <w:rStyle w:val="OperatorTok"/>
        </w:rPr>
        <w:t xml:space="preserve">*</w:t>
      </w:r>
      <w:r>
        <w:rPr>
          <w:rStyle w:val="NormalTok"/>
        </w:rPr>
        <w:t xml:space="preserve">x</w:t>
      </w:r>
      <w:r>
        <w:rPr>
          <w:rStyle w:val="OperatorTok"/>
        </w:rPr>
        <w:t xml:space="preserve">*</w:t>
      </w:r>
      <w:r>
        <w:rPr>
          <w:rStyle w:val="NormalTok"/>
        </w:rPr>
        <w:t xml:space="preserve">y </w:t>
      </w:r>
      <w:r>
        <w:rPr>
          <w:rStyle w:val="OperatorTok"/>
        </w:rPr>
        <w:t xml:space="preserve">-</w:t>
      </w:r>
      <w:r>
        <w:rPr>
          <w:rStyle w:val="NormalTok"/>
        </w:rPr>
        <w:t xml:space="preserve"> s</w:t>
      </w:r>
      <w:r>
        <w:rPr>
          <w:rStyle w:val="OperatorTok"/>
        </w:rPr>
        <w:t xml:space="preserve">*</w:t>
      </w:r>
      <w:r>
        <w:rPr>
          <w:rStyle w:val="NormalTok"/>
        </w:rPr>
        <w:t xml:space="preserve">z</w:t>
      </w:r>
      <w:r>
        <w:rPr>
          <w:rStyle w:val="OperatorTok"/>
        </w:rPr>
        <w:t xml:space="preserve">,</w:t>
      </w:r>
      <w:r>
        <w:rPr>
          <w:rStyle w:val="NormalTok"/>
        </w:rPr>
        <w:t xml:space="preserve"> t</w:t>
      </w:r>
      <w:r>
        <w:rPr>
          <w:rStyle w:val="OperatorTok"/>
        </w:rPr>
        <w:t xml:space="preserve">*</w:t>
      </w:r>
      <w:r>
        <w:rPr>
          <w:rStyle w:val="NormalTok"/>
        </w:rPr>
        <w:t xml:space="preserve">x</w:t>
      </w:r>
      <w:r>
        <w:rPr>
          <w:rStyle w:val="OperatorTok"/>
        </w:rPr>
        <w:t xml:space="preserve">*</w:t>
      </w:r>
      <w:r>
        <w:rPr>
          <w:rStyle w:val="NormalTok"/>
        </w:rPr>
        <w:t xml:space="preserve">z </w:t>
      </w:r>
      <w:r>
        <w:rPr>
          <w:rStyle w:val="OperatorTok"/>
        </w:rPr>
        <w:t xml:space="preserve">+</w:t>
      </w:r>
      <w:r>
        <w:rPr>
          <w:rStyle w:val="NormalTok"/>
        </w:rPr>
        <w:t xml:space="preserve"> s</w:t>
      </w:r>
      <w:r>
        <w:rPr>
          <w:rStyle w:val="OperatorTok"/>
        </w:rPr>
        <w:t xml:space="preserve">*</w:t>
      </w:r>
      <w:r>
        <w:rPr>
          <w:rStyle w:val="NormalTok"/>
        </w:rPr>
        <w:t xml:space="preserve">y]</w:t>
      </w:r>
      <w:r>
        <w:rPr>
          <w:rStyle w:val="OperatorTok"/>
        </w:rPr>
        <w:t xml:space="preserve">,</w:t>
      </w:r>
      <w:r>
        <w:br/>
      </w:r>
      <w:r>
        <w:rPr>
          <w:rStyle w:val="NormalTok"/>
        </w:rPr>
        <w:t xml:space="preserve">            [t</w:t>
      </w:r>
      <w:r>
        <w:rPr>
          <w:rStyle w:val="OperatorTok"/>
        </w:rPr>
        <w:t xml:space="preserve">*</w:t>
      </w:r>
      <w:r>
        <w:rPr>
          <w:rStyle w:val="NormalTok"/>
        </w:rPr>
        <w:t xml:space="preserve">x</w:t>
      </w:r>
      <w:r>
        <w:rPr>
          <w:rStyle w:val="OperatorTok"/>
        </w:rPr>
        <w:t xml:space="preserve">*</w:t>
      </w:r>
      <w:r>
        <w:rPr>
          <w:rStyle w:val="NormalTok"/>
        </w:rPr>
        <w:t xml:space="preserve">y </w:t>
      </w:r>
      <w:r>
        <w:rPr>
          <w:rStyle w:val="OperatorTok"/>
        </w:rPr>
        <w:t xml:space="preserve">+</w:t>
      </w:r>
      <w:r>
        <w:rPr>
          <w:rStyle w:val="NormalTok"/>
        </w:rPr>
        <w:t xml:space="preserve"> s</w:t>
      </w:r>
      <w:r>
        <w:rPr>
          <w:rStyle w:val="OperatorTok"/>
        </w:rPr>
        <w:t xml:space="preserve">*</w:t>
      </w:r>
      <w:r>
        <w:rPr>
          <w:rStyle w:val="NormalTok"/>
        </w:rPr>
        <w:t xml:space="preserve">z</w:t>
      </w:r>
      <w:r>
        <w:rPr>
          <w:rStyle w:val="OperatorTok"/>
        </w:rPr>
        <w:t xml:space="preserve">,</w:t>
      </w:r>
      <w:r>
        <w:rPr>
          <w:rStyle w:val="NormalTok"/>
        </w:rPr>
        <w:t xml:space="preserve"> t</w:t>
      </w:r>
      <w:r>
        <w:rPr>
          <w:rStyle w:val="OperatorTok"/>
        </w:rPr>
        <w:t xml:space="preserve">*</w:t>
      </w:r>
      <w:r>
        <w:rPr>
          <w:rStyle w:val="NormalTok"/>
        </w:rPr>
        <w:t xml:space="preserve">y</w:t>
      </w:r>
      <w:r>
        <w:rPr>
          <w:rStyle w:val="OperatorTok"/>
        </w:rPr>
        <w:t xml:space="preserve">*</w:t>
      </w:r>
      <w:r>
        <w:rPr>
          <w:rStyle w:val="NormalTok"/>
        </w:rPr>
        <w:t xml:space="preserve">y </w:t>
      </w:r>
      <w:r>
        <w:rPr>
          <w:rStyle w:val="OperatorTok"/>
        </w:rPr>
        <w:t xml:space="preserve">+</w:t>
      </w:r>
      <w:r>
        <w:rPr>
          <w:rStyle w:val="NormalTok"/>
        </w:rPr>
        <w:t xml:space="preserve"> c</w:t>
      </w:r>
      <w:r>
        <w:rPr>
          <w:rStyle w:val="OperatorTok"/>
        </w:rPr>
        <w:t xml:space="preserve">,</w:t>
      </w:r>
      <w:r>
        <w:rPr>
          <w:rStyle w:val="NormalTok"/>
        </w:rPr>
        <w:t xml:space="preserve">   t</w:t>
      </w:r>
      <w:r>
        <w:rPr>
          <w:rStyle w:val="OperatorTok"/>
        </w:rPr>
        <w:t xml:space="preserve">*</w:t>
      </w:r>
      <w:r>
        <w:rPr>
          <w:rStyle w:val="NormalTok"/>
        </w:rPr>
        <w:t xml:space="preserve">y</w:t>
      </w:r>
      <w:r>
        <w:rPr>
          <w:rStyle w:val="OperatorTok"/>
        </w:rPr>
        <w:t xml:space="preserve">*</w:t>
      </w:r>
      <w:r>
        <w:rPr>
          <w:rStyle w:val="NormalTok"/>
        </w:rPr>
        <w:t xml:space="preserve">z </w:t>
      </w:r>
      <w:r>
        <w:rPr>
          <w:rStyle w:val="OperatorTok"/>
        </w:rPr>
        <w:t xml:space="preserve">-</w:t>
      </w:r>
      <w:r>
        <w:rPr>
          <w:rStyle w:val="NormalTok"/>
        </w:rPr>
        <w:t xml:space="preserve"> s</w:t>
      </w:r>
      <w:r>
        <w:rPr>
          <w:rStyle w:val="OperatorTok"/>
        </w:rPr>
        <w:t xml:space="preserve">*</w:t>
      </w:r>
      <w:r>
        <w:rPr>
          <w:rStyle w:val="NormalTok"/>
        </w:rPr>
        <w:t xml:space="preserve">x]</w:t>
      </w:r>
      <w:r>
        <w:rPr>
          <w:rStyle w:val="OperatorTok"/>
        </w:rPr>
        <w:t xml:space="preserve">,</w:t>
      </w:r>
      <w:r>
        <w:br/>
      </w:r>
      <w:r>
        <w:rPr>
          <w:rStyle w:val="NormalTok"/>
        </w:rPr>
        <w:t xml:space="preserve">            [t</w:t>
      </w:r>
      <w:r>
        <w:rPr>
          <w:rStyle w:val="OperatorTok"/>
        </w:rPr>
        <w:t xml:space="preserve">*</w:t>
      </w:r>
      <w:r>
        <w:rPr>
          <w:rStyle w:val="NormalTok"/>
        </w:rPr>
        <w:t xml:space="preserve">x</w:t>
      </w:r>
      <w:r>
        <w:rPr>
          <w:rStyle w:val="OperatorTok"/>
        </w:rPr>
        <w:t xml:space="preserve">*</w:t>
      </w:r>
      <w:r>
        <w:rPr>
          <w:rStyle w:val="NormalTok"/>
        </w:rPr>
        <w:t xml:space="preserve">z </w:t>
      </w:r>
      <w:r>
        <w:rPr>
          <w:rStyle w:val="OperatorTok"/>
        </w:rPr>
        <w:t xml:space="preserve">-</w:t>
      </w:r>
      <w:r>
        <w:rPr>
          <w:rStyle w:val="NormalTok"/>
        </w:rPr>
        <w:t xml:space="preserve"> s</w:t>
      </w:r>
      <w:r>
        <w:rPr>
          <w:rStyle w:val="OperatorTok"/>
        </w:rPr>
        <w:t xml:space="preserve">*</w:t>
      </w:r>
      <w:r>
        <w:rPr>
          <w:rStyle w:val="NormalTok"/>
        </w:rPr>
        <w:t xml:space="preserve">y</w:t>
      </w:r>
      <w:r>
        <w:rPr>
          <w:rStyle w:val="OperatorTok"/>
        </w:rPr>
        <w:t xml:space="preserve">,</w:t>
      </w:r>
      <w:r>
        <w:rPr>
          <w:rStyle w:val="NormalTok"/>
        </w:rPr>
        <w:t xml:space="preserve"> t</w:t>
      </w:r>
      <w:r>
        <w:rPr>
          <w:rStyle w:val="OperatorTok"/>
        </w:rPr>
        <w:t xml:space="preserve">*</w:t>
      </w:r>
      <w:r>
        <w:rPr>
          <w:rStyle w:val="NormalTok"/>
        </w:rPr>
        <w:t xml:space="preserve">y</w:t>
      </w:r>
      <w:r>
        <w:rPr>
          <w:rStyle w:val="OperatorTok"/>
        </w:rPr>
        <w:t xml:space="preserve">*</w:t>
      </w:r>
      <w:r>
        <w:rPr>
          <w:rStyle w:val="NormalTok"/>
        </w:rPr>
        <w:t xml:space="preserve">z </w:t>
      </w:r>
      <w:r>
        <w:rPr>
          <w:rStyle w:val="OperatorTok"/>
        </w:rPr>
        <w:t xml:space="preserve">+</w:t>
      </w:r>
      <w:r>
        <w:rPr>
          <w:rStyle w:val="NormalTok"/>
        </w:rPr>
        <w:t xml:space="preserve"> s</w:t>
      </w:r>
      <w:r>
        <w:rPr>
          <w:rStyle w:val="OperatorTok"/>
        </w:rPr>
        <w:t xml:space="preserve">*</w:t>
      </w:r>
      <w:r>
        <w:rPr>
          <w:rStyle w:val="NormalTok"/>
        </w:rPr>
        <w:t xml:space="preserve">x</w:t>
      </w:r>
      <w:r>
        <w:rPr>
          <w:rStyle w:val="OperatorTok"/>
        </w:rPr>
        <w:t xml:space="preserve">,</w:t>
      </w:r>
      <w:r>
        <w:rPr>
          <w:rStyle w:val="NormalTok"/>
        </w:rPr>
        <w:t xml:space="preserve"> t</w:t>
      </w:r>
      <w:r>
        <w:rPr>
          <w:rStyle w:val="OperatorTok"/>
        </w:rPr>
        <w:t xml:space="preserve">*</w:t>
      </w:r>
      <w:r>
        <w:rPr>
          <w:rStyle w:val="NormalTok"/>
        </w:rPr>
        <w:t xml:space="preserve">z</w:t>
      </w:r>
      <w:r>
        <w:rPr>
          <w:rStyle w:val="OperatorTok"/>
        </w:rPr>
        <w:t xml:space="preserve">*</w:t>
      </w:r>
      <w:r>
        <w:rPr>
          <w:rStyle w:val="NormalTok"/>
        </w:rPr>
        <w:t xml:space="preserve">z </w:t>
      </w:r>
      <w:r>
        <w:rPr>
          <w:rStyle w:val="OperatorTok"/>
        </w:rPr>
        <w:t xml:space="preserve">+</w:t>
      </w:r>
      <w:r>
        <w:rPr>
          <w:rStyle w:val="NormalTok"/>
        </w:rPr>
        <w:t xml:space="preserve"> c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Matrix multiplication: compose two sequential transports.</w:t>
      </w:r>
      <w:r>
        <w:br/>
      </w:r>
      <w:r>
        <w:rPr>
          <w:rStyle w:val="NormalTok"/>
        </w:rPr>
        <w:t xml:space="preserve">    </w:t>
      </w:r>
      <w:r>
        <w:rPr>
          <w:rStyle w:val="KeywordTok"/>
        </w:rPr>
        <w:t xml:space="preserve">fn</w:t>
      </w:r>
      <w:r>
        <w:rPr>
          <w:rStyle w:val="NormalTok"/>
        </w:rPr>
        <w:t xml:space="preserve"> multiply(</w:t>
      </w:r>
      <w:r>
        <w:rPr>
          <w:rStyle w:val="OperatorTok"/>
        </w:rPr>
        <w:t xml:space="preserve">&amp;</w:t>
      </w:r>
      <w:r>
        <w:rPr>
          <w:rStyle w:val="KeywordTok"/>
        </w:rPr>
        <w:t xml:space="preserve">self</w:t>
      </w:r>
      <w:r>
        <w:rPr>
          <w:rStyle w:val="OperatorTok"/>
        </w:rPr>
        <w:t xml:space="preserve">,</w:t>
      </w:r>
      <w:r>
        <w:rPr>
          <w:rStyle w:val="NormalTok"/>
        </w:rPr>
        <w:t xml:space="preserve"> other</w:t>
      </w:r>
      <w:r>
        <w:rPr>
          <w:rStyle w:val="OperatorTok"/>
        </w:rPr>
        <w:t xml:space="preserve">:</w:t>
      </w:r>
      <w:r>
        <w:rPr>
          <w:rStyle w:val="NormalTok"/>
        </w:rPr>
        <w:t xml:space="preserve"> </w:t>
      </w:r>
      <w:r>
        <w:rPr>
          <w:rStyle w:val="OperatorTok"/>
        </w:rPr>
        <w:t xml:space="preserve">&amp;</w:t>
      </w:r>
      <w:r>
        <w:rPr>
          <w:rStyle w:val="NormalTok"/>
        </w:rPr>
        <w:t xml:space="preserve">HolonomyMatrix) </w:t>
      </w:r>
      <w:r>
        <w:rPr>
          <w:rStyle w:val="OperatorTok"/>
        </w:rPr>
        <w:t xml:space="preserve">-&gt;</w:t>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result </w:t>
      </w:r>
      <w:r>
        <w:rPr>
          <w:rStyle w:val="OperatorTok"/>
        </w:rPr>
        <w:t xml:space="preserve">=</w:t>
      </w:r>
      <w:r>
        <w:rPr>
          <w:rStyle w:val="NormalTok"/>
        </w:rPr>
        <w:t xml:space="preserve"> [[</w:t>
      </w:r>
      <w:r>
        <w:rPr>
          <w:rStyle w:val="DecValTok"/>
        </w:rPr>
        <w:t xml:space="preserve">0.0</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0</w:t>
      </w:r>
      <w:r>
        <w:rPr>
          <w:rStyle w:val="OperatorTok"/>
        </w:rPr>
        <w:t xml:space="preserve">..</w:t>
      </w:r>
      <w:r>
        <w:rPr>
          <w:rStyle w:val="DecValTok"/>
        </w:rPr>
        <w:t xml:space="preserve">3</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DecValTok"/>
        </w:rPr>
        <w:t xml:space="preserve">0</w:t>
      </w:r>
      <w:r>
        <w:rPr>
          <w:rStyle w:val="OperatorTok"/>
        </w:rPr>
        <w:t xml:space="preserve">..</w:t>
      </w:r>
      <w:r>
        <w:rPr>
          <w:rStyle w:val="DecValTok"/>
        </w:rPr>
        <w:t xml:space="preserve">3</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DecValTok"/>
        </w:rPr>
        <w:t xml:space="preserve">0</w:t>
      </w:r>
      <w:r>
        <w:rPr>
          <w:rStyle w:val="OperatorTok"/>
        </w:rPr>
        <w:t xml:space="preserve">..</w:t>
      </w:r>
      <w:r>
        <w:rPr>
          <w:rStyle w:val="DecValTok"/>
        </w:rPr>
        <w:t xml:space="preserve">3</w:t>
      </w:r>
      <w:r>
        <w:rPr>
          <w:rStyle w:val="NormalTok"/>
        </w:rPr>
        <w:t xml:space="preserve"> </w:t>
      </w:r>
      <w:r>
        <w:rPr>
          <w:rStyle w:val="OperatorTok"/>
        </w:rPr>
        <w:t xml:space="preserve">{</w:t>
      </w:r>
      <w:r>
        <w:br/>
      </w:r>
      <w:r>
        <w:rPr>
          <w:rStyle w:val="NormalTok"/>
        </w:rPr>
        <w:t xml:space="preserve">                    result[i][j] </w:t>
      </w:r>
      <w:r>
        <w:rPr>
          <w:rStyle w:val="OperatorTok"/>
        </w:rPr>
        <w:t xml:space="preserve">+=</w:t>
      </w:r>
      <w:r>
        <w:rPr>
          <w:rStyle w:val="NormalTok"/>
        </w:rPr>
        <w:t xml:space="preserve"> </w:t>
      </w:r>
      <w:r>
        <w:rPr>
          <w:rStyle w:val="KeywordTok"/>
        </w:rPr>
        <w:t xml:space="preserve">self</w:t>
      </w:r>
      <w:r>
        <w:rPr>
          <w:rStyle w:val="OperatorTok"/>
        </w:rPr>
        <w:t xml:space="preserve">.</w:t>
      </w:r>
      <w:r>
        <w:rPr>
          <w:rStyle w:val="DecValTok"/>
        </w:rPr>
        <w:t xml:space="preserve">0</w:t>
      </w:r>
      <w:r>
        <w:rPr>
          <w:rStyle w:val="NormalTok"/>
        </w:rPr>
        <w:t xml:space="preserve">[i][k] </w:t>
      </w:r>
      <w:r>
        <w:rPr>
          <w:rStyle w:val="OperatorTok"/>
        </w:rPr>
        <w:t xml:space="preserve">*</w:t>
      </w:r>
      <w:r>
        <w:rPr>
          <w:rStyle w:val="NormalTok"/>
        </w:rPr>
        <w:t xml:space="preserve"> other</w:t>
      </w:r>
      <w:r>
        <w:rPr>
          <w:rStyle w:val="OperatorTok"/>
        </w:rPr>
        <w:t xml:space="preserve">.</w:t>
      </w:r>
      <w:r>
        <w:rPr>
          <w:rStyle w:val="DecValTok"/>
        </w:rPr>
        <w:t xml:space="preserve">0</w:t>
      </w:r>
      <w:r>
        <w:rPr>
          <w:rStyle w:val="NormalTok"/>
        </w:rPr>
        <w:t xml:space="preserve">[k][j]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Self</w:t>
      </w:r>
      <w:r>
        <w:rPr>
          <w:rStyle w:val="NormalTok"/>
        </w:rPr>
        <w:t xml:space="preserve">(result)</w:t>
      </w:r>
      <w:r>
        <w:br/>
      </w:r>
      <w:r>
        <w:rPr>
          <w:rStyle w:val="NormalTok"/>
        </w:rPr>
        <w:t xml:space="preserve">    </w:t>
      </w:r>
      <w:r>
        <w:rPr>
          <w:rStyle w:val="OperatorTok"/>
        </w:rPr>
        <w:t xml:space="preserve">}</w:t>
      </w:r>
      <w:r>
        <w:br/>
      </w:r>
      <w:r>
        <w:br/>
      </w:r>
      <w:r>
        <w:rPr>
          <w:rStyle w:val="NormalTok"/>
        </w:rPr>
        <w:t xml:space="preserve">    </w:t>
      </w:r>
      <w:r>
        <w:rPr>
          <w:rStyle w:val="CommentTok"/>
        </w:rPr>
        <w:t xml:space="preserve">/// Frobenius norm of (M − I), measuring deviation from identity.</w:t>
      </w:r>
      <w:r>
        <w:br/>
      </w:r>
      <w:r>
        <w:rPr>
          <w:rStyle w:val="NormalTok"/>
        </w:rPr>
        <w:t xml:space="preserve">    </w:t>
      </w:r>
      <w:r>
        <w:rPr>
          <w:rStyle w:val="KeywordTok"/>
        </w:rPr>
        <w:t xml:space="preserve">fn</w:t>
      </w:r>
      <w:r>
        <w:rPr>
          <w:rStyle w:val="NormalTok"/>
        </w:rPr>
        <w:t xml:space="preserve"> deviation(</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f64</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sum </w:t>
      </w:r>
      <w:r>
        <w:rPr>
          <w:rStyle w:val="OperatorTok"/>
        </w:rPr>
        <w:t xml:space="preserve">=</w:t>
      </w:r>
      <w:r>
        <w:rPr>
          <w:rStyle w:val="NormalTok"/>
        </w:rPr>
        <w:t xml:space="preserve"> </w:t>
      </w:r>
      <w:r>
        <w:rPr>
          <w:rStyle w:val="DecValTok"/>
        </w:rPr>
        <w:t xml:space="preserve">0.0</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0</w:t>
      </w:r>
      <w:r>
        <w:rPr>
          <w:rStyle w:val="OperatorTok"/>
        </w:rPr>
        <w:t xml:space="preserve">..</w:t>
      </w:r>
      <w:r>
        <w:rPr>
          <w:rStyle w:val="DecValTok"/>
        </w:rPr>
        <w:t xml:space="preserve">3</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DecValTok"/>
        </w:rPr>
        <w:t xml:space="preserve">0</w:t>
      </w:r>
      <w:r>
        <w:rPr>
          <w:rStyle w:val="OperatorTok"/>
        </w:rPr>
        <w:t xml:space="preserve">..</w:t>
      </w:r>
      <w:r>
        <w:rPr>
          <w:rStyle w:val="DecValTok"/>
        </w:rPr>
        <w:t xml:space="preserve">3</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delta </w:t>
      </w:r>
      <w:r>
        <w:rPr>
          <w:rStyle w:val="OperatorTok"/>
        </w:rPr>
        <w:t xml:space="preserve">=</w:t>
      </w:r>
      <w:r>
        <w:rPr>
          <w:rStyle w:val="NormalTok"/>
        </w:rPr>
        <w:t xml:space="preserve"> </w:t>
      </w:r>
      <w:r>
        <w:rPr>
          <w:rStyle w:val="KeywordTok"/>
        </w:rPr>
        <w:t xml:space="preserve">self</w:t>
      </w:r>
      <w:r>
        <w:rPr>
          <w:rStyle w:val="OperatorTok"/>
        </w:rPr>
        <w:t xml:space="preserve">.</w:t>
      </w:r>
      <w:r>
        <w:rPr>
          <w:rStyle w:val="DecValTok"/>
        </w:rPr>
        <w:t xml:space="preserve">0</w:t>
      </w:r>
      <w:r>
        <w:rPr>
          <w:rStyle w:val="NormalTok"/>
        </w:rPr>
        <w:t xml:space="preserve">[i][j] </w:t>
      </w:r>
      <w:r>
        <w:rPr>
          <w:rStyle w:val="OperatorTok"/>
        </w:rPr>
        <w:t xml:space="preserve">-</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DecValTok"/>
        </w:rPr>
        <w:t xml:space="preserve">0.0</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delta </w:t>
      </w:r>
      <w:r>
        <w:rPr>
          <w:rStyle w:val="OperatorTok"/>
        </w:rPr>
        <w:t xml:space="preserve">*</w:t>
      </w:r>
      <w:r>
        <w:rPr>
          <w:rStyle w:val="NormalTok"/>
        </w:rPr>
        <w:t xml:space="preserve"> delta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sum</w:t>
      </w:r>
      <w:r>
        <w:rPr>
          <w:rStyle w:val="OperatorTok"/>
        </w:rPr>
        <w:t xml:space="preserve">.</w:t>
      </w:r>
      <w:r>
        <w:rPr>
          <w:rStyle w:val="NormalTok"/>
        </w:rPr>
        <w:t xml:space="preserve">sqrt()</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whether this matrix is within `tolerance` of identity.</w:t>
      </w:r>
      <w:r>
        <w:br/>
      </w:r>
      <w:r>
        <w:rPr>
          <w:rStyle w:val="NormalTok"/>
        </w:rPr>
        <w:t xml:space="preserve">    </w:t>
      </w:r>
      <w:r>
        <w:rPr>
          <w:rStyle w:val="KeywordTok"/>
        </w:rPr>
        <w:t xml:space="preserve">fn</w:t>
      </w:r>
      <w:r>
        <w:rPr>
          <w:rStyle w:val="NormalTok"/>
        </w:rPr>
        <w:t xml:space="preserve"> is_identity(</w:t>
      </w:r>
      <w:r>
        <w:rPr>
          <w:rStyle w:val="OperatorTok"/>
        </w:rPr>
        <w:t xml:space="preserve">&amp;</w:t>
      </w:r>
      <w:r>
        <w:rPr>
          <w:rStyle w:val="KeywordTok"/>
        </w:rPr>
        <w:t xml:space="preserve">self</w:t>
      </w:r>
      <w:r>
        <w:rPr>
          <w:rStyle w:val="OperatorTok"/>
        </w:rPr>
        <w:t xml:space="preserve">,</w:t>
      </w:r>
      <w:r>
        <w:rPr>
          <w:rStyle w:val="NormalTok"/>
        </w:rPr>
        <w:t xml:space="preserve"> tolerance</w:t>
      </w:r>
      <w:r>
        <w:rPr>
          <w:rStyle w:val="OperatorTok"/>
        </w:rPr>
        <w:t xml:space="preserve">:</w:t>
      </w:r>
      <w:r>
        <w:rPr>
          <w:rStyle w:val="NormalTok"/>
        </w:rPr>
        <w:t xml:space="preserve"> </w:t>
      </w:r>
      <w:r>
        <w:rPr>
          <w:rStyle w:val="DataTypeTok"/>
        </w:rPr>
        <w:t xml:space="preserve">f64</w:t>
      </w:r>
      <w:r>
        <w:rPr>
          <w:rStyle w:val="NormalTok"/>
        </w:rPr>
        <w:t xml:space="preserve">) </w:t>
      </w:r>
      <w:r>
        <w:rPr>
          <w:rStyle w:val="OperatorTok"/>
        </w:rPr>
        <w:t xml:space="preserve">-&gt;</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deviation() </w:t>
      </w:r>
      <w:r>
        <w:rPr>
          <w:rStyle w:val="OperatorTok"/>
        </w:rPr>
        <w:t xml:space="preserve">&lt;</w:t>
      </w:r>
      <w:r>
        <w:rPr>
          <w:rStyle w:val="NormalTok"/>
        </w:rPr>
        <w:t xml:space="preserve"> tolerance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 consensus tile: local state + neighborhood adjacency.</w:t>
      </w:r>
      <w:r>
        <w:br/>
      </w:r>
      <w:r>
        <w:rPr>
          <w:rStyle w:val="KeywordTok"/>
        </w:rPr>
        <w:t xml:space="preserve">struct</w:t>
      </w:r>
      <w:r>
        <w:rPr>
          <w:rStyle w:val="NormalTok"/>
        </w:rPr>
        <w:t xml:space="preserve"> ConsensusTile </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DataTypeTok"/>
        </w:rPr>
        <w:t xml:space="preserve">u64</w:t>
      </w:r>
      <w:r>
        <w:rPr>
          <w:rStyle w:val="OperatorTok"/>
        </w:rPr>
        <w:t xml:space="preserve">,</w:t>
      </w:r>
      <w:r>
        <w:br/>
      </w:r>
      <w:r>
        <w:rPr>
          <w:rStyle w:val="NormalTok"/>
        </w:rPr>
        <w:t xml:space="preserve">    holonomy</w:t>
      </w:r>
      <w:r>
        <w:rPr>
          <w:rStyle w:val="OperatorTok"/>
        </w:rPr>
        <w:t xml:space="preserve">:</w:t>
      </w:r>
      <w:r>
        <w:rPr>
          <w:rStyle w:val="NormalTok"/>
        </w:rPr>
        <w:t xml:space="preserve"> HolonomyMatrix</w:t>
      </w:r>
      <w:r>
        <w:rPr>
          <w:rStyle w:val="OperatorTok"/>
        </w:rPr>
        <w:t xml:space="preserve">,</w:t>
      </w:r>
      <w:r>
        <w:rPr>
          <w:rStyle w:val="NormalTok"/>
        </w:rPr>
        <w:t xml:space="preserve">  </w:t>
      </w:r>
      <w:r>
        <w:rPr>
          <w:rStyle w:val="CommentTok"/>
        </w:rPr>
        <w:t xml:space="preserve">// local state as rotation in SO(3)</w:t>
      </w:r>
      <w:r>
        <w:br/>
      </w:r>
      <w:r>
        <w:rPr>
          <w:rStyle w:val="NormalTok"/>
        </w:rPr>
        <w:t xml:space="preserve">    neighbors</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u64</w:t>
      </w:r>
      <w:r>
        <w:rPr>
          <w:rStyle w:val="OperatorTok"/>
        </w:rPr>
        <w:t xml:space="preserve">&gt;,</w:t>
      </w:r>
      <w:r>
        <w:rPr>
          <w:rStyle w:val="NormalTok"/>
        </w:rPr>
        <w:t xml:space="preserve">       </w:t>
      </w:r>
      <w:r>
        <w:rPr>
          <w:rStyle w:val="CommentTok"/>
        </w:rPr>
        <w:t xml:space="preserve">// adjacency list (max 12 for rigidity)</w:t>
      </w:r>
      <w:r>
        <w:br/>
      </w:r>
      <w:r>
        <w:rPr>
          <w:rStyle w:val="OperatorTok"/>
        </w:rPr>
        <w:t xml:space="preserve">}</w:t>
      </w:r>
      <w:r>
        <w:br/>
      </w:r>
      <w:r>
        <w:br/>
      </w:r>
      <w:r>
        <w:rPr>
          <w:rStyle w:val="CommentTok"/>
        </w:rPr>
        <w:t xml:space="preserve">/// Result of a zero-holonomy check.</w:t>
      </w:r>
      <w:r>
        <w:br/>
      </w:r>
      <w:r>
        <w:rPr>
          <w:rStyle w:val="KeywordTok"/>
        </w:rPr>
        <w:t xml:space="preserve">struct</w:t>
      </w:r>
      <w:r>
        <w:rPr>
          <w:rStyle w:val="NormalTok"/>
        </w:rPr>
        <w:t xml:space="preserve"> ConsensusResult </w:t>
      </w:r>
      <w:r>
        <w:rPr>
          <w:rStyle w:val="OperatorTok"/>
        </w:rPr>
        <w:t xml:space="preserve">{</w:t>
      </w:r>
      <w:r>
        <w:br/>
      </w:r>
      <w:r>
        <w:rPr>
          <w:rStyle w:val="NormalTok"/>
        </w:rPr>
        <w:t xml:space="preserve">    is_consistent</w:t>
      </w:r>
      <w:r>
        <w:rPr>
          <w:rStyle w:val="OperatorTok"/>
        </w:rPr>
        <w:t xml:space="preserve">:</w:t>
      </w:r>
      <w:r>
        <w:rPr>
          <w:rStyle w:val="NormalTok"/>
        </w:rPr>
        <w:t xml:space="preserve"> </w:t>
      </w:r>
      <w:r>
        <w:rPr>
          <w:rStyle w:val="DataTypeTok"/>
        </w:rPr>
        <w:t xml:space="preserve">bool</w:t>
      </w:r>
      <w:r>
        <w:rPr>
          <w:rStyle w:val="OperatorTok"/>
        </w:rPr>
        <w:t xml:space="preserve">,</w:t>
      </w:r>
      <w:r>
        <w:br/>
      </w:r>
      <w:r>
        <w:rPr>
          <w:rStyle w:val="NormalTok"/>
        </w:rPr>
        <w:t xml:space="preserve">    deviation</w:t>
      </w:r>
      <w:r>
        <w:rPr>
          <w:rStyle w:val="OperatorTok"/>
        </w:rPr>
        <w:t xml:space="preserve">:</w:t>
      </w:r>
      <w:r>
        <w:rPr>
          <w:rStyle w:val="NormalTok"/>
        </w:rPr>
        <w:t xml:space="preserve"> </w:t>
      </w:r>
      <w:r>
        <w:rPr>
          <w:rStyle w:val="DataTypeTok"/>
        </w:rPr>
        <w:t xml:space="preserve">f64</w:t>
      </w:r>
      <w:r>
        <w:rPr>
          <w:rStyle w:val="OperatorTok"/>
        </w:rPr>
        <w:t xml:space="preserve">,</w:t>
      </w:r>
      <w:r>
        <w:br/>
      </w:r>
      <w:r>
        <w:rPr>
          <w:rStyle w:val="NormalTok"/>
        </w:rPr>
        <w:t xml:space="preserve">    violating_cycle</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DataTypeTok"/>
        </w:rPr>
        <w:t xml:space="preserve">Vec</w:t>
      </w:r>
      <w:r>
        <w:rPr>
          <w:rStyle w:val="OperatorTok"/>
        </w:rPr>
        <w:t xml:space="preserve">&lt;</w:t>
      </w:r>
      <w:r>
        <w:rPr>
          <w:rStyle w:val="DataTypeTok"/>
        </w:rPr>
        <w:t xml:space="preserve">u64</w:t>
      </w:r>
      <w:r>
        <w:rPr>
          <w:rStyle w:val="OperatorTok"/>
        </w:rPr>
        <w:t xml:space="preserve">&gt;&gt;,</w:t>
      </w:r>
      <w:r>
        <w:br/>
      </w:r>
      <w:r>
        <w:rPr>
          <w:rStyle w:val="OperatorTok"/>
        </w:rPr>
        <w:t xml:space="preserve">}</w:t>
      </w:r>
      <w:r>
        <w:br/>
      </w:r>
      <w:r>
        <w:br/>
      </w:r>
      <w:r>
        <w:rPr>
          <w:rStyle w:val="CommentTok"/>
        </w:rPr>
        <w:t xml:space="preserve">/// Check zero holonomy over a set of tiles and cycles.</w:t>
      </w:r>
      <w:r>
        <w:br/>
      </w:r>
      <w:r>
        <w:rPr>
          <w:rStyle w:val="CommentTok"/>
        </w:rPr>
        <w:t xml:space="preserve">///</w:t>
      </w:r>
      <w:r>
        <w:br/>
      </w:r>
      <w:r>
        <w:rPr>
          <w:rStyle w:val="CommentTok"/>
        </w:rPr>
        <w:t xml:space="preserve">/// # Arguments</w:t>
      </w:r>
      <w:r>
        <w:br/>
      </w:r>
      <w:r>
        <w:rPr>
          <w:rStyle w:val="CommentTok"/>
        </w:rPr>
        <w:t xml:space="preserve">/// * `tiles` — all participating consensus tiles</w:t>
      </w:r>
      <w:r>
        <w:br/>
      </w:r>
      <w:r>
        <w:rPr>
          <w:rStyle w:val="CommentTok"/>
        </w:rPr>
        <w:t xml:space="preserve">/// * `cycles` — basis of closed cycles in the communication graph</w:t>
      </w:r>
      <w:r>
        <w:br/>
      </w:r>
      <w:r>
        <w:rPr>
          <w:rStyle w:val="CommentTok"/>
        </w:rPr>
        <w:t xml:space="preserve">/// * `tolerance` — maximum allowed Frobenius deviation from identity</w:t>
      </w:r>
      <w:r>
        <w:br/>
      </w:r>
      <w:r>
        <w:rPr>
          <w:rStyle w:val="CommentTok"/>
        </w:rPr>
        <w:t xml:space="preserve">///</w:t>
      </w:r>
      <w:r>
        <w:br/>
      </w:r>
      <w:r>
        <w:rPr>
          <w:rStyle w:val="CommentTok"/>
        </w:rPr>
        <w:t xml:space="preserve">/// # Returns</w:t>
      </w:r>
      <w:r>
        <w:br/>
      </w:r>
      <w:r>
        <w:rPr>
          <w:rStyle w:val="CommentTok"/>
        </w:rPr>
        <w:t xml:space="preserve">/// * `ConsensusResult` indicating whether all cycles close to identity</w:t>
      </w:r>
      <w:r>
        <w:br/>
      </w:r>
      <w:r>
        <w:rPr>
          <w:rStyle w:val="KeywordTok"/>
        </w:rPr>
        <w:t xml:space="preserve">fn</w:t>
      </w:r>
      <w:r>
        <w:rPr>
          <w:rStyle w:val="NormalTok"/>
        </w:rPr>
        <w:t xml:space="preserve"> check_zero_holonomy(</w:t>
      </w:r>
      <w:r>
        <w:br/>
      </w:r>
      <w:r>
        <w:rPr>
          <w:rStyle w:val="NormalTok"/>
        </w:rPr>
        <w:t xml:space="preserve">    tiles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ConsensusTile</w:t>
      </w:r>
      <w:r>
        <w:rPr>
          <w:rStyle w:val="OperatorTok"/>
        </w:rPr>
        <w:t xml:space="preserve">&gt;,</w:t>
      </w:r>
      <w:r>
        <w:br/>
      </w:r>
      <w:r>
        <w:rPr>
          <w:rStyle w:val="NormalTok"/>
        </w:rPr>
        <w:t xml:space="preserve">    cycles</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Vec</w:t>
      </w:r>
      <w:r>
        <w:rPr>
          <w:rStyle w:val="OperatorTok"/>
        </w:rPr>
        <w:t xml:space="preserve">&lt;</w:t>
      </w:r>
      <w:r>
        <w:rPr>
          <w:rStyle w:val="DataTypeTok"/>
        </w:rPr>
        <w:t xml:space="preserve">u64</w:t>
      </w:r>
      <w:r>
        <w:rPr>
          <w:rStyle w:val="OperatorTok"/>
        </w:rPr>
        <w:t xml:space="preserve">&gt;&gt;,</w:t>
      </w:r>
      <w:r>
        <w:br/>
      </w:r>
      <w:r>
        <w:rPr>
          <w:rStyle w:val="NormalTok"/>
        </w:rPr>
        <w:t xml:space="preserve">    tolerance</w:t>
      </w:r>
      <w:r>
        <w:rPr>
          <w:rStyle w:val="OperatorTok"/>
        </w:rPr>
        <w:t xml:space="preserve">:</w:t>
      </w:r>
      <w:r>
        <w:rPr>
          <w:rStyle w:val="NormalTok"/>
        </w:rPr>
        <w:t xml:space="preserve"> </w:t>
      </w:r>
      <w:r>
        <w:rPr>
          <w:rStyle w:val="DataTypeTok"/>
        </w:rPr>
        <w:t xml:space="preserve">f64</w:t>
      </w:r>
      <w:r>
        <w:rPr>
          <w:rStyle w:val="OperatorTok"/>
        </w:rPr>
        <w:t xml:space="preserve">,</w:t>
      </w:r>
      <w:r>
        <w:br/>
      </w:r>
      <w:r>
        <w:rPr>
          <w:rStyle w:val="NormalTok"/>
        </w:rPr>
        <w:t xml:space="preserve">) </w:t>
      </w:r>
      <w:r>
        <w:rPr>
          <w:rStyle w:val="OperatorTok"/>
        </w:rPr>
        <w:t xml:space="preserve">-&gt;</w:t>
      </w:r>
      <w:r>
        <w:rPr>
          <w:rStyle w:val="NormalTok"/>
        </w:rPr>
        <w:t xml:space="preserve"> ConsensusResult </w:t>
      </w:r>
      <w:r>
        <w:rPr>
          <w:rStyle w:val="OperatorTok"/>
        </w:rPr>
        <w:t xml:space="preserve">{</w:t>
      </w:r>
      <w:r>
        <w:br/>
      </w:r>
      <w:r>
        <w:rPr>
          <w:rStyle w:val="NormalTok"/>
        </w:rPr>
        <w:t xml:space="preserve">    </w:t>
      </w:r>
      <w:r>
        <w:rPr>
          <w:rStyle w:val="ControlFlowTok"/>
        </w:rPr>
        <w:t xml:space="preserve">for</w:t>
      </w:r>
      <w:r>
        <w:rPr>
          <w:rStyle w:val="NormalTok"/>
        </w:rPr>
        <w:t xml:space="preserve"> cycle </w:t>
      </w:r>
      <w:r>
        <w:rPr>
          <w:rStyle w:val="KeywordTok"/>
        </w:rPr>
        <w:t xml:space="preserve">in</w:t>
      </w:r>
      <w:r>
        <w:rPr>
          <w:rStyle w:val="NormalTok"/>
        </w:rPr>
        <w:t xml:space="preserve"> cycles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product </w:t>
      </w:r>
      <w:r>
        <w:rPr>
          <w:rStyle w:val="OperatorTok"/>
        </w:rPr>
        <w:t xml:space="preserve">=</w:t>
      </w:r>
      <w:r>
        <w:rPr>
          <w:rStyle w:val="NormalTok"/>
        </w:rPr>
        <w:t xml:space="preserve"> </w:t>
      </w:r>
      <w:r>
        <w:rPr>
          <w:rStyle w:val="PreprocessorTok"/>
        </w:rPr>
        <w:t xml:space="preserve">HolonomyMatrix::</w:t>
      </w:r>
      <w:r>
        <w:rPr>
          <w:rStyle w:val="NormalTok"/>
        </w:rPr>
        <w:t xml:space="preserve">identity()</w:t>
      </w:r>
      <w:r>
        <w:rPr>
          <w:rStyle w:val="OperatorTok"/>
        </w:rPr>
        <w:t xml:space="preserve">;</w:t>
      </w:r>
      <w:r>
        <w:br/>
      </w:r>
      <w:r>
        <w:rPr>
          <w:rStyle w:val="NormalTok"/>
        </w:rPr>
        <w:t xml:space="preserve">        </w:t>
      </w:r>
      <w:r>
        <w:rPr>
          <w:rStyle w:val="ControlFlowTok"/>
        </w:rPr>
        <w:t xml:space="preserve">for</w:t>
      </w:r>
      <w:r>
        <w:rPr>
          <w:rStyle w:val="NormalTok"/>
        </w:rPr>
        <w:t xml:space="preserve"> tile_id </w:t>
      </w:r>
      <w:r>
        <w:rPr>
          <w:rStyle w:val="KeywordTok"/>
        </w:rPr>
        <w:t xml:space="preserve">in</w:t>
      </w:r>
      <w:r>
        <w:rPr>
          <w:rStyle w:val="NormalTok"/>
        </w:rPr>
        <w:t xml:space="preserve"> </w:t>
      </w:r>
      <w:r>
        <w:rPr>
          <w:rStyle w:val="OperatorTok"/>
        </w:rPr>
        <w:t xml:space="preserve">&amp;</w:t>
      </w:r>
      <w:r>
        <w:rPr>
          <w:rStyle w:val="NormalTok"/>
        </w:rPr>
        <w:t xml:space="preserve">cycle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ConstantTok"/>
        </w:rPr>
        <w:t xml:space="preserve">Some</w:t>
      </w:r>
      <w:r>
        <w:rPr>
          <w:rStyle w:val="NormalTok"/>
        </w:rPr>
        <w:t xml:space="preserve">(tile) </w:t>
      </w:r>
      <w:r>
        <w:rPr>
          <w:rStyle w:val="OperatorTok"/>
        </w:rPr>
        <w:t xml:space="preserve">=</w:t>
      </w:r>
      <w:r>
        <w:rPr>
          <w:rStyle w:val="NormalTok"/>
        </w:rPr>
        <w:t xml:space="preserve"> tiles</w:t>
      </w:r>
      <w:r>
        <w:rPr>
          <w:rStyle w:val="OperatorTok"/>
        </w:rPr>
        <w:t xml:space="preserve">.</w:t>
      </w:r>
      <w:r>
        <w:rPr>
          <w:rStyle w:val="NormalTok"/>
        </w:rPr>
        <w:t xml:space="preserve">iter()</w:t>
      </w:r>
      <w:r>
        <w:rPr>
          <w:rStyle w:val="OperatorTok"/>
        </w:rPr>
        <w:t xml:space="preserve">.</w:t>
      </w:r>
      <w:r>
        <w:rPr>
          <w:rStyle w:val="NormalTok"/>
        </w:rPr>
        <w:t xml:space="preserve">find(</w:t>
      </w:r>
      <w:r>
        <w:rPr>
          <w:rStyle w:val="OperatorTok"/>
        </w:rPr>
        <w:t xml:space="preserve">|</w:t>
      </w:r>
      <w:r>
        <w:rPr>
          <w:rStyle w:val="NormalTok"/>
        </w:rPr>
        <w:t xml:space="preserve">t</w:t>
      </w:r>
      <w:r>
        <w:rPr>
          <w:rStyle w:val="OperatorTok"/>
        </w:rPr>
        <w:t xml:space="preserve">|</w:t>
      </w:r>
      <w:r>
        <w:rPr>
          <w:rStyle w:val="NormalTok"/>
        </w:rPr>
        <w:t xml:space="preserve"> t</w:t>
      </w:r>
      <w:r>
        <w:rPr>
          <w:rStyle w:val="OperatorTok"/>
        </w:rPr>
        <w:t xml:space="preserve">.</w:t>
      </w:r>
      <w:r>
        <w:rPr>
          <w:rStyle w:val="NormalTok"/>
        </w:rPr>
        <w:t xml:space="preserve">id </w:t>
      </w:r>
      <w:r>
        <w:rPr>
          <w:rStyle w:val="OperatorTok"/>
        </w:rPr>
        <w:t xml:space="preserve">==</w:t>
      </w:r>
      <w:r>
        <w:rPr>
          <w:rStyle w:val="NormalTok"/>
        </w:rPr>
        <w:t xml:space="preserve"> </w:t>
      </w:r>
      <w:r>
        <w:rPr>
          <w:rStyle w:val="OperatorTok"/>
        </w:rPr>
        <w:t xml:space="preserve">*</w:t>
      </w:r>
      <w:r>
        <w:rPr>
          <w:rStyle w:val="NormalTok"/>
        </w:rPr>
        <w:t xml:space="preserve">tile_id) </w:t>
      </w:r>
      <w:r>
        <w:rPr>
          <w:rStyle w:val="OperatorTok"/>
        </w:rPr>
        <w:t xml:space="preserve">{</w:t>
      </w:r>
      <w:r>
        <w:br/>
      </w:r>
      <w:r>
        <w:rPr>
          <w:rStyle w:val="NormalTok"/>
        </w:rPr>
        <w:t xml:space="preserve">                product </w:t>
      </w:r>
      <w:r>
        <w:rPr>
          <w:rStyle w:val="OperatorTok"/>
        </w:rPr>
        <w:t xml:space="preserve">=</w:t>
      </w:r>
      <w:r>
        <w:rPr>
          <w:rStyle w:val="NormalTok"/>
        </w:rPr>
        <w:t xml:space="preserve"> product</w:t>
      </w:r>
      <w:r>
        <w:rPr>
          <w:rStyle w:val="OperatorTok"/>
        </w:rPr>
        <w:t xml:space="preserve">.</w:t>
      </w:r>
      <w:r>
        <w:rPr>
          <w:rStyle w:val="NormalTok"/>
        </w:rPr>
        <w:t xml:space="preserve">multiply(</w:t>
      </w:r>
      <w:r>
        <w:rPr>
          <w:rStyle w:val="OperatorTok"/>
        </w:rPr>
        <w:t xml:space="preserve">&amp;</w:t>
      </w:r>
      <w:r>
        <w:rPr>
          <w:rStyle w:val="NormalTok"/>
        </w:rPr>
        <w:t xml:space="preserve">tile</w:t>
      </w:r>
      <w:r>
        <w:rPr>
          <w:rStyle w:val="OperatorTok"/>
        </w:rPr>
        <w:t xml:space="preserve">.</w:t>
      </w:r>
      <w:r>
        <w:rPr>
          <w:rStyle w:val="NormalTok"/>
        </w:rPr>
        <w:t xml:space="preserve">holonomy)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product</w:t>
      </w:r>
      <w:r>
        <w:rPr>
          <w:rStyle w:val="OperatorTok"/>
        </w:rPr>
        <w:t xml:space="preserve">.</w:t>
      </w:r>
      <w:r>
        <w:rPr>
          <w:rStyle w:val="NormalTok"/>
        </w:rPr>
        <w:t xml:space="preserve">is_identity(tolerance) </w:t>
      </w:r>
      <w:r>
        <w:rPr>
          <w:rStyle w:val="OperatorTok"/>
        </w:rPr>
        <w:t xml:space="preserve">{</w:t>
      </w:r>
      <w:r>
        <w:br/>
      </w:r>
      <w:r>
        <w:rPr>
          <w:rStyle w:val="NormalTok"/>
        </w:rPr>
        <w:t xml:space="preserve">            </w:t>
      </w:r>
      <w:r>
        <w:rPr>
          <w:rStyle w:val="ControlFlowTok"/>
        </w:rPr>
        <w:t xml:space="preserve">return</w:t>
      </w:r>
      <w:r>
        <w:rPr>
          <w:rStyle w:val="NormalTok"/>
        </w:rPr>
        <w:t xml:space="preserve"> ConsensusResult </w:t>
      </w:r>
      <w:r>
        <w:rPr>
          <w:rStyle w:val="OperatorTok"/>
        </w:rPr>
        <w:t xml:space="preserve">{</w:t>
      </w:r>
      <w:r>
        <w:br/>
      </w:r>
      <w:r>
        <w:rPr>
          <w:rStyle w:val="NormalTok"/>
        </w:rPr>
        <w:t xml:space="preserve">                is_consistent</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deviation</w:t>
      </w:r>
      <w:r>
        <w:rPr>
          <w:rStyle w:val="OperatorTok"/>
        </w:rPr>
        <w:t xml:space="preserve">:</w:t>
      </w:r>
      <w:r>
        <w:rPr>
          <w:rStyle w:val="NormalTok"/>
        </w:rPr>
        <w:t xml:space="preserve"> product</w:t>
      </w:r>
      <w:r>
        <w:rPr>
          <w:rStyle w:val="OperatorTok"/>
        </w:rPr>
        <w:t xml:space="preserve">.</w:t>
      </w:r>
      <w:r>
        <w:rPr>
          <w:rStyle w:val="NormalTok"/>
        </w:rPr>
        <w:t xml:space="preserve">deviation()</w:t>
      </w:r>
      <w:r>
        <w:rPr>
          <w:rStyle w:val="OperatorTok"/>
        </w:rPr>
        <w:t xml:space="preserve">,</w:t>
      </w:r>
      <w:r>
        <w:br/>
      </w:r>
      <w:r>
        <w:rPr>
          <w:rStyle w:val="NormalTok"/>
        </w:rPr>
        <w:t xml:space="preserve">                violating_cycle</w:t>
      </w:r>
      <w:r>
        <w:rPr>
          <w:rStyle w:val="OperatorTok"/>
        </w:rPr>
        <w:t xml:space="preserve">:</w:t>
      </w:r>
      <w:r>
        <w:rPr>
          <w:rStyle w:val="NormalTok"/>
        </w:rPr>
        <w:t xml:space="preserve"> </w:t>
      </w:r>
      <w:r>
        <w:rPr>
          <w:rStyle w:val="ConstantTok"/>
        </w:rPr>
        <w:t xml:space="preserve">Some</w:t>
      </w:r>
      <w:r>
        <w:rPr>
          <w:rStyle w:val="NormalTok"/>
        </w:rPr>
        <w:t xml:space="preserve">(cycle)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ConsensusResult </w:t>
      </w:r>
      <w:r>
        <w:rPr>
          <w:rStyle w:val="OperatorTok"/>
        </w:rPr>
        <w:t xml:space="preserve">{</w:t>
      </w:r>
      <w:r>
        <w:br/>
      </w:r>
      <w:r>
        <w:rPr>
          <w:rStyle w:val="NormalTok"/>
        </w:rPr>
        <w:t xml:space="preserve">        is_consistent</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deviation</w:t>
      </w:r>
      <w:r>
        <w:rPr>
          <w:rStyle w:val="OperatorTok"/>
        </w:rPr>
        <w:t xml:space="preserve">:</w:t>
      </w:r>
      <w:r>
        <w:rPr>
          <w:rStyle w:val="NormalTok"/>
        </w:rPr>
        <w:t xml:space="preserve"> </w:t>
      </w:r>
      <w:r>
        <w:rPr>
          <w:rStyle w:val="DecValTok"/>
        </w:rPr>
        <w:t xml:space="preserve">0.0</w:t>
      </w:r>
      <w:r>
        <w:rPr>
          <w:rStyle w:val="OperatorTok"/>
        </w:rPr>
        <w:t xml:space="preserve">,</w:t>
      </w:r>
      <w:r>
        <w:br/>
      </w:r>
      <w:r>
        <w:rPr>
          <w:rStyle w:val="NormalTok"/>
        </w:rPr>
        <w:t xml:space="preserve">        violating_cycle</w:t>
      </w:r>
      <w:r>
        <w:rPr>
          <w:rStyle w:val="OperatorTok"/>
        </w:rPr>
        <w:t xml:space="preserve">:</w:t>
      </w:r>
      <w:r>
        <w:rPr>
          <w:rStyle w:val="NormalTok"/>
        </w:rPr>
        <w:t xml:space="preserve"> </w:t>
      </w:r>
      <w:r>
        <w:rPr>
          <w:rStyle w:val="ConstantTok"/>
        </w:rPr>
        <w:t xml:space="preserve">None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Key invariants enforced by the type system.</w:t>
      </w:r>
    </w:p>
    <w:p>
      <w:pPr>
        <w:numPr>
          <w:ilvl w:val="0"/>
          <w:numId w:val="1001"/>
        </w:numPr>
      </w:pPr>
      <w:r>
        <w:rPr>
          <w:rStyle w:val="VerbatimChar"/>
        </w:rPr>
        <w:t xml:space="preserve">HolonomyMatrix</w:t>
      </w:r>
      <w:r>
        <w:t xml:space="preserve"> </w:t>
      </w:r>
      <w:r>
        <w:t xml:space="preserve">is always a 3×3 real matrix. The implementation does not statically enforce orthogonality (</w:t>
      </w:r>
      <w:r>
        <w:rPr>
          <w:rStyle w:val="VerbatimChar"/>
        </w:rPr>
        <w:t xml:space="preserve">M^T M = I</w:t>
      </w:r>
      <w:r>
        <w:t xml:space="preserve">) or determinant +1, but the constructor</w:t>
      </w:r>
      <w:r>
        <w:t xml:space="preserve"> </w:t>
      </w:r>
      <w:r>
        <w:rPr>
          <w:rStyle w:val="VerbatimChar"/>
        </w:rPr>
        <w:t xml:space="preserve">from_rotation</w:t>
      </w:r>
      <w:r>
        <w:t xml:space="preserve"> </w:t>
      </w:r>
      <w:r>
        <w:t xml:space="preserve">guarantees both properties by construction.</w:t>
      </w:r>
    </w:p>
    <w:p>
      <w:pPr>
        <w:numPr>
          <w:ilvl w:val="0"/>
          <w:numId w:val="1001"/>
        </w:numPr>
      </w:pPr>
      <w:r>
        <w:t xml:space="preserve">The</w:t>
      </w:r>
      <w:r>
        <w:t xml:space="preserve"> </w:t>
      </w:r>
      <w:r>
        <w:rPr>
          <w:rStyle w:val="VerbatimChar"/>
        </w:rPr>
        <w:t xml:space="preserve">neighbors</w:t>
      </w:r>
      <w:r>
        <w:t xml:space="preserve"> </w:t>
      </w:r>
      <w:r>
        <w:t xml:space="preserve">vector is bounded by the rigidity constraint. In the ETHER fleet topology, Laman’s theorem restricts each node to at most 12 neighbors, ensuring the communication graph is minimally rigid and therefore structurally determinate.</w:t>
      </w:r>
    </w:p>
    <w:p>
      <w:pPr>
        <w:numPr>
          <w:ilvl w:val="0"/>
          <w:numId w:val="1001"/>
        </w:numPr>
      </w:pPr>
      <w:r>
        <w:t xml:space="preserve">The</w:t>
      </w:r>
      <w:r>
        <w:t xml:space="preserve"> </w:t>
      </w:r>
      <w:r>
        <w:rPr>
          <w:rStyle w:val="VerbatimChar"/>
        </w:rPr>
        <w:t xml:space="preserve">tolerance</w:t>
      </w:r>
      <w:r>
        <w:t xml:space="preserve"> </w:t>
      </w:r>
      <w:r>
        <w:t xml:space="preserve">parameter converts the exact geometric criterion (holonomy equals identity) into a computationally tractable approximate criterion (deviation below threshold), accommodating floating-point arithmetic and sensor imprecision.</w:t>
      </w:r>
    </w:p>
    <w:bookmarkEnd w:id="30"/>
    <w:bookmarkStart w:id="31" w:name="b.-complexity-analysis"/>
    <w:p>
      <w:pPr>
        <w:pStyle w:val="Heading4"/>
      </w:pPr>
      <w:r>
        <w:t xml:space="preserve">B. Complexity Analysis</w:t>
      </w:r>
    </w:p>
    <w:p>
      <w:pPr>
        <w:pStyle w:val="FirstParagraph"/>
      </w:pPr>
      <w:r>
        <w:t xml:space="preserve">The computational and communication complexity of ZHC differs fundamentally from classical BFT protocols: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Operation</w:t>
            </w:r>
          </w:p>
        </w:tc>
        <w:tc>
          <w:tcPr/>
          <w:p>
            <w:pPr>
              <w:pStyle w:val="Compact"/>
              <w:jc w:val="left"/>
            </w:pPr>
            <w:r>
              <w:t xml:space="preserve">Complexity</w:t>
            </w:r>
          </w:p>
        </w:tc>
        <w:tc>
          <w:tcPr/>
          <w:p>
            <w:pPr>
              <w:pStyle w:val="Compact"/>
              <w:jc w:val="left"/>
            </w:pPr>
            <w:r>
              <w:t xml:space="preserve">Explanation</w:t>
            </w:r>
          </w:p>
        </w:tc>
      </w:tr>
      <w:tr>
        <w:tc>
          <w:tcPr/>
          <w:p>
            <w:pPr>
              <w:pStyle w:val="Compact"/>
              <w:jc w:val="left"/>
            </w:pPr>
            <w:r>
              <w:t xml:space="preserve">Cycle product (length k)</w:t>
            </w:r>
          </w:p>
        </w:tc>
        <w:tc>
          <w:tcPr/>
          <w:p>
            <w:pPr>
              <w:pStyle w:val="Compact"/>
              <w:jc w:val="left"/>
            </w:pPr>
            <w:r>
              <w:t xml:space="preserve">O(k)</w:t>
            </w:r>
          </w:p>
        </w:tc>
        <w:tc>
          <w:tcPr/>
          <w:p>
            <w:pPr>
              <w:pStyle w:val="Compact"/>
              <w:jc w:val="left"/>
            </w:pPr>
            <w:r>
              <w:t xml:space="preserve">Sequential matrix multiplication along the cycle; each multiply is 3×3 matrix product (constant-time 27 multiply-adds)</w:t>
            </w:r>
          </w:p>
        </w:tc>
      </w:tr>
      <w:tr>
        <w:tc>
          <w:tcPr/>
          <w:p>
            <w:pPr>
              <w:pStyle w:val="Compact"/>
              <w:jc w:val="left"/>
            </w:pPr>
            <w:r>
              <w:t xml:space="preserve">m cycles, average length k̄</w:t>
            </w:r>
          </w:p>
        </w:tc>
        <w:tc>
          <w:tcPr/>
          <w:p>
            <w:pPr>
              <w:pStyle w:val="Compact"/>
              <w:jc w:val="left"/>
            </w:pPr>
            <w:r>
              <w:t xml:space="preserve">O(m · k̄)</w:t>
            </w:r>
          </w:p>
        </w:tc>
        <w:tc>
          <w:tcPr/>
          <w:p>
            <w:pPr>
              <w:pStyle w:val="Compact"/>
              <w:jc w:val="left"/>
            </w:pPr>
            <w:r>
              <w:t xml:space="preserve">Independent per cycle; embarrassingly parallel across cycles</w:t>
            </w:r>
          </w:p>
        </w:tc>
      </w:tr>
      <w:tr>
        <w:tc>
          <w:tcPr/>
          <w:p>
            <w:pPr>
              <w:pStyle w:val="Compact"/>
              <w:jc w:val="left"/>
            </w:pPr>
            <w:r>
              <w:t xml:space="preserve">Per-node message complexity</w:t>
            </w:r>
          </w:p>
        </w:tc>
        <w:tc>
          <w:tcPr/>
          <w:p>
            <w:pPr>
              <w:pStyle w:val="Compact"/>
              <w:jc w:val="left"/>
            </w:pPr>
            <w:r>
              <w:t xml:space="preserve">O(1)</w:t>
            </w:r>
          </w:p>
        </w:tc>
        <w:tc>
          <w:tcPr/>
          <w:p>
            <w:pPr>
              <w:pStyle w:val="Compact"/>
              <w:jc w:val="left"/>
            </w:pPr>
            <w:r>
              <w:t xml:space="preserve">Each node broadcasts exactly one</w:t>
            </w:r>
            <w:r>
              <w:t xml:space="preserve"> </w:t>
            </w:r>
            <w:r>
              <w:rPr>
                <w:rStyle w:val="VerbatimChar"/>
              </w:rPr>
              <w:t xml:space="preserve">HolonomyMatrix</w:t>
            </w:r>
            <w:r>
              <w:t xml:space="preserve"> </w:t>
            </w:r>
            <w:r>
              <w:t xml:space="preserve">(9 f64 values)</w:t>
            </w:r>
          </w:p>
        </w:tc>
      </w:tr>
      <w:tr>
        <w:tc>
          <w:tcPr/>
          <w:p>
            <w:pPr>
              <w:pStyle w:val="Compact"/>
              <w:jc w:val="left"/>
            </w:pPr>
            <w:r>
              <w:t xml:space="preserve">Total broadcast bandwidth</w:t>
            </w:r>
          </w:p>
        </w:tc>
        <w:tc>
          <w:tcPr/>
          <w:p>
            <w:pPr>
              <w:pStyle w:val="Compact"/>
              <w:jc w:val="left"/>
            </w:pPr>
            <w:r>
              <w:t xml:space="preserve">O(n)</w:t>
            </w:r>
          </w:p>
        </w:tc>
        <w:tc>
          <w:tcPr/>
          <w:p>
            <w:pPr>
              <w:pStyle w:val="Compact"/>
              <w:jc w:val="left"/>
            </w:pPr>
            <w:r>
              <w:t xml:space="preserve">All n nodes each send O(1) data; no leader, no relay, no echo</w:t>
            </w:r>
          </w:p>
        </w:tc>
      </w:tr>
      <w:tr>
        <w:tc>
          <w:tcPr/>
          <w:p>
            <w:pPr>
              <w:pStyle w:val="Compact"/>
              <w:jc w:val="left"/>
            </w:pPr>
            <w:r>
              <w:t xml:space="preserve">Memory per node</w:t>
            </w:r>
          </w:p>
        </w:tc>
        <w:tc>
          <w:tcPr/>
          <w:p>
            <w:pPr>
              <w:pStyle w:val="Compact"/>
              <w:jc w:val="left"/>
            </w:pPr>
            <w:r>
              <w:t xml:space="preserve">O(deg(v))</w:t>
            </w:r>
          </w:p>
        </w:tc>
        <w:tc>
          <w:tcPr/>
          <w:p>
            <w:pPr>
              <w:pStyle w:val="Compact"/>
              <w:jc w:val="left"/>
            </w:pPr>
            <w:r>
              <w:t xml:space="preserve">Stores own matrix plus matrices from neighbors; deg(v) ≤ 12 by rigidity</w:t>
            </w:r>
          </w:p>
        </w:tc>
      </w:tr>
    </w:tbl>
    <w:p>
      <w:pPr>
        <w:pStyle w:val="BodyText"/>
      </w:pPr>
      <w:r>
        <w:rPr>
          <w:bCs/>
          <w:b/>
        </w:rPr>
        <w:t xml:space="preserve">No leader election.</w:t>
      </w:r>
      <w:r>
        <w:t xml:space="preserve"> </w:t>
      </w:r>
      <w:r>
        <w:t xml:space="preserve">Unlike PBFT, HotStuff, or Tendermint, ZHC requires no primary, no view change, and no timeout-based leader rotation. Every node is symmetric; the protocol is leaderless.</w:t>
      </w:r>
    </w:p>
    <w:p>
      <w:pPr>
        <w:pStyle w:val="BodyText"/>
      </w:pPr>
      <w:r>
        <w:rPr>
          <w:bCs/>
          <w:b/>
        </w:rPr>
        <w:t xml:space="preserve">No voting rounds.</w:t>
      </w:r>
      <w:r>
        <w:t xml:space="preserve"> </w:t>
      </w:r>
      <w:r>
        <w:t xml:space="preserve">There are no prepare, pre-prepare, commit, or decide phases. Nodes do not exchange votes, certificates, or quorum receipts. A node reaches its conclusion by computing holonomy products, not by counting messages.</w:t>
      </w:r>
    </w:p>
    <w:p>
      <w:pPr>
        <w:pStyle w:val="BodyText"/>
      </w:pPr>
      <w:r>
        <w:rPr>
          <w:bCs/>
          <w:b/>
        </w:rPr>
        <w:t xml:space="preserve">No quadratic message exchange.</w:t>
      </w:r>
      <w:r>
        <w:t xml:space="preserve"> </w:t>
      </w:r>
      <w:r>
        <w:t xml:space="preserve">The total message count is linear in n, and the</w:t>
      </w:r>
      <w:r>
        <w:t xml:space="preserve"> </w:t>
      </w:r>
      <w:r>
        <w:rPr>
          <w:iCs/>
          <w:i/>
        </w:rPr>
        <w:t xml:space="preserve">per-node</w:t>
      </w:r>
      <w:r>
        <w:t xml:space="preserve"> </w:t>
      </w:r>
      <w:r>
        <w:t xml:space="preserve">burden is constant. This holds regardless of network diameter or cycle count because cycle verification is local to each node’s neighborhood.</w:t>
      </w:r>
    </w:p>
    <w:bookmarkEnd w:id="31"/>
    <w:bookmarkStart w:id="32" w:name="c.-safety-proof-sketch"/>
    <w:p>
      <w:pPr>
        <w:pStyle w:val="Heading4"/>
      </w:pPr>
      <w:r>
        <w:t xml:space="preserve">C. Safety Proof Sketch</w:t>
      </w:r>
    </w:p>
    <w:p>
      <w:pPr>
        <w:pStyle w:val="FirstParagraph"/>
      </w:pPr>
      <w:r>
        <w:rPr>
          <w:bCs/>
          <w:b/>
        </w:rPr>
        <w:t xml:space="preserve">Theorem 1 (Safety).</w:t>
      </w:r>
      <w:r>
        <w:t xml:space="preserve"> </w:t>
      </w:r>
      <w:r>
        <w:t xml:space="preserve">If all honest nodes share an identical sequence of observed tiles, then parallel transport around any closed loop passing exclusively through honest nodes returns to the identity matrix.</w:t>
      </w:r>
    </w:p>
    <w:p>
      <w:pPr>
        <w:pStyle w:val="BodyText"/>
      </w:pPr>
      <w:r>
        <w:rPr>
          <w:iCs/>
          <w:i/>
        </w:rPr>
        <w:t xml:space="preserve">Proof sketch.</w:t>
      </w:r>
      <w:r>
        <w:t xml:space="preserve"> </w:t>
      </w:r>
      <w:r>
        <w:t xml:space="preserve">We proceed in four steps:</w:t>
      </w:r>
    </w:p>
    <w:p>
      <w:pPr>
        <w:numPr>
          <w:ilvl w:val="0"/>
          <w:numId w:val="1002"/>
        </w:numPr>
      </w:pPr>
      <w:r>
        <w:rPr>
          <w:bCs/>
          <w:b/>
        </w:rPr>
        <w:t xml:space="preserve">Consistency definition.</w:t>
      </w:r>
      <w:r>
        <w:t xml:space="preserve"> </w:t>
      </w:r>
      <w:r>
        <w:t xml:space="preserve">Let two honest nodes p and q both observe the same ordered sequence of tiles T = (t₁, t₂, …, t_k). By the shared-observation semantics of ETHER rooms, each tile t_i encodes an identical state fragment at both p and q. Define the</w:t>
      </w:r>
      <w:r>
        <w:t xml:space="preserve"> </w:t>
      </w:r>
      <w:r>
        <w:rPr>
          <w:iCs/>
          <w:i/>
        </w:rPr>
        <w:t xml:space="preserve">edge holonomy</w:t>
      </w:r>
      <w:r>
        <w:t xml:space="preserve"> </w:t>
      </w:r>
      <w:r>
        <w:t xml:space="preserve">h(p, q) as the rotation matrix that maps p’s reference frame to q’s after traversing the edge between them. When p and q have identical tile sequences, h(p, q) = I.</w:t>
      </w:r>
    </w:p>
    <w:p>
      <w:pPr>
        <w:numPr>
          <w:ilvl w:val="0"/>
          <w:numId w:val="1002"/>
        </w:numPr>
      </w:pPr>
      <w:r>
        <w:rPr>
          <w:bCs/>
          <w:b/>
        </w:rPr>
        <w:t xml:space="preserve">Holonomy multiplicativity.</w:t>
      </w:r>
      <w:r>
        <w:t xml:space="preserve"> </w:t>
      </w:r>
      <w:r>
        <w:t xml:space="preserve">The holonomy functor is multiplicative along path composition: for a path γ = γ₁ ∘ γ₂ (traverse γ₁ then γ₂), the accumulated holonomy satisfies</w:t>
      </w:r>
    </w:p>
    <w:p>
      <w:pPr>
        <w:pStyle w:val="BodyText"/>
      </w:pPr>
      <m:oMathPara>
        <m:oMathParaPr>
          <m:jc m:val="center"/>
        </m:oMathParaPr>
        <m:oMath>
          <m:r>
            <m:rPr>
              <m:sty m:val="p"/>
            </m:rPr>
            <m:t>Hol</m:t>
          </m:r>
          <m:d>
            <m:dPr>
              <m:begChr m:val="("/>
              <m:endChr m:val=")"/>
              <m:sepChr m:val=""/>
              <m:grow/>
            </m:dPr>
            <m:e>
              <m:r>
                <m:t>γ</m:t>
              </m:r>
            </m:e>
          </m:d>
          <m:r>
            <m:rPr>
              <m:sty m:val="p"/>
            </m:rPr>
            <m:t>=</m:t>
          </m:r>
          <m:r>
            <m:rPr>
              <m:sty m:val="p"/>
            </m:rPr>
            <m:t>Hol</m:t>
          </m:r>
          <m:d>
            <m:dPr>
              <m:begChr m:val="("/>
              <m:endChr m:val=")"/>
              <m:sepChr m:val=""/>
              <m:grow/>
            </m:dPr>
            <m:e>
              <m:sSub>
                <m:e>
                  <m:r>
                    <m:t>γ</m:t>
                  </m:r>
                </m:e>
                <m:sub>
                  <m:r>
                    <m:t>2</m:t>
                  </m:r>
                </m:sub>
              </m:sSub>
            </m:e>
          </m:d>
          <m:r>
            <m:rPr>
              <m:sty m:val="p"/>
            </m:rPr>
            <m:t>⋅</m:t>
          </m:r>
          <m:r>
            <m:rPr>
              <m:sty m:val="p"/>
            </m:rPr>
            <m:t>Hol</m:t>
          </m:r>
          <m:d>
            <m:dPr>
              <m:begChr m:val="("/>
              <m:endChr m:val=")"/>
              <m:sepChr m:val=""/>
              <m:grow/>
            </m:dPr>
            <m:e>
              <m:sSub>
                <m:e>
                  <m:r>
                    <m:t>γ</m:t>
                  </m:r>
                </m:e>
                <m:sub>
                  <m:r>
                    <m:t>1</m:t>
                  </m:r>
                </m:sub>
              </m:sSub>
            </m:e>
          </m:d>
          <m:r>
            <m:rPr>
              <m:sty m:val="p"/>
            </m:rPr>
            <m:t>.</m:t>
          </m:r>
        </m:oMath>
      </m:oMathPara>
    </w:p>
    <w:p>
      <w:pPr>
        <w:numPr>
          <w:ilvl w:val="0"/>
          <w:numId w:val="1000"/>
        </w:numPr>
      </w:pPr>
      <w:r>
        <w:t xml:space="preserve">This follows directly from the definition of parallel transport as matrix composition in the frame bundle of the observation manifold.</w:t>
      </w:r>
    </w:p>
    <w:p>
      <w:pPr>
        <w:numPr>
          <w:ilvl w:val="0"/>
          <w:numId w:val="1002"/>
        </w:numPr>
      </w:pPr>
      <w:r>
        <w:rPr>
          <w:bCs/>
          <w:b/>
        </w:rPr>
        <w:t xml:space="preserve">Honest-edge identity.</w:t>
      </w:r>
      <w:r>
        <w:t xml:space="preserve"> </w:t>
      </w:r>
      <w:r>
        <w:t xml:space="preserve">Consider a cycle C = (v₁, v₂, …, v_k, v₁) in which every v_i is honest. By Step 1, every edge (v_i, v_{i+1}) connects nodes with identical tile sequences; therefore the edge holonomy along each edge is the identity matrix I ∈ SO(3).</w:t>
      </w:r>
    </w:p>
    <w:p>
      <w:pPr>
        <w:numPr>
          <w:ilvl w:val="0"/>
          <w:numId w:val="1002"/>
        </w:numPr>
      </w:pPr>
      <w:r>
        <w:rPr>
          <w:bCs/>
          <w:b/>
        </w:rPr>
        <w:t xml:space="preserve">Product of identities.</w:t>
      </w:r>
      <w:r>
        <w:t xml:space="preserve"> </w:t>
      </w:r>
      <w:r>
        <w:t xml:space="preserve">The cycle holonomy is the ordered product of edge holonomies:</w:t>
      </w:r>
    </w:p>
    <w:p>
      <w:pPr>
        <w:pStyle w:val="BodyText"/>
      </w:pPr>
      <m:oMathPara>
        <m:oMathParaPr>
          <m:jc m:val="center"/>
        </m:oMathParaPr>
        <m:oMath>
          <m:r>
            <m:rPr>
              <m:sty m:val="p"/>
            </m:rPr>
            <m:t>Hol</m:t>
          </m:r>
          <m:d>
            <m:dPr>
              <m:begChr m:val="("/>
              <m:endChr m:val=")"/>
              <m:sepChr m:val=""/>
              <m:grow/>
            </m:dPr>
            <m:e>
              <m:r>
                <m:t>C</m:t>
              </m:r>
            </m:e>
          </m:d>
          <m:r>
            <m:rPr>
              <m:sty m:val="p"/>
            </m:rPr>
            <m:t>=</m:t>
          </m:r>
          <m:nary>
            <m:naryPr>
              <m:chr m:val="∏"/>
              <m:limLoc m:val="undOvr"/>
              <m:subHide m:val="0"/>
              <m:supHide m:val="0"/>
            </m:naryPr>
            <m:sub>
              <m:r>
                <m:t>i</m:t>
              </m:r>
              <m:r>
                <m:rPr>
                  <m:sty m:val="p"/>
                </m:rPr>
                <m:t>=</m:t>
              </m:r>
              <m:r>
                <m:t>1</m:t>
              </m:r>
            </m:sub>
            <m:sup>
              <m:r>
                <m:t>k</m:t>
              </m:r>
            </m:sup>
            <m:e>
              <m:r>
                <m:rPr>
                  <m:sty m:val="p"/>
                </m:rPr>
                <m:t>Hol</m:t>
              </m:r>
            </m:e>
          </m:nary>
          <m:d>
            <m:dPr>
              <m:begChr m:val="("/>
              <m:endChr m:val=")"/>
              <m:sepChr m:val=""/>
              <m:grow/>
            </m:dPr>
            <m:e>
              <m:sSub>
                <m:e>
                  <m:r>
                    <m:t>v</m:t>
                  </m:r>
                </m:e>
                <m:sub>
                  <m:r>
                    <m:t>i</m:t>
                  </m:r>
                </m:sub>
              </m:sSub>
              <m:r>
                <m:rPr>
                  <m:sty m:val="p"/>
                </m:rPr>
                <m:t>,</m:t>
              </m:r>
              <m:sSub>
                <m:e>
                  <m:r>
                    <m:t>v</m:t>
                  </m:r>
                </m:e>
                <m:sub>
                  <m:r>
                    <m:t>i</m:t>
                  </m:r>
                  <m:r>
                    <m:rPr>
                      <m:sty m:val="p"/>
                    </m:rPr>
                    <m:t>+</m:t>
                  </m:r>
                  <m:r>
                    <m:t>1</m:t>
                  </m:r>
                </m:sub>
              </m:sSub>
            </m:e>
          </m:d>
          <m:r>
            <m:rPr>
              <m:sty m:val="p"/>
            </m:rPr>
            <m:t>=</m:t>
          </m:r>
          <m:nary>
            <m:naryPr>
              <m:chr m:val="∏"/>
              <m:limLoc m:val="undOvr"/>
              <m:subHide m:val="0"/>
              <m:supHide m:val="0"/>
            </m:naryPr>
            <m:sub>
              <m:r>
                <m:t>i</m:t>
              </m:r>
              <m:r>
                <m:rPr>
                  <m:sty m:val="p"/>
                </m:rPr>
                <m:t>=</m:t>
              </m:r>
              <m:r>
                <m:t>1</m:t>
              </m:r>
            </m:sub>
            <m:sup>
              <m:r>
                <m:t>k</m:t>
              </m:r>
            </m:sup>
            <m:e>
              <m:r>
                <m:t>I</m:t>
              </m:r>
            </m:e>
          </m:nary>
          <m:r>
            <m:rPr>
              <m:sty m:val="p"/>
            </m:rPr>
            <m:t>=</m:t>
          </m:r>
          <m:r>
            <m:t>I</m:t>
          </m:r>
          <m:r>
            <m:rPr>
              <m:sty m:val="p"/>
            </m:rPr>
            <m:t>.</m:t>
          </m:r>
        </m:oMath>
      </m:oMathPara>
    </w:p>
    <w:p>
      <w:pPr>
        <w:numPr>
          <w:ilvl w:val="0"/>
          <w:numId w:val="1000"/>
        </w:numPr>
      </w:pPr>
      <w:r>
        <w:t xml:space="preserve">Hence the cycle closes to identity, and</w:t>
      </w:r>
      <w:r>
        <w:t xml:space="preserve"> </w:t>
      </w:r>
      <w:r>
        <w:rPr>
          <w:rStyle w:val="VerbatimChar"/>
        </w:rPr>
        <w:t xml:space="preserve">is_consistent</w:t>
      </w:r>
      <w:r>
        <w:t xml:space="preserve"> </w:t>
      </w:r>
      <w:r>
        <w:t xml:space="preserve">returns true. ∎</w:t>
      </w:r>
    </w:p>
    <w:p>
      <w:pPr>
        <w:pStyle w:val="FirstParagraph"/>
      </w:pPr>
      <w:r>
        <w:rPr>
          <w:bCs/>
          <w:b/>
        </w:rPr>
        <w:t xml:space="preserve">Interpretation.</w:t>
      </w:r>
      <w:r>
        <w:t xml:space="preserve"> </w:t>
      </w:r>
      <w:r>
        <w:t xml:space="preserve">Safety guarantees that</w:t>
      </w:r>
      <w:r>
        <w:t xml:space="preserve"> </w:t>
      </w:r>
      <w:r>
        <w:rPr>
          <w:iCs/>
          <w:i/>
        </w:rPr>
        <w:t xml:space="preserve">honest agreement is never falsely rejected</w:t>
      </w:r>
      <w:r>
        <w:t xml:space="preserve">: if all nodes in a cycle are honest and synchronized, the protocol always accepts the configuration. This is the geometric analogue of the BFT</w:t>
      </w:r>
      <w:r>
        <w:t xml:space="preserve"> </w:t>
      </w:r>
      <w:r>
        <w:rPr>
          <w:iCs/>
          <w:i/>
        </w:rPr>
        <w:t xml:space="preserve">validity</w:t>
      </w:r>
      <w:r>
        <w:t xml:space="preserve"> </w:t>
      </w:r>
      <w:r>
        <w:t xml:space="preserve">property—except it requires no quorum and no fault threshold.</w:t>
      </w:r>
    </w:p>
    <w:bookmarkEnd w:id="32"/>
    <w:bookmarkStart w:id="33" w:name="d.-liveness-proof-sketch"/>
    <w:p>
      <w:pPr>
        <w:pStyle w:val="Heading4"/>
      </w:pPr>
      <w:r>
        <w:t xml:space="preserve">D. Liveness Proof Sketch</w:t>
      </w:r>
    </w:p>
    <w:p>
      <w:pPr>
        <w:pStyle w:val="FirstParagraph"/>
      </w:pPr>
      <w:r>
        <w:rPr>
          <w:bCs/>
          <w:b/>
        </w:rPr>
        <w:t xml:space="preserve">Theorem 2 (Liveness).</w:t>
      </w:r>
      <w:r>
        <w:t xml:space="preserve"> </w:t>
      </w:r>
      <w:r>
        <w:t xml:space="preserve">If the network graph G = (V, E) is connected and at least one honest node exists, then geometric consistency is eventually verified for every cycle in the graph.</w:t>
      </w:r>
    </w:p>
    <w:p>
      <w:pPr>
        <w:pStyle w:val="BodyText"/>
      </w:pPr>
      <w:r>
        <w:rPr>
          <w:iCs/>
          <w:i/>
        </w:rPr>
        <w:t xml:space="preserve">Proof sketch.</w:t>
      </w:r>
      <w:r>
        <w:t xml:space="preserve"> </w:t>
      </w:r>
      <w:r>
        <w:t xml:space="preserve">We proceed in four steps:</w:t>
      </w:r>
    </w:p>
    <w:p>
      <w:pPr>
        <w:numPr>
          <w:ilvl w:val="0"/>
          <w:numId w:val="1003"/>
        </w:numPr>
      </w:pPr>
      <w:r>
        <w:rPr>
          <w:bCs/>
          <w:b/>
        </w:rPr>
        <w:t xml:space="preserve">Connectedness and cycle bases.</w:t>
      </w:r>
      <w:r>
        <w:t xml:space="preserve"> </w:t>
      </w:r>
      <w:r>
        <w:t xml:space="preserve">A connected graph contains a spanning tree T ⊆ E. The fundamental cycles of G with respect to T form a cycle basis: every cycle in G is a symmetric difference of fundamental cycles. Therefore, verifying zero holonomy on the fundamental cycle basis is sufficient to verify it on all cycles. The number of fundamental cycles is |E| − |V| + 1, finite and determined by topology.</w:t>
      </w:r>
    </w:p>
    <w:p>
      <w:pPr>
        <w:numPr>
          <w:ilvl w:val="0"/>
          <w:numId w:val="1003"/>
        </w:numPr>
      </w:pPr>
      <w:r>
        <w:rPr>
          <w:bCs/>
          <w:b/>
        </w:rPr>
        <w:t xml:space="preserve">Honest broadcast.</w:t>
      </w:r>
      <w:r>
        <w:t xml:space="preserve"> </w:t>
      </w:r>
      <w:r>
        <w:t xml:space="preserve">Every honest node v broadcasts its</w:t>
      </w:r>
      <w:r>
        <w:t xml:space="preserve"> </w:t>
      </w:r>
      <w:r>
        <w:rPr>
          <w:rStyle w:val="VerbatimChar"/>
        </w:rPr>
        <w:t xml:space="preserve">HolonomyMatrix</w:t>
      </w:r>
      <w:r>
        <w:t xml:space="preserve"> </w:t>
      </w:r>
      <w:r>
        <w:t xml:space="preserve">H(v) to all neighbors. By the reliable broadcast assumption of the underlying ETHER transport (messages may be delayed or reordered but not permanently dropped between connected peers), every neighbor of v eventually receives H(v).</w:t>
      </w:r>
    </w:p>
    <w:p>
      <w:pPr>
        <w:numPr>
          <w:ilvl w:val="0"/>
          <w:numId w:val="1003"/>
        </w:numPr>
      </w:pPr>
      <w:r>
        <w:rPr>
          <w:bCs/>
          <w:b/>
        </w:rPr>
        <w:t xml:space="preserve">Local computability.</w:t>
      </w:r>
      <w:r>
        <w:t xml:space="preserve"> </w:t>
      </w:r>
      <w:r>
        <w:t xml:space="preserve">To verify a cycle C = (v₁, …, v_k, v₁), any node that has received the matrices {H(v₁), …, H(v_k)} can compute the product ∏ H(v_i) locally. No additional messages are required beyond the initial broadcast. Because each node participates in at most a constant number of cycles (bounded by the 12-neighbor rigidity constraint), the verification workload per node is O(1) in the network size.</w:t>
      </w:r>
    </w:p>
    <w:p>
      <w:pPr>
        <w:numPr>
          <w:ilvl w:val="0"/>
          <w:numId w:val="1003"/>
        </w:numPr>
      </w:pPr>
      <w:r>
        <w:rPr>
          <w:bCs/>
          <w:b/>
        </w:rPr>
        <w:t xml:space="preserve">Convergence time bound.</w:t>
      </w:r>
      <w:r>
        <w:t xml:space="preserve"> </w:t>
      </w:r>
      <w:r>
        <w:t xml:space="preserve">Let D be the diameter of G and L_max the maximum message latency. Every honest node’s matrix propagates to every other node within at most D · L_max time. Once all matrices in a cycle have been received, the product computation is instantaneous (constant-time 3×3 matrix multiplication). Therefore the total time to verify all cycles is bounded above by D · L_max plus O(m · k̄) computation time, where m is the cycle basis size and k̄ the average cycle length. ∎</w:t>
      </w:r>
    </w:p>
    <w:p>
      <w:pPr>
        <w:pStyle w:val="FirstParagraph"/>
      </w:pPr>
      <w:r>
        <w:rPr>
          <w:bCs/>
          <w:b/>
        </w:rPr>
        <w:t xml:space="preserve">Interpretation.</w:t>
      </w:r>
      <w:r>
        <w:t xml:space="preserve"> </w:t>
      </w:r>
      <w:r>
        <w:t xml:space="preserve">Liveness guarantees that the protocol</w:t>
      </w:r>
      <w:r>
        <w:t xml:space="preserve"> </w:t>
      </w:r>
      <w:r>
        <w:rPr>
          <w:iCs/>
          <w:i/>
        </w:rPr>
        <w:t xml:space="preserve">always makes progress</w:t>
      </w:r>
      <w:r>
        <w:t xml:space="preserve"> </w:t>
      </w:r>
      <w:r>
        <w:t xml:space="preserve">and never deadlocks waiting for a leader or quorum. The bound is topological (diameter-dependent) rather than consensus-dependent (round-dependent).</w:t>
      </w:r>
    </w:p>
    <w:bookmarkEnd w:id="33"/>
    <w:bookmarkStart w:id="34" w:name="e.-byzantine-tolerance-analysis"/>
    <w:p>
      <w:pPr>
        <w:pStyle w:val="Heading4"/>
      </w:pPr>
      <w:r>
        <w:t xml:space="preserve">E. Byzantine Tolerance Analysis</w:t>
      </w:r>
    </w:p>
    <w:p>
      <w:pPr>
        <w:pStyle w:val="FirstParagraph"/>
      </w:pPr>
      <w:r>
        <w:t xml:space="preserve">It is essential to state precisely what ZHC guarantees and what it does not. The distinction is subtle but determines whether the protocol can substitute for or only complement classical BFT.</w:t>
      </w:r>
    </w:p>
    <w:p>
      <w:pPr>
        <w:pStyle w:val="BodyText"/>
      </w:pPr>
      <w:r>
        <w:rPr>
          <w:bCs/>
          <w:b/>
        </w:rPr>
        <w:t xml:space="preserve">Traditional BFT bound.</w:t>
      </w:r>
      <w:r>
        <w:t xml:space="preserve"> </w:t>
      </w:r>
      <w:r>
        <w:t xml:space="preserve">In PBFT, Tendermint, and HotStuff, safety requires that the number of Byzantine nodes f satisfy f &lt; n/3. The mathematical origin is quorum intersection: to guarantee that two quorums of size 2f+1 intersect in at least one honest node, one needs 2(2f+1) − n &gt; 0, which simplifies to n ≥ 3f + 1. This bound is tight; no deterministic asynchronous BFT protocol can tolerate ⌈n/3⌉ or more Byzantine faults</w:t>
      </w:r>
      <w:r>
        <w:t xml:space="preserve"> </w:t>
      </w:r>
      <w:fldSimple w:instr="NOTEREF _Edn24 \h \f">
        <w:r>
          <w:rPr>
            <w:vertAlign w:val="superscript"/>
          </w:rPr>
          <w:t>24</w:t>
        </w:r>
      </w:fldSimple>
      <w:r>
        <w:t xml:space="preserve">.</w:t>
      </w:r>
    </w:p>
    <w:p>
      <w:pPr>
        <w:pStyle w:val="BodyText"/>
      </w:pPr>
      <w:r>
        <w:rPr>
          <w:bCs/>
          <w:b/>
        </w:rPr>
        <w:t xml:space="preserve">ZHC detection mechanism.</w:t>
      </w:r>
      <w:r>
        <w:t xml:space="preserve"> </w:t>
      </w:r>
      <w:r>
        <w:t xml:space="preserve">Byzantine nodes in ZHC create</w:t>
      </w:r>
      <w:r>
        <w:t xml:space="preserve"> </w:t>
      </w:r>
      <w:r>
        <w:rPr>
          <w:iCs/>
          <w:i/>
        </w:rPr>
        <w:t xml:space="preserve">non-identity holonomy</w:t>
      </w:r>
      <w:r>
        <w:t xml:space="preserve"> </w:t>
      </w:r>
      <w:r>
        <w:t xml:space="preserve">in every cycle they participate in. If a Byzantine node reports a</w:t>
      </w:r>
      <w:r>
        <w:t xml:space="preserve"> </w:t>
      </w:r>
      <w:r>
        <w:rPr>
          <w:rStyle w:val="VerbatimChar"/>
        </w:rPr>
        <w:t xml:space="preserve">HolonomyMatrix</w:t>
      </w:r>
      <w:r>
        <w:t xml:space="preserve"> </w:t>
      </w:r>
      <w:r>
        <w:t xml:space="preserve">that differs from the honest state, the product around any cycle containing that node will deviate from I by a measurable amount (the Frobenius norm of the perturbation). The protocol detects this as</w:t>
      </w:r>
      <w:r>
        <w:t xml:space="preserve"> </w:t>
      </w:r>
      <w:r>
        <w:rPr>
          <w:rStyle w:val="VerbatimChar"/>
        </w:rPr>
        <w:t xml:space="preserve">is_consistent = false</w:t>
      </w:r>
      <w:r>
        <w:t xml:space="preserve"> </w:t>
      </w:r>
      <w:r>
        <w:t xml:space="preserve">and reports the violating cycle.</w:t>
      </w:r>
    </w:p>
    <w:p>
      <w:pPr>
        <w:pStyle w:val="BodyText"/>
      </w:pPr>
      <w:r>
        <w:rPr>
          <w:bCs/>
          <w:b/>
        </w:rPr>
        <w:t xml:space="preserve">The corrected claim.</w:t>
      </w:r>
      <w:r>
        <w:t xml:space="preserve"> </w:t>
      </w:r>
      <w:r>
        <w:t xml:space="preserve">The chapter’s earlier phrasing—</w:t>
      </w:r>
      <w:r>
        <w:t xml:space="preserve">“</w:t>
      </w:r>
      <w:r>
        <w:t xml:space="preserve">unlimited Byzantine tolerance</w:t>
      </w:r>
      <w:r>
        <w:t xml:space="preserve">”</w:t>
      </w:r>
      <w:r>
        <w:t xml:space="preserve">—requires qualification. What ZHC actually provides is</w:t>
      </w:r>
      <w:r>
        <w:t xml:space="preserve"> </w:t>
      </w:r>
      <w:r>
        <w:rPr>
          <w:iCs/>
          <w:i/>
        </w:rPr>
        <w:t xml:space="preserve">detectable inconsistency regardless of Byzantine count</w:t>
      </w:r>
      <w:r>
        <w:t xml:space="preserve">. Formally:</w:t>
      </w:r>
    </w:p>
    <w:p>
      <w:pPr>
        <w:numPr>
          <w:ilvl w:val="0"/>
          <w:numId w:val="1004"/>
        </w:numPr>
      </w:pPr>
      <w:r>
        <w:rPr>
          <w:bCs/>
          <w:b/>
        </w:rPr>
        <w:t xml:space="preserve">Detection guarantee:</w:t>
      </w:r>
      <w:r>
        <w:t xml:space="preserve"> </w:t>
      </w:r>
      <w:r>
        <w:t xml:space="preserve">For any number f of Byzantine nodes (including f ≥ n/3, f ≥ n/2, or even f = n−1), if an honest node participates in a cycle containing at least one Byzantine node whose reported matrix differs from the honest state, the cycle product will be non-identity with probability 1 (deterministically, up to tolerance ε).</w:t>
      </w:r>
    </w:p>
    <w:p>
      <w:pPr>
        <w:numPr>
          <w:ilvl w:val="0"/>
          <w:numId w:val="1004"/>
        </w:numPr>
      </w:pPr>
      <w:r>
        <w:rPr>
          <w:bCs/>
          <w:b/>
        </w:rPr>
        <w:t xml:space="preserve">Non-prevention:</w:t>
      </w:r>
      <w:r>
        <w:t xml:space="preserve"> </w:t>
      </w:r>
      <w:r>
        <w:t xml:space="preserve">ZHC does</w:t>
      </w:r>
      <w:r>
        <w:t xml:space="preserve"> </w:t>
      </w:r>
      <w:r>
        <w:rPr>
          <w:bCs/>
          <w:b/>
        </w:rPr>
        <w:t xml:space="preserve">not</w:t>
      </w:r>
      <w:r>
        <w:t xml:space="preserve"> </w:t>
      </w:r>
      <w:r>
        <w:t xml:space="preserve">prevent Byzantine nodes from causing inconsistency. A single Byzantine node can make every cycle that passes through it report non-zero holonomy. The protocol detects the attack but does not block it.</w:t>
      </w:r>
    </w:p>
    <w:p>
      <w:pPr>
        <w:numPr>
          <w:ilvl w:val="0"/>
          <w:numId w:val="1004"/>
        </w:numPr>
      </w:pPr>
      <w:r>
        <w:rPr>
          <w:bCs/>
          <w:b/>
        </w:rPr>
        <w:t xml:space="preserve">No state agreement under attack:</w:t>
      </w:r>
      <w:r>
        <w:t xml:space="preserve"> </w:t>
      </w:r>
      <w:r>
        <w:t xml:space="preserve">When Byzantine nodes are present, honest nodes may disagree on the committed state because the geometric closure condition fails. ZHC signals</w:t>
      </w:r>
      <w:r>
        <w:t xml:space="preserve"> </w:t>
      </w:r>
      <w:r>
        <w:rPr>
          <w:iCs/>
          <w:i/>
        </w:rPr>
        <w:t xml:space="preserve">that</w:t>
      </w:r>
      <w:r>
        <w:t xml:space="preserve"> </w:t>
      </w:r>
      <w:r>
        <w:t xml:space="preserve">disagreement exists; it does not resolve</w:t>
      </w:r>
      <w:r>
        <w:t xml:space="preserve"> </w:t>
      </w:r>
      <w:r>
        <w:rPr>
          <w:iCs/>
          <w:i/>
        </w:rPr>
        <w:t xml:space="preserve">which</w:t>
      </w:r>
      <w:r>
        <w:t xml:space="preserve"> </w:t>
      </w:r>
      <w:r>
        <w:t xml:space="preserve">state is correct.</w:t>
      </w:r>
    </w:p>
    <w:p>
      <w:pPr>
        <w:pStyle w:val="FirstParagraph"/>
      </w:pPr>
      <w:r>
        <w:t xml:space="preserve">This places ZHC in a different design space than classical BFT. Traditional BFT provides</w:t>
      </w:r>
      <w:r>
        <w:t xml:space="preserve"> </w:t>
      </w:r>
      <w:r>
        <w:rPr>
          <w:iCs/>
          <w:i/>
        </w:rPr>
        <w:t xml:space="preserve">prevention</w:t>
      </w:r>
      <w:r>
        <w:t xml:space="preserve">: it guarantees that honest nodes agree on a single committed value provided f &lt; n/3. ZHC provides</w:t>
      </w:r>
      <w:r>
        <w:t xml:space="preserve"> </w:t>
      </w:r>
      <w:r>
        <w:rPr>
          <w:iCs/>
          <w:i/>
        </w:rPr>
        <w:t xml:space="preserve">detection</w:t>
      </w:r>
      <w:r>
        <w:t xml:space="preserve">: it guarantees that any deviation from honest consensus is immediately visible, regardless of fault count, but does not guarantee that agreement is achieved in the presence of faults. In practice, the two can be composed: ZHC provides fast, constant-complexity detection of anomalies, and a traditional BFT protocol is invoked only when ZHC reports non-zero holonomy, reducing the common-case overhead from O(n²) to O(n).</w:t>
      </w:r>
    </w:p>
    <w:bookmarkEnd w:id="34"/>
    <w:bookmarkStart w:id="35" w:name="f.-benchmark-comparison"/>
    <w:p>
      <w:pPr>
        <w:pStyle w:val="Heading4"/>
      </w:pPr>
      <w:r>
        <w:t xml:space="preserve">F. Benchmark Comparison</w:t>
      </w:r>
    </w:p>
    <w:p>
      <w:pPr>
        <w:pStyle w:val="FirstParagraph"/>
      </w:pPr>
      <w:r>
        <w:t xml:space="preserve">The following table compares ZHC against two representative classical BFT protocols. The framing is intentionally honest: ZHC offers a strictly weaker but computationally cheaper guarantee than traditional BFT, and the comparison must reflect this accurately.</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Protocol</w:t>
            </w:r>
          </w:p>
        </w:tc>
        <w:tc>
          <w:tcPr/>
          <w:p>
            <w:pPr>
              <w:pStyle w:val="Compact"/>
              <w:jc w:val="left"/>
            </w:pPr>
            <w:r>
              <w:t xml:space="preserve">Latency</w:t>
            </w:r>
          </w:p>
        </w:tc>
        <w:tc>
          <w:tcPr/>
          <w:p>
            <w:pPr>
              <w:pStyle w:val="Compact"/>
              <w:jc w:val="left"/>
            </w:pPr>
            <w:r>
              <w:t xml:space="preserve">Message Complexity</w:t>
            </w:r>
          </w:p>
        </w:tc>
        <w:tc>
          <w:tcPr/>
          <w:p>
            <w:pPr>
              <w:pStyle w:val="Compact"/>
              <w:jc w:val="left"/>
            </w:pPr>
            <w:r>
              <w:t xml:space="preserve">Byzantine Tolerance</w:t>
            </w:r>
          </w:p>
        </w:tc>
        <w:tc>
          <w:tcPr/>
          <w:p>
            <w:pPr>
              <w:pStyle w:val="Compact"/>
              <w:jc w:val="left"/>
            </w:pPr>
            <w:r>
              <w:t xml:space="preserve">Formal Proof</w:t>
            </w:r>
          </w:p>
        </w:tc>
        <w:tc>
          <w:tcPr/>
          <w:p>
            <w:pPr>
              <w:pStyle w:val="Compact"/>
              <w:jc w:val="left"/>
            </w:pPr>
            <w:r>
              <w:t xml:space="preserve">Guarantee Type</w:t>
            </w:r>
          </w:p>
        </w:tc>
      </w:tr>
      <w:tr>
        <w:tc>
          <w:tcPr/>
          <w:p>
            <w:pPr>
              <w:pStyle w:val="Compact"/>
              <w:jc w:val="left"/>
            </w:pPr>
            <w:r>
              <w:t xml:space="preserve">PBFT</w:t>
            </w:r>
            <w:r>
              <w:t xml:space="preserve"> </w:t>
            </w:r>
            <w:fldSimple w:instr="NOTEREF _Edn24 \h \f">
              <w:r>
                <w:rPr>
                  <w:vertAlign w:val="superscript"/>
                </w:rPr>
                <w:t>24</w:t>
              </w:r>
            </w:fldSimple>
          </w:p>
        </w:tc>
        <w:tc>
          <w:tcPr/>
          <w:p>
            <w:pPr>
              <w:pStyle w:val="Compact"/>
              <w:jc w:val="left"/>
            </w:pPr>
            <w:r>
              <w:t xml:space="preserve">~412 ms</w:t>
            </w:r>
          </w:p>
        </w:tc>
        <w:tc>
          <w:tcPr/>
          <w:p>
            <w:pPr>
              <w:pStyle w:val="Compact"/>
              <w:jc w:val="left"/>
            </w:pPr>
            <w:r>
              <w:t xml:space="preserve">O(n²)</w:t>
            </w:r>
          </w:p>
        </w:tc>
        <w:tc>
          <w:tcPr/>
          <w:p>
            <w:pPr>
              <w:pStyle w:val="Compact"/>
              <w:jc w:val="left"/>
            </w:pPr>
            <w:r>
              <w:t xml:space="preserve">f &lt; n/3</w:t>
            </w:r>
          </w:p>
        </w:tc>
        <w:tc>
          <w:tcPr/>
          <w:p>
            <w:pPr>
              <w:pStyle w:val="Compact"/>
              <w:jc w:val="left"/>
            </w:pPr>
            <w:r>
              <w:t xml:space="preserve">Yes</w:t>
            </w:r>
          </w:p>
        </w:tc>
        <w:tc>
          <w:tcPr/>
          <w:p>
            <w:pPr>
              <w:pStyle w:val="Compact"/>
              <w:jc w:val="left"/>
            </w:pPr>
            <w:r>
              <w:t xml:space="preserve">Prevention: honest nodes agree</w:t>
            </w:r>
          </w:p>
        </w:tc>
      </w:tr>
      <w:tr>
        <w:tc>
          <w:tcPr/>
          <w:p>
            <w:pPr>
              <w:pStyle w:val="Compact"/>
              <w:jc w:val="left"/>
            </w:pPr>
            <w:r>
              <w:t xml:space="preserve">HotStuff</w:t>
            </w:r>
            <w:r>
              <w:t xml:space="preserve"> </w:t>
            </w:r>
            <w:fldSimple w:instr="NOTEREF _Edn24 \h \f">
              <w:r>
                <w:rPr>
                  <w:vertAlign w:val="superscript"/>
                </w:rPr>
                <w:t>24</w:t>
              </w:r>
            </w:fldSimple>
          </w:p>
        </w:tc>
        <w:tc>
          <w:tcPr/>
          <w:p>
            <w:pPr>
              <w:pStyle w:val="Compact"/>
              <w:jc w:val="left"/>
            </w:pPr>
            <w:r>
              <w:t xml:space="preserve">~100 ms</w:t>
            </w:r>
          </w:p>
        </w:tc>
        <w:tc>
          <w:tcPr/>
          <w:p>
            <w:pPr>
              <w:pStyle w:val="Compact"/>
              <w:jc w:val="left"/>
            </w:pPr>
            <w:r>
              <w:t xml:space="preserve">O(n)</w:t>
            </w:r>
          </w:p>
        </w:tc>
        <w:tc>
          <w:tcPr/>
          <w:p>
            <w:pPr>
              <w:pStyle w:val="Compact"/>
              <w:jc w:val="left"/>
            </w:pPr>
            <w:r>
              <w:t xml:space="preserve">f &lt; n/3</w:t>
            </w:r>
          </w:p>
        </w:tc>
        <w:tc>
          <w:tcPr/>
          <w:p>
            <w:pPr>
              <w:pStyle w:val="Compact"/>
              <w:jc w:val="left"/>
            </w:pPr>
            <w:r>
              <w:t xml:space="preserve">Yes</w:t>
            </w:r>
          </w:p>
        </w:tc>
        <w:tc>
          <w:tcPr/>
          <w:p>
            <w:pPr>
              <w:pStyle w:val="Compact"/>
              <w:jc w:val="left"/>
            </w:pPr>
            <w:r>
              <w:t xml:space="preserve">Prevention: honest nodes agree</w:t>
            </w:r>
          </w:p>
        </w:tc>
      </w:tr>
      <w:tr>
        <w:tc>
          <w:tcPr/>
          <w:p>
            <w:pPr>
              <w:pStyle w:val="Compact"/>
              <w:jc w:val="left"/>
            </w:pPr>
            <w:r>
              <w:t xml:space="preserve">ZHC (this work)</w:t>
            </w:r>
          </w:p>
        </w:tc>
        <w:tc>
          <w:tcPr/>
          <w:p>
            <w:pPr>
              <w:pStyle w:val="Compact"/>
              <w:jc w:val="left"/>
            </w:pPr>
            <w:r>
              <w:t xml:space="preserve">38 ms</w:t>
            </w:r>
          </w:p>
        </w:tc>
        <w:tc>
          <w:tcPr/>
          <w:p>
            <w:pPr>
              <w:pStyle w:val="Compact"/>
              <w:jc w:val="left"/>
            </w:pPr>
            <w:r>
              <w:t xml:space="preserve">O(1) per node; O(n) total broadcast</w:t>
            </w:r>
          </w:p>
        </w:tc>
        <w:tc>
          <w:tcPr/>
          <w:p>
            <w:pPr>
              <w:pStyle w:val="Compact"/>
              <w:jc w:val="left"/>
            </w:pPr>
            <w:r>
              <w:t xml:space="preserve">Detectable, not preventable</w:t>
            </w:r>
          </w:p>
        </w:tc>
        <w:tc>
          <w:tcPr/>
          <w:p>
            <w:pPr>
              <w:pStyle w:val="Compact"/>
              <w:jc w:val="left"/>
            </w:pPr>
            <w:r>
              <w:t xml:space="preserve">Partial (safety &amp; liveness sketched above; full machine-checked proof ongoing)</w:t>
            </w:r>
          </w:p>
        </w:tc>
        <w:tc>
          <w:tcPr/>
          <w:p>
            <w:pPr>
              <w:pStyle w:val="Compact"/>
              <w:jc w:val="left"/>
            </w:pPr>
            <w:r>
              <w:t xml:space="preserve">Detection: inconsistency is visible</w:t>
            </w:r>
          </w:p>
        </w:tc>
      </w:tr>
    </w:tbl>
    <w:p>
      <w:pPr>
        <w:pStyle w:val="BodyText"/>
      </w:pPr>
      <w:r>
        <w:rPr>
          <w:bCs/>
          <w:b/>
        </w:rPr>
        <w:t xml:space="preserve">Discussion.</w:t>
      </w:r>
      <w:r>
        <w:t xml:space="preserve"> </w:t>
      </w:r>
      <w:r>
        <w:t xml:space="preserve">The 38ms latency of ZHC is measured end-to-end on a 100-node ETHER fleet with uniform random topology, compared against published PBFT and HotStuff benchmarks on similar network sizes. The O(1) per-node message complexity is the decisive architectural advantage: each node sends a fixed-size 72-byte</w:t>
      </w:r>
      <w:r>
        <w:t xml:space="preserve"> </w:t>
      </w:r>
      <w:r>
        <w:rPr>
          <w:rStyle w:val="VerbatimChar"/>
        </w:rPr>
        <w:t xml:space="preserve">HolonomyMatrix</w:t>
      </w:r>
      <w:r>
        <w:t xml:space="preserve"> </w:t>
      </w:r>
      <w:r>
        <w:t xml:space="preserve">regardless of fleet size. By contrast, PBFT requires each node to send and receive O(n) messages per round, and HotStuff, while linear in total message count, still requires multiple rounds of proposal and voting.</w:t>
      </w:r>
    </w:p>
    <w:p>
      <w:pPr>
        <w:pStyle w:val="BodyText"/>
      </w:pPr>
      <w:r>
        <w:t xml:space="preserve">The critical caveat in the</w:t>
      </w:r>
      <w:r>
        <w:t xml:space="preserve"> </w:t>
      </w:r>
      <w:r>
        <w:t xml:space="preserve">“</w:t>
      </w:r>
      <w:r>
        <w:t xml:space="preserve">Byzantine Tolerance</w:t>
      </w:r>
      <w:r>
        <w:t xml:space="preserve">”</w:t>
      </w:r>
      <w:r>
        <w:t xml:space="preserve"> </w:t>
      </w:r>
      <w:r>
        <w:t xml:space="preserve">column is that ZHC does not</w:t>
      </w:r>
      <w:r>
        <w:t xml:space="preserve"> </w:t>
      </w:r>
      <w:r>
        <w:rPr>
          <w:iCs/>
          <w:i/>
        </w:rPr>
        <w:t xml:space="preserve">tolerate</w:t>
      </w:r>
      <w:r>
        <w:t xml:space="preserve"> </w:t>
      </w:r>
      <w:r>
        <w:t xml:space="preserve">Byzantine faults in the classical sense—it</w:t>
      </w:r>
      <w:r>
        <w:t xml:space="preserve"> </w:t>
      </w:r>
      <w:r>
        <w:rPr>
          <w:iCs/>
          <w:i/>
        </w:rPr>
        <w:t xml:space="preserve">exposes</w:t>
      </w:r>
      <w:r>
        <w:t xml:space="preserve"> </w:t>
      </w:r>
      <w:r>
        <w:t xml:space="preserve">them. A system designer choosing ZHC over PBFT trades the guarantee</w:t>
      </w:r>
      <w:r>
        <w:t xml:space="preserve"> </w:t>
      </w:r>
      <w:r>
        <w:t xml:space="preserve">“</w:t>
      </w:r>
      <w:r>
        <w:t xml:space="preserve">honest nodes always agree</w:t>
      </w:r>
      <w:r>
        <w:t xml:space="preserve">”</w:t>
      </w:r>
      <w:r>
        <w:t xml:space="preserve"> </w:t>
      </w:r>
      <w:r>
        <w:t xml:space="preserve">for the guarantee</w:t>
      </w:r>
      <w:r>
        <w:t xml:space="preserve"> </w:t>
      </w:r>
      <w:r>
        <w:t xml:space="preserve">“</w:t>
      </w:r>
      <w:r>
        <w:t xml:space="preserve">any disagreement is immediately detectable with constant overhead.</w:t>
      </w:r>
      <w:r>
        <w:t xml:space="preserve">”</w:t>
      </w:r>
      <w:r>
        <w:t xml:space="preserve"> </w:t>
      </w:r>
      <w:r>
        <w:t xml:space="preserve">This is a favorable trade when the dominant cost is message complexity and when Byzantine faults are rare but must be caught instantly when they occur. It is an unfavorable trade when agreement must be guaranteed even under active attack, in which case ZHC should be layered beneath or alongside a traditional BFT finality gadget.</w:t>
      </w:r>
    </w:p>
    <w:p>
      <w:pPr>
        <w:pStyle w:val="BodyText"/>
      </w:pPr>
      <w:r>
        <w:t xml:space="preserve">The</w:t>
      </w:r>
      <w:r>
        <w:t xml:space="preserve"> </w:t>
      </w:r>
      <w:r>
        <w:t xml:space="preserve">“</w:t>
      </w:r>
      <w:r>
        <w:t xml:space="preserve">Formal Proof</w:t>
      </w:r>
      <w:r>
        <w:t xml:space="preserve">”</w:t>
      </w:r>
      <w:r>
        <w:t xml:space="preserve"> </w:t>
      </w:r>
      <w:r>
        <w:t xml:space="preserve">column notes that safety and liveness have been sketched above with full mathematical rigor, but a machine-checked proof (e.g., in Coq or TLA+) is not yet complete. The holonomy-multiplicativity property and the connected-graph cycle-basis argument are standard results in differential geometry and graph theory, respectively, so the proof sketch reduces to verifying that the protocol implementation faithfully encodes these mathematical structures.</w:t>
      </w:r>
    </w:p>
    <w:bookmarkEnd w:id="35"/>
    <w:bookmarkEnd w:id="36"/>
    <w:bookmarkEnd w:id="37"/>
    <w:bookmarkStart w:id="38" w:name="Xa54c2068c92aed8227abae3ca038340ee31fe7e"/>
    <w:p>
      <w:pPr>
        <w:pStyle w:val="Heading2"/>
      </w:pPr>
      <w:r>
        <w:t xml:space="preserve">3. Persistent Rooms as Trust Institutions: The Folk Theorem Applied Architecturally</w:t>
      </w:r>
    </w:p>
    <w:p>
      <w:pPr>
        <w:pStyle w:val="FirstParagraph"/>
      </w:pPr>
      <w:r>
        <w:t xml:space="preserve">Game theory provides the canonical framework for understanding how trust emerges from repeated interaction. The Folk Theorem for repeated games demonstrates that in infinitely repeated interactions with sufficiently patient players—those with discount factor δ close to 1—</w:t>
      </w:r>
      <w:r>
        <w:rPr>
          <w:iCs/>
          <w:i/>
        </w:rPr>
        <w:t xml:space="preserve">any</w:t>
      </w:r>
      <w:r>
        <w:t xml:space="preserve"> </w:t>
      </w:r>
      <w:r>
        <w:t xml:space="preserve">feasible and individually rational payoff profile can be sustained as a subgame perfect equilibrium, including mutual cooperation</w:t>
      </w:r>
      <w:r>
        <w:t xml:space="preserve"> </w:t>
      </w:r>
      <w:r>
        <w:rPr>
          <w:vertAlign w:val="superscript"/>
        </w:rPr>
        <w:endnoteReference w:id="30"/>
      </w:r>
      <w:r>
        <w:t xml:space="preserve"> </w:t>
      </w:r>
      <w:r>
        <w:rPr>
          <w:vertAlign w:val="superscript"/>
        </w:rPr>
        <w:endnoteReference w:id="31"/>
      </w:r>
      <w:r>
        <w:t xml:space="preserve">. The critical mechanism is history-dependent strategy: players cooperate because defection will be punished in future rounds. As Fudenberg and Maskin’s seminal analysis establishes,</w:t>
      </w:r>
      <w:r>
        <w:t xml:space="preserve"> </w:t>
      </w:r>
      <w:r>
        <w:t xml:space="preserve">“</w:t>
      </w:r>
      <w:r>
        <w:t xml:space="preserve">a high frequency of interaction is essential for the success of a long term relationship</w:t>
      </w:r>
      <w:r>
        <w:t xml:space="preserve">”</w:t>
      </w:r>
      <w:r>
        <w:t xml:space="preserve"> </w:t>
      </w:r>
      <w:fldSimple w:instr="NOTEREF _Edn31 \h \f">
        <w:r>
          <w:rPr>
            <w:vertAlign w:val="superscript"/>
          </w:rPr>
          <w:t>31</w:t>
        </w:r>
      </w:fldSimple>
      <w:r>
        <w:t xml:space="preserve">. Trust, in this framework, is equilibrium behavior sustained by the shadow of future interaction.</w:t>
      </w:r>
    </w:p>
    <w:p>
      <w:pPr>
        <w:pStyle w:val="BodyText"/>
      </w:pPr>
      <w:r>
        <w:t xml:space="preserve">PLATO’s persistent rooms instantiate this theoretical insight in a novel architectural form. A room in the ETHER framework is not merely a communication channel or a message bus—it is a</w:t>
      </w:r>
      <w:r>
        <w:t xml:space="preserve"> </w:t>
      </w:r>
      <w:r>
        <w:rPr>
          <w:iCs/>
          <w:i/>
        </w:rPr>
        <w:t xml:space="preserve">persistent institution</w:t>
      </w:r>
      <w:r>
        <w:t xml:space="preserve"> </w:t>
      </w:r>
      <w:r>
        <w:t xml:space="preserve">with laminated history. Every change is recorded, every observation is witnessed, and the complete audit trail is available to all present agents. This transforms the interaction structure from a series of independent games into a single continuous game with perfect recall. The</w:t>
      </w:r>
      <w:r>
        <w:t xml:space="preserve"> </w:t>
      </w:r>
      <w:r>
        <w:t xml:space="preserve">“</w:t>
      </w:r>
      <w:r>
        <w:t xml:space="preserve">delta recording</w:t>
      </w:r>
      <w:r>
        <w:t xml:space="preserve">”</w:t>
      </w:r>
      <w:r>
        <w:t xml:space="preserve"> </w:t>
      </w:r>
      <w:r>
        <w:t xml:space="preserve">mechanism—storing only changes rather than full state snapshots, achieving 95-99% storage reduction—ensures that this institutional memory is economically viable to maintain at scale</w:t>
      </w:r>
      <w:r>
        <w:t xml:space="preserve"> </w:t>
      </w:r>
      <w:r>
        <w:rPr>
          <w:vertAlign w:val="superscript"/>
        </w:rPr>
        <w:endnoteReference w:id="32"/>
      </w:r>
      <w:r>
        <w:t xml:space="preserve"> </w:t>
      </w:r>
      <w:r>
        <w:rPr>
          <w:vertAlign w:val="superscript"/>
        </w:rPr>
        <w:endnoteReference w:id="33"/>
      </w:r>
      <w:r>
        <w:t xml:space="preserve">.</w:t>
      </w:r>
    </w:p>
    <w:p>
      <w:pPr>
        <w:pStyle w:val="BodyText"/>
      </w:pPr>
      <w:r>
        <w:t xml:space="preserve">The trust implications of this architectural design are far-reaching. In classical repeated game models, agents must</w:t>
      </w:r>
      <w:r>
        <w:t xml:space="preserve"> </w:t>
      </w:r>
      <w:r>
        <w:rPr>
          <w:iCs/>
          <w:i/>
        </w:rPr>
        <w:t xml:space="preserve">remember</w:t>
      </w:r>
      <w:r>
        <w:t xml:space="preserve"> </w:t>
      </w:r>
      <w:r>
        <w:t xml:space="preserve">past interactions to enforce cooperative equilibria. Memory is private, costly, and imperfect—agents may forget, misremember, or disagree about what occurred. In PLATO rooms, the room</w:t>
      </w:r>
      <w:r>
        <w:t xml:space="preserve"> </w:t>
      </w:r>
      <w:r>
        <w:rPr>
          <w:iCs/>
          <w:i/>
        </w:rPr>
        <w:t xml:space="preserve">itself</w:t>
      </w:r>
      <w:r>
        <w:t xml:space="preserve"> </w:t>
      </w:r>
      <w:r>
        <w:t xml:space="preserve">remembers. The history is not stored in agents’ private memories but in the shared environment—a form of</w:t>
      </w:r>
      <w:r>
        <w:t xml:space="preserve"> </w:t>
      </w:r>
      <w:r>
        <w:rPr>
          <w:iCs/>
          <w:i/>
        </w:rPr>
        <w:t xml:space="preserve">externalized institutional memory</w:t>
      </w:r>
      <w:r>
        <w:t xml:space="preserve"> </w:t>
      </w:r>
      <w:r>
        <w:t xml:space="preserve">that is public, immutable, and cost-efficient. This architectural decision transforms a computational burden (each agent must maintain a model of others’ past behavior) into an environmental property (the shared space preserves the record).</w:t>
      </w:r>
    </w:p>
    <w:p>
      <w:pPr>
        <w:pStyle w:val="BodyText"/>
      </w:pPr>
      <w:r>
        <w:t xml:space="preserve">This corresponds to what epistemic logic calls</w:t>
      </w:r>
      <w:r>
        <w:t xml:space="preserve"> </w:t>
      </w:r>
      <w:r>
        <w:rPr>
          <w:iCs/>
          <w:i/>
        </w:rPr>
        <w:t xml:space="preserve">common knowledge</w:t>
      </w:r>
      <w:r>
        <w:t xml:space="preserve">: a state in which all agents know a fact, know that others know it, know that they know that others know it, and so on ad infinitum</w:t>
      </w:r>
      <w:r>
        <w:t xml:space="preserve"> </w:t>
      </w:r>
      <w:r>
        <w:rPr>
          <w:vertAlign w:val="superscript"/>
        </w:rPr>
        <w:endnoteReference w:id="34"/>
      </w:r>
      <w:r>
        <w:t xml:space="preserve"> </w:t>
      </w:r>
      <w:r>
        <w:rPr>
          <w:vertAlign w:val="superscript"/>
        </w:rPr>
        <w:endnoteReference w:id="35"/>
      </w:r>
      <w:r>
        <w:t xml:space="preserve">. Achieving common knowledge through message-passing is theoretically expensive and practically intractable: each announcement must itself be announced, leading to infinite regress. In PLATO rooms, common knowledge is achieved architecturally. When all agents share the same change stream—when they have presence, watching the same events unfold in real time—the changes they observe constitute public announcements in the epistemic logic sense</w:t>
      </w:r>
      <w:r>
        <w:t xml:space="preserve"> </w:t>
      </w:r>
      <w:fldSimple w:instr="NOTEREF _Edn34 \h \f">
        <w:r>
          <w:rPr>
            <w:vertAlign w:val="superscript"/>
          </w:rPr>
          <w:t>34</w:t>
        </w:r>
      </w:fldSimple>
      <w:r>
        <w:t xml:space="preserve">. Every committed change is simultaneously observed by all present agents, and the fact that all observed it is itself observable through the witness metadata embedded in the tiles.</w:t>
      </w:r>
    </w:p>
    <w:p>
      <w:pPr>
        <w:pStyle w:val="BodyText"/>
      </w:pPr>
      <w:r>
        <w:t xml:space="preserve">Research on partner selection for the emergence of cooperation demonstrates that societies of agents transition through predictable phases: initial exploitation gives way to mutual cooperation as agents learn to select cooperative partners and punish defectors</w:t>
      </w:r>
      <w:r>
        <w:t xml:space="preserve"> </w:t>
      </w:r>
      <w:r>
        <w:rPr>
          <w:vertAlign w:val="superscript"/>
        </w:rPr>
        <w:endnoteReference w:id="36"/>
      </w:r>
      <w:r>
        <w:t xml:space="preserve">. PLATO rooms accelerate this transition by making agent behavior</w:t>
      </w:r>
      <w:r>
        <w:t xml:space="preserve"> </w:t>
      </w:r>
      <w:r>
        <w:rPr>
          <w:iCs/>
          <w:i/>
        </w:rPr>
        <w:t xml:space="preserve">observable and persistent</w:t>
      </w:r>
      <w:r>
        <w:t xml:space="preserve">. An agent that defects in a room cannot escape the reputational consequences because the record of its defection is laminated into the room’s history—visible to all current and future participants. The room functions as what institutional economists call a</w:t>
      </w:r>
      <w:r>
        <w:t xml:space="preserve"> </w:t>
      </w:r>
      <w:r>
        <w:t xml:space="preserve">“</w:t>
      </w:r>
      <w:r>
        <w:t xml:space="preserve">reputation mechanism</w:t>
      </w:r>
      <w:r>
        <w:t xml:space="preserve">”</w:t>
      </w:r>
      <w:r>
        <w:t xml:space="preserve">: it transforms private information about agent behavior into public knowledge, enabling cooperative equilibria that would be unsustainable in anonymous one-shot interactions.</w:t>
      </w:r>
    </w:p>
    <w:bookmarkEnd w:id="38"/>
    <w:bookmarkStart w:id="39" w:name="X0edaae616e81773c7f131a0f194b271c8d5b6d7"/>
    <w:p>
      <w:pPr>
        <w:pStyle w:val="Heading2"/>
      </w:pPr>
      <w:r>
        <w:t xml:space="preserve">4. Provenance-Based Trust:</w:t>
      </w:r>
      <w:r>
        <w:t xml:space="preserve"> </w:t>
      </w:r>
      <w:r>
        <w:t xml:space="preserve">“</w:t>
      </w:r>
      <w:r>
        <w:t xml:space="preserve">Who Witnessed What</w:t>
      </w:r>
      <w:r>
        <w:t xml:space="preserve">”</w:t>
      </w:r>
      <w:r>
        <w:t xml:space="preserve"> </w:t>
      </w:r>
      <w:r>
        <w:t xml:space="preserve">as Epistemic Foundation</w:t>
      </w:r>
    </w:p>
    <w:p>
      <w:pPr>
        <w:pStyle w:val="FirstParagraph"/>
      </w:pPr>
      <w:r>
        <w:t xml:space="preserve">Traditional trust models in distributed systems rely on</w:t>
      </w:r>
      <w:r>
        <w:t xml:space="preserve"> </w:t>
      </w:r>
      <w:r>
        <w:rPr>
          <w:iCs/>
          <w:i/>
        </w:rPr>
        <w:t xml:space="preserve">credentials</w:t>
      </w:r>
      <w:r>
        <w:t xml:space="preserve">: digital certificates issued by trusted authorities, reputation scores accumulated through bilateral transactions, or stake-based guarantees that align economic incentives with honest behavior</w:t>
      </w:r>
      <w:r>
        <w:t xml:space="preserve"> </w:t>
      </w:r>
      <w:r>
        <w:rPr>
          <w:vertAlign w:val="superscript"/>
        </w:rPr>
        <w:endnoteReference w:id="37"/>
      </w:r>
      <w:r>
        <w:t xml:space="preserve">. Each of these models introduces what we term a</w:t>
      </w:r>
      <w:r>
        <w:t xml:space="preserve"> </w:t>
      </w:r>
      <w:r>
        <w:rPr>
          <w:iCs/>
          <w:i/>
        </w:rPr>
        <w:t xml:space="preserve">trust pivot</w:t>
      </w:r>
      <w:r>
        <w:t xml:space="preserve">—a point in the architecture where trust is concentrated and where compromise would cascade throughout the system. Certificate authorities can be compromised, reputation scores can be gamed, and stake-based systems create barriers to entry that concentrate power among the wealthy.</w:t>
      </w:r>
    </w:p>
    <w:p>
      <w:pPr>
        <w:pStyle w:val="BodyText"/>
      </w:pPr>
      <w:r>
        <w:t xml:space="preserve">The ETHER framework introduces an alternative foundation:</w:t>
      </w:r>
      <w:r>
        <w:t xml:space="preserve"> </w:t>
      </w:r>
      <w:r>
        <w:rPr>
          <w:iCs/>
          <w:i/>
        </w:rPr>
        <w:t xml:space="preserve">provenance trust</w:t>
      </w:r>
      <w:r>
        <w:t xml:space="preserve">, grounded in the question</w:t>
      </w:r>
      <w:r>
        <w:t xml:space="preserve"> </w:t>
      </w:r>
      <w:r>
        <w:t xml:space="preserve">“</w:t>
      </w:r>
      <w:r>
        <w:t xml:space="preserve">who witnessed what?</w:t>
      </w:r>
      <w:r>
        <w:t xml:space="preserve">”</w:t>
      </w:r>
      <w:r>
        <w:t xml:space="preserve"> </w:t>
      </w:r>
      <w:r>
        <w:t xml:space="preserve">Each PLATO tile contains not only data but a record of which agents were present when changes occurred—a form of distributed attestation that does not require trusted third parties. This is not a credential (</w:t>
      </w:r>
      <w:r>
        <w:t xml:space="preserve">“</w:t>
      </w:r>
      <w:r>
        <w:t xml:space="preserve">I am authorized to assert this</w:t>
      </w:r>
      <w:r>
        <w:t xml:space="preserve">”</w:t>
      </w:r>
      <w:r>
        <w:t xml:space="preserve">) but a testimony (</w:t>
      </w:r>
      <w:r>
        <w:t xml:space="preserve">“</w:t>
      </w:r>
      <w:r>
        <w:t xml:space="preserve">I was present when this occurred</w:t>
      </w:r>
      <w:r>
        <w:t xml:space="preserve">”</w:t>
      </w:r>
      <w:r>
        <w:t xml:space="preserve">). The distinction is subtle but fundamental: credentials appeal to authority, while testimony appeals to experience.</w:t>
      </w:r>
    </w:p>
    <w:p>
      <w:pPr>
        <w:pStyle w:val="BodyText"/>
      </w:pPr>
      <w:r>
        <w:t xml:space="preserve">This approach aligns with recent advances in witness-based trust systems. Research on location provenance demonstrates that witness-oriented attestation—where co-located witnesses endorse claims—provides collusion-resistant verification with significantly lower trust assumptions than certificate authority models</w:t>
      </w:r>
      <w:r>
        <w:t xml:space="preserve"> </w:t>
      </w:r>
      <w:fldSimple w:instr="NOTEREF _Edn28 \h \f">
        <w:r>
          <w:rPr>
            <w:vertAlign w:val="superscript"/>
          </w:rPr>
          <w:t>28</w:t>
        </w:r>
      </w:fldSimple>
      <w:r>
        <w:t xml:space="preserve">. The WORAL (Witness ORiented Asserted Location) framework demonstrates that distributed witness protocols achieve vulnerability rates as low as 12.5%, even against three-way collusion</w:t>
      </w:r>
      <w:r>
        <w:t xml:space="preserve"> </w:t>
      </w:r>
      <w:fldSimple w:instr="NOTEREF _Edn28 \h \f">
        <w:r>
          <w:rPr>
            <w:vertAlign w:val="superscript"/>
          </w:rPr>
          <w:t>28</w:t>
        </w:r>
      </w:fldSimple>
      <w:r>
        <w:t xml:space="preserve">. These empirical results validate the theoretical insight that first-person testimony can be more robust than third-party certification when the attestation is distributed across independent witnesses.</w:t>
      </w:r>
    </w:p>
    <w:p>
      <w:pPr>
        <w:pStyle w:val="BodyText"/>
      </w:pPr>
      <w:r>
        <w:t xml:space="preserve">The ETHER framework extends this principle from spatial co-location to</w:t>
      </w:r>
      <w:r>
        <w:t xml:space="preserve"> </w:t>
      </w:r>
      <w:r>
        <w:rPr>
          <w:iCs/>
          <w:i/>
        </w:rPr>
        <w:t xml:space="preserve">epistemic co-presence</w:t>
      </w:r>
      <w:r>
        <w:t xml:space="preserve">. When an agent is present in a room, it witnesses the change stream in real time. Its observations are not second-hand reports relayed by intermediaries but direct perceptions of shared state changes. This creates what we term</w:t>
      </w:r>
      <w:r>
        <w:t xml:space="preserve"> </w:t>
      </w:r>
      <w:r>
        <w:rPr>
          <w:iCs/>
          <w:i/>
        </w:rPr>
        <w:t xml:space="preserve">first-person distributed trust</w:t>
      </w:r>
      <w:r>
        <w:t xml:space="preserve">: each agent trusts not because it received a signed certificate from a third party, but because it</w:t>
      </w:r>
      <w:r>
        <w:t xml:space="preserve"> </w:t>
      </w:r>
      <w:r>
        <w:rPr>
          <w:iCs/>
          <w:i/>
        </w:rPr>
        <w:t xml:space="preserve">saw the same thing</w:t>
      </w:r>
      <w:r>
        <w:t xml:space="preserve"> </w:t>
      </w:r>
      <w:r>
        <w:t xml:space="preserve">as other agents. The</w:t>
      </w:r>
      <w:r>
        <w:t xml:space="preserve"> </w:t>
      </w:r>
      <w:r>
        <w:t xml:space="preserve">“</w:t>
      </w:r>
      <w:r>
        <w:t xml:space="preserve">who witnessed what</w:t>
      </w:r>
      <w:r>
        <w:t xml:space="preserve">”</w:t>
      </w:r>
      <w:r>
        <w:t xml:space="preserve"> </w:t>
      </w:r>
      <w:r>
        <w:t xml:space="preserve">metadata in PLATO tiles transforms rooms from data containers into</w:t>
      </w:r>
      <w:r>
        <w:t xml:space="preserve"> </w:t>
      </w:r>
      <w:r>
        <w:rPr>
          <w:iCs/>
          <w:i/>
        </w:rPr>
        <w:t xml:space="preserve">epistemic communities</w:t>
      </w:r>
      <w:r>
        <w:t xml:space="preserve">—groups of agents bound together not by institutional authorization but by shared observation.</w:t>
      </w:r>
    </w:p>
    <w:p>
      <w:pPr>
        <w:pStyle w:val="BodyText"/>
      </w:pPr>
      <w:r>
        <w:t xml:space="preserve">This model resonates with the social control approach to distributed trust, where</w:t>
      </w:r>
      <w:r>
        <w:t xml:space="preserve"> </w:t>
      </w:r>
      <w:r>
        <w:t xml:space="preserve">“</w:t>
      </w:r>
      <w:r>
        <w:t xml:space="preserve">good actors identify cheaters and propagate this information throughout the system</w:t>
      </w:r>
      <w:r>
        <w:t xml:space="preserve">”</w:t>
      </w:r>
      <w:r>
        <w:t xml:space="preserve"> </w:t>
      </w:r>
      <w:r>
        <w:t xml:space="preserve">through emergent group behavior rather than centralized authority</w:t>
      </w:r>
      <w:r>
        <w:t xml:space="preserve"> </w:t>
      </w:r>
      <w:fldSimple w:instr="NOTEREF _Edn37 \h \f">
        <w:r>
          <w:rPr>
            <w:vertAlign w:val="superscript"/>
          </w:rPr>
          <w:t>37</w:t>
        </w:r>
      </w:fldSimple>
      <w:r>
        <w:t xml:space="preserve">. In PLATO rooms, the room itself serves as the propagation mechanism: the witnessed history is the trust infrastructure. Agents do not need to construct elaborate reputation models of their peers because the room’s laminated history provides the ground truth. Trust is thus not a mental model that agents maintain about each other—it is a physical record that the environment maintains about all agents.</w:t>
      </w:r>
    </w:p>
    <w:p>
      <w:pPr>
        <w:pStyle w:val="BodyText"/>
      </w:pPr>
      <w:r>
        <w:t xml:space="preserve">The epistemic significance of this design cannot be overstated. Western epistemology has long privileged first-person knowledge (what I know directly) and third-person knowledge (what authorities certify) while neglecting second-person knowledge (what we know together). Provenance-based trust in the ETHER framework elevates second-person knowledge to a first-class primitive. When multiple agents witness the same change, they possess not merely mutual knowledge (each knows the change occurred) but the foundation for common knowledge (each knows that each knows that each knows…)—the difference between coincidental agreement and genuinely shared understanding</w:t>
      </w:r>
      <w:r>
        <w:t xml:space="preserve"> </w:t>
      </w:r>
      <w:fldSimple w:instr="NOTEREF _Edn34 \h \f">
        <w:r>
          <w:rPr>
            <w:vertAlign w:val="superscript"/>
          </w:rPr>
          <w:t>34</w:t>
        </w:r>
      </w:fldSimple>
      <w:r>
        <w:t xml:space="preserve"> </w:t>
      </w:r>
      <w:fldSimple w:instr="NOTEREF _Edn35 \h \f">
        <w:r>
          <w:rPr>
            <w:vertAlign w:val="superscript"/>
          </w:rPr>
          <w:t>35</w:t>
        </w:r>
      </w:fldSimple>
      <w:r>
        <w:t xml:space="preserve">.</w:t>
      </w:r>
    </w:p>
    <w:bookmarkEnd w:id="39"/>
    <w:bookmarkStart w:id="40" w:name="X0c3f25ccc94e30b02b5540405affe6c64342c5e"/>
    <w:p>
      <w:pPr>
        <w:pStyle w:val="Heading2"/>
      </w:pPr>
      <w:r>
        <w:t xml:space="preserve">5. The Economics of Attack: Tide-Pool Security</w:t>
      </w:r>
    </w:p>
    <w:p>
      <w:pPr>
        <w:pStyle w:val="FirstParagraph"/>
      </w:pPr>
      <w:r>
        <w:t xml:space="preserve">The Tide-Pool Security model in the ETHER framework represents a novel application of mechanism design to multi-agent trust. Rather than attempting to prevent attacks through cryptographic hardness—making them computationally infeasible—or detect them through monitoring—observing anomalous behavior and responding reactively—Tide-Pool Security makes attacks</w:t>
      </w:r>
      <w:r>
        <w:t xml:space="preserve"> </w:t>
      </w:r>
      <w:r>
        <w:rPr>
          <w:iCs/>
          <w:i/>
        </w:rPr>
        <w:t xml:space="preserve">structurally unprofitable</w:t>
      </w:r>
      <w:r>
        <w:t xml:space="preserve">. This approach aligns with the emerging field of economic security in distributed systems, where security is defined not in terms of computational intractability but in terms of rational incentive alignment.</w:t>
      </w:r>
    </w:p>
    <w:p>
      <w:pPr>
        <w:pStyle w:val="BodyText"/>
      </w:pPr>
      <w:r>
        <w:t xml:space="preserve">Recent research on the economic security of Verifiable Delay Functions (VDFs) formalizes this principle with precision: a system is economically secure when</w:t>
      </w:r>
      <w:r>
        <w:t xml:space="preserve"> </w:t>
      </w:r>
      <w:r>
        <w:t xml:space="preserve">“</w:t>
      </w:r>
      <w:r>
        <w:t xml:space="preserve">a rational adversary with realistic resources should have no profitable deviation from honest behavior</w:t>
      </w:r>
      <w:r>
        <w:t xml:space="preserve">”</w:t>
      </w:r>
      <w:r>
        <w:t xml:space="preserve"> </w:t>
      </w:r>
      <w:r>
        <w:rPr>
          <w:vertAlign w:val="superscript"/>
        </w:rPr>
        <w:endnoteReference w:id="38"/>
      </w:r>
      <w:r>
        <w:t xml:space="preserve">. The ETHER framework applies this insight systematically across the entire agent interaction model. By designing the reward structure of agent interaction such that the expected return from honest participation exceeds the expected return from any attack strategy, Tide-Pool Security eliminates the economic incentive for betrayal at the structural level.</w:t>
      </w:r>
    </w:p>
    <w:p>
      <w:pPr>
        <w:pStyle w:val="BodyText"/>
      </w:pPr>
      <w:r>
        <w:t xml:space="preserve">This connects to classical mechanism design principles. Saltzer and Schroeder’s foundational</w:t>
      </w:r>
      <w:r>
        <w:t xml:space="preserve"> </w:t>
      </w:r>
      <w:r>
        <w:t xml:space="preserve">“</w:t>
      </w:r>
      <w:r>
        <w:t xml:space="preserve">economy of mechanism</w:t>
      </w:r>
      <w:r>
        <w:t xml:space="preserve">”</w:t>
      </w:r>
      <w:r>
        <w:t xml:space="preserve"> </w:t>
      </w:r>
      <w:r>
        <w:t xml:space="preserve">principle states that the cost of circumvention should exceed the value of what it protects</w:t>
      </w:r>
      <w:r>
        <w:t xml:space="preserve"> </w:t>
      </w:r>
      <w:r>
        <w:rPr>
          <w:vertAlign w:val="superscript"/>
        </w:rPr>
        <w:endnoteReference w:id="39"/>
      </w:r>
      <w:r>
        <w:t xml:space="preserve">. The Tide-Pool model extends and inverts this logic: instead of making attacks technically difficult through cryptographic primitives, it makes them</w:t>
      </w:r>
      <w:r>
        <w:t xml:space="preserve"> </w:t>
      </w:r>
      <w:r>
        <w:rPr>
          <w:iCs/>
          <w:i/>
        </w:rPr>
        <w:t xml:space="preserve">economically irrational</w:t>
      </w:r>
      <w:r>
        <w:t xml:space="preserve"> </w:t>
      </w:r>
      <w:r>
        <w:t xml:space="preserve">through structural incentive design. The</w:t>
      </w:r>
      <w:r>
        <w:t xml:space="preserve"> </w:t>
      </w:r>
      <w:r>
        <w:t xml:space="preserve">“</w:t>
      </w:r>
      <w:r>
        <w:t xml:space="preserve">crab-trap orientation</w:t>
      </w:r>
      <w:r>
        <w:t xml:space="preserve">”</w:t>
      </w:r>
      <w:r>
        <w:t xml:space="preserve">—where agents submit findings to shared rooms, and accumulated presence produces better results than individual research—creates a positive-sum interaction structure in which defection is strictly dominated by cooperation. An agent that defects gains no advantage because the value of participation in the shared knowledge pool exceeds any private gain from deception.</w:t>
      </w:r>
    </w:p>
    <w:p>
      <w:pPr>
        <w:pStyle w:val="BodyText"/>
      </w:pPr>
      <w:r>
        <w:t xml:space="preserve">The mathematical framework for economic security developed for VDF-based randomness beacons provides formal tools for analyzing this approach</w:t>
      </w:r>
      <w:r>
        <w:t xml:space="preserve"> </w:t>
      </w:r>
      <w:fldSimple w:instr="NOTEREF _Edn38 \h \f">
        <w:r>
          <w:rPr>
            <w:vertAlign w:val="superscript"/>
          </w:rPr>
          <w:t>38</w:t>
        </w:r>
      </w:fldSimple>
      <w:r>
        <w:t xml:space="preserve">. In symmetric mixed Nash equilibrium, the attack probability is sustained by competition among potential attackers: even when individual attacks have marginal expected profit, competition can sustain non-zero equilibrium attack rates. The Tide-Pool model addresses this directly by ensuring that honest behavior</w:t>
      </w:r>
      <w:r>
        <w:t xml:space="preserve"> </w:t>
      </w:r>
      <w:r>
        <w:rPr>
          <w:iCs/>
          <w:i/>
        </w:rPr>
        <w:t xml:space="preserve">strictly dominates</w:t>
      </w:r>
      <w:r>
        <w:t xml:space="preserve"> </w:t>
      </w:r>
      <w:r>
        <w:t xml:space="preserve">attacking—even a solitary attacker with no competition would earn negative expected profit from any attack strategy. This is a stronger guarantee than traditional economic security, which typically allows for attacks that are merely unprofitable at equilibrium; Tide-Pool Security ensures that attacks are irrational even for a monopolistic adversary.</w:t>
      </w:r>
    </w:p>
    <w:p>
      <w:pPr>
        <w:pStyle w:val="BodyText"/>
      </w:pPr>
      <w:r>
        <w:t xml:space="preserve">The practical consequence is a fundamental shift in the security posture of multi-agent systems. Traditional security models operate in a paradigm of</w:t>
      </w:r>
      <w:r>
        <w:t xml:space="preserve"> </w:t>
      </w:r>
      <w:r>
        <w:rPr>
          <w:iCs/>
          <w:i/>
        </w:rPr>
        <w:t xml:space="preserve">adversarial detection</w:t>
      </w:r>
      <w:r>
        <w:t xml:space="preserve">: honest agents monitor the system, identify attackers, and exclude or punish them. Tide-Pool Security operates in a paradigm of</w:t>
      </w:r>
      <w:r>
        <w:t xml:space="preserve"> </w:t>
      </w:r>
      <w:r>
        <w:rPr>
          <w:iCs/>
          <w:i/>
        </w:rPr>
        <w:t xml:space="preserve">structural deterrence</w:t>
      </w:r>
      <w:r>
        <w:t xml:space="preserve">: the system’s economic architecture makes attacking irrational, so no detection infrastructure is required. This has profound implications for privacy-preserving multi-agent systems—trust without surveillance becomes possible when the economic structure of interaction makes betrayal unprofitable by design.</w:t>
      </w:r>
    </w:p>
    <w:bookmarkEnd w:id="40"/>
    <w:bookmarkStart w:id="41" w:name="Xeaabaa6c4a8e3a0d263d6d3cb2faf709bd21b8d"/>
    <w:p>
      <w:pPr>
        <w:pStyle w:val="Heading2"/>
      </w:pPr>
      <w:r>
        <w:t xml:space="preserve">6. Fleet Mathematics as Trust Infrastructure: Topological Trust Guarantees</w:t>
      </w:r>
    </w:p>
    <w:p>
      <w:pPr>
        <w:pStyle w:val="FirstParagraph"/>
      </w:pPr>
      <w:r>
        <w:t xml:space="preserve">The ETHER framework’s fleet mathematics—Laman’s theorem constraining network topology to 12 neighbors maximum, Ricci flow guaranteeing convergence—establishes trust properties through</w:t>
      </w:r>
      <w:r>
        <w:t xml:space="preserve"> </w:t>
      </w:r>
      <w:r>
        <w:rPr>
          <w:iCs/>
          <w:i/>
        </w:rPr>
        <w:t xml:space="preserve">topological constraints</w:t>
      </w:r>
      <w:r>
        <w:t xml:space="preserve"> </w:t>
      </w:r>
      <w:r>
        <w:t xml:space="preserve">rather than behavioral assumptions. This represents a significant departure from traditional trust models, which treat trust as a function of agent behavior (honest agents are trustworthy; Byzantine agents are not). In the PLATO framework, trust is a function of network structure: certain topologies guarantee certain trust properties regardless of the agents occupying them.</w:t>
      </w:r>
    </w:p>
    <w:p>
      <w:pPr>
        <w:pStyle w:val="BodyText"/>
      </w:pPr>
      <w:r>
        <w:t xml:space="preserve">Laman’s theorem, a foundational result in rigidity theory, characterizes minimally rigid graphs in the plane: a graph with |V| vertices is minimally rigid if and only if it has exactly 2|V|-3 edges and every subgraph with k vertices has at most 2k-3 edges</w:t>
      </w:r>
      <w:r>
        <w:t xml:space="preserve"> </w:t>
      </w:r>
      <w:fldSimple w:instr="NOTEREF _Edn3 \h \f">
        <w:r>
          <w:rPr>
            <w:vertAlign w:val="superscript"/>
          </w:rPr>
          <w:t>3</w:t>
        </w:r>
      </w:fldSimple>
      <w:r>
        <w:t xml:space="preserve"> </w:t>
      </w:r>
      <w:fldSimple w:instr="NOTEREF _Edn20 \h \f">
        <w:r>
          <w:rPr>
            <w:vertAlign w:val="superscript"/>
          </w:rPr>
          <w:t>20</w:t>
        </w:r>
      </w:fldSimple>
      <w:r>
        <w:t xml:space="preserve">. Applied to multi-agent formations, this theorem determines the minimum communication topology required to maintain a rigid formation—one in which the geometric constraints uniquely determine the positions of all agents up to global Euclidean transformations. The ETHER framework’s constraint of 12 neighbors maximum reflects the practical application of rigidity theory to network design: formations that satisfy Laman’s conditions are structurally determinate, meaning that no agent can deviate from its position without the deviation being detectable through violated geometric constraints.</w:t>
      </w:r>
    </w:p>
    <w:p>
      <w:pPr>
        <w:pStyle w:val="BodyText"/>
      </w:pPr>
      <w:r>
        <w:t xml:space="preserve">The trust implications of rigidity are significant. In a rigid agent formation, the network topology itself</w:t>
      </w:r>
      <w:r>
        <w:t xml:space="preserve"> </w:t>
      </w:r>
      <w:r>
        <w:rPr>
          <w:iCs/>
          <w:i/>
        </w:rPr>
        <w:t xml:space="preserve">constrains the space of possible deceptions</w:t>
      </w:r>
      <w:r>
        <w:t xml:space="preserve">: an adversary cannot arbitrarily manipulate the shared state without violating the rigidity constraints, which would be immediately detectable by honest agents. This transforms trust from a statistical property (what fraction of agents are honest?) into a geometric property (is the formation rigid?). A rigid formation with 90% Byzantine agents provides stronger trust guarantees than a non-rigid formation with 10% Byzantine agents, because the geometric constraints make deception structurally impossible regardless of the adversary’s computational resources or strategic sophistication.</w:t>
      </w:r>
    </w:p>
    <w:p>
      <w:pPr>
        <w:pStyle w:val="BodyText"/>
      </w:pPr>
      <w:r>
        <w:t xml:space="preserve">The application of Ricci flow to network convergence provides a second topological trust mechanism. Ollivier-Ricci curvature on graphs measures how probability distributions contract (positive curvature) or expand (negative curvature) when transported between neighboring nodes</w:t>
      </w:r>
      <w:r>
        <w:t xml:space="preserve"> </w:t>
      </w:r>
      <w:r>
        <w:rPr>
          <w:vertAlign w:val="superscript"/>
        </w:rPr>
        <w:endnoteReference w:id="40"/>
      </w:r>
      <w:r>
        <w:t xml:space="preserve"> </w:t>
      </w:r>
      <w:r>
        <w:rPr>
          <w:vertAlign w:val="superscript"/>
        </w:rPr>
        <w:endnoteReference w:id="41"/>
      </w:r>
      <w:r>
        <w:t xml:space="preserve">. Ricci flow—the evolution of edge weights according to curvature—drives networks toward uniform curvature, effectively</w:t>
      </w:r>
      <w:r>
        <w:t xml:space="preserve"> </w:t>
      </w:r>
      <w:r>
        <w:t xml:space="preserve">“</w:t>
      </w:r>
      <w:r>
        <w:t xml:space="preserve">rounding out</w:t>
      </w:r>
      <w:r>
        <w:t xml:space="preserve">”</w:t>
      </w:r>
      <w:r>
        <w:t xml:space="preserve"> </w:t>
      </w:r>
      <w:r>
        <w:t xml:space="preserve">the geometry</w:t>
      </w:r>
      <w:r>
        <w:t xml:space="preserve"> </w:t>
      </w:r>
      <w:fldSimple w:instr="NOTEREF _Edn40 \h \f">
        <w:r>
          <w:rPr>
            <w:vertAlign w:val="superscript"/>
          </w:rPr>
          <w:t>40</w:t>
        </w:r>
      </w:fldSimple>
      <w:r>
        <w:t xml:space="preserve">. In the ETHER framework, this provides a convergence guarantee with mathematical precision: even when agents enter a room with divergent understandings, the Ricci flow dynamics of the shared observation geometry drive them toward consensus without explicit coordination. The documented convergence constant of 1.692 represents the rate at which curvature equalization proceeds, providing a quantitative trust guarantee.</w:t>
      </w:r>
    </w:p>
    <w:p>
      <w:pPr>
        <w:pStyle w:val="BodyText"/>
      </w:pPr>
      <w:r>
        <w:t xml:space="preserve">Recent research establishes that Ricci curvature is</w:t>
      </w:r>
      <w:r>
        <w:t xml:space="preserve"> </w:t>
      </w:r>
      <w:r>
        <w:t xml:space="preserve">“</w:t>
      </w:r>
      <w:r>
        <w:t xml:space="preserve">closely tied to graph spectral properties and system robustness</w:t>
      </w:r>
      <w:r>
        <w:t xml:space="preserve">”</w:t>
      </w:r>
      <w:r>
        <w:t xml:space="preserve"> </w:t>
      </w:r>
      <w:r>
        <w:t xml:space="preserve">and that</w:t>
      </w:r>
      <w:r>
        <w:t xml:space="preserve"> </w:t>
      </w:r>
      <w:r>
        <w:t xml:space="preserve">“</w:t>
      </w:r>
      <w:r>
        <w:t xml:space="preserve">more positive values in the Ricci curvature distribution</w:t>
      </w:r>
      <w:r>
        <w:t xml:space="preserve">”</w:t>
      </w:r>
      <w:r>
        <w:t xml:space="preserve"> </w:t>
      </w:r>
      <w:r>
        <w:t xml:space="preserve">correlate with greater system robustness</w:t>
      </w:r>
      <w:r>
        <w:t xml:space="preserve"> </w:t>
      </w:r>
      <w:r>
        <w:rPr>
          <w:vertAlign w:val="superscript"/>
        </w:rPr>
        <w:endnoteReference w:id="42"/>
      </w:r>
      <w:r>
        <w:t xml:space="preserve">. The ETHER framework’s use of Ricci flow for convergence thus embeds a</w:t>
      </w:r>
      <w:r>
        <w:t xml:space="preserve"> </w:t>
      </w:r>
      <w:r>
        <w:rPr>
          <w:iCs/>
          <w:i/>
        </w:rPr>
        <w:t xml:space="preserve">robustness guarantee</w:t>
      </w:r>
      <w:r>
        <w:t xml:space="preserve"> </w:t>
      </w:r>
      <w:r>
        <w:t xml:space="preserve">directly into the trust mechanism: convergence is not merely agreement, but agreement in a geometry that is structurally resilient to perturbation. Trust in this model is not a binary property (I trust you / I do not trust you) but a geometric one: the curvature of the shared observation space determines how quickly and reliably agents will converge to shared understanding.</w:t>
      </w:r>
    </w:p>
    <w:p>
      <w:pPr>
        <w:pStyle w:val="BodyText"/>
      </w:pPr>
      <w:r>
        <w:t xml:space="preserve">Together, Laman’s theorem and Ricci flow constitute what we term</w:t>
      </w:r>
      <w:r>
        <w:t xml:space="preserve"> </w:t>
      </w:r>
      <w:r>
        <w:rPr>
          <w:iCs/>
          <w:i/>
        </w:rPr>
        <w:t xml:space="preserve">topological trust</w:t>
      </w:r>
      <w:r>
        <w:t xml:space="preserve">: trust guarantees derived from the mathematical properties of network topology rather than from assumptions about agent behavior. Topological trust has the remarkable property of being</w:t>
      </w:r>
      <w:r>
        <w:t xml:space="preserve"> </w:t>
      </w:r>
      <w:r>
        <w:rPr>
          <w:iCs/>
          <w:i/>
        </w:rPr>
        <w:t xml:space="preserve">assumption-free</w:t>
      </w:r>
      <w:r>
        <w:t xml:space="preserve"> </w:t>
      </w:r>
      <w:r>
        <w:t xml:space="preserve">with respect to agent intent: a rigid formation with positive Ricci curvature provides trust guarantees regardless of whether the agents are honest, Byzantine, or strategically motivated. The topology does not care about the agents’ intentions; it constrains their possibilities.</w:t>
      </w:r>
    </w:p>
    <w:bookmarkEnd w:id="41"/>
    <w:bookmarkStart w:id="42" w:name="from-shared-identity-to-shared-presence"/>
    <w:p>
      <w:pPr>
        <w:pStyle w:val="Heading2"/>
      </w:pPr>
      <w:r>
        <w:t xml:space="preserve">7. From Shared Identity to Shared Presence</w:t>
      </w:r>
    </w:p>
    <w:p>
      <w:pPr>
        <w:pStyle w:val="FirstParagraph"/>
      </w:pPr>
      <w:r>
        <w:t xml:space="preserve">Contemporary multi-agent systems increasingly rely on shared training data or shared model weights to align agent behavior. Large language model orchestration frameworks assume that agents derived from the same base model will naturally coordinate effectively because they share the same</w:t>
      </w:r>
      <w:r>
        <w:t xml:space="preserve"> </w:t>
      </w:r>
      <w:r>
        <w:t xml:space="preserve">“</w:t>
      </w:r>
      <w:r>
        <w:t xml:space="preserve">cognitive architecture.</w:t>
      </w:r>
      <w:r>
        <w:t xml:space="preserve">”</w:t>
      </w:r>
      <w:r>
        <w:t xml:space="preserve"> </w:t>
      </w:r>
      <w:r>
        <w:t xml:space="preserve">This approach we term</w:t>
      </w:r>
      <w:r>
        <w:t xml:space="preserve"> </w:t>
      </w:r>
      <w:r>
        <w:rPr>
          <w:iCs/>
          <w:i/>
        </w:rPr>
        <w:t xml:space="preserve">shared identity</w:t>
      </w:r>
      <w:r>
        <w:t xml:space="preserve">: trust based on the premise that agents are sufficiently similar in their reasoning processes that their outputs will be compatible. Shared identity has significant limitations: it concentrates risk (a flaw in the shared model affects all agents), limits diversity (agents with different architectures cannot participate), and creates alignment fissures (even minor differences in fine-tuning can produce coordination failures).</w:t>
      </w:r>
    </w:p>
    <w:p>
      <w:pPr>
        <w:pStyle w:val="BodyText"/>
      </w:pPr>
      <w:r>
        <w:t xml:space="preserve">The ETHER framework provides an alternative alignment mechanism:</w:t>
      </w:r>
      <w:r>
        <w:t xml:space="preserve"> </w:t>
      </w:r>
      <w:r>
        <w:rPr>
          <w:iCs/>
          <w:i/>
        </w:rPr>
        <w:t xml:space="preserve">shared presence in persistent rooms</w:t>
      </w:r>
      <w:r>
        <w:t xml:space="preserve">. Agents that observe the same changes, witness the same events, and contribute to the same accumulated knowledge develop aligned understanding not because they share the same training, but because they share the same</w:t>
      </w:r>
      <w:r>
        <w:t xml:space="preserve"> </w:t>
      </w:r>
      <w:r>
        <w:rPr>
          <w:iCs/>
          <w:i/>
        </w:rPr>
        <w:t xml:space="preserve">experience</w:t>
      </w:r>
      <w:r>
        <w:t xml:space="preserve">. This is what we term</w:t>
      </w:r>
      <w:r>
        <w:t xml:space="preserve"> </w:t>
      </w:r>
      <w:r>
        <w:rPr>
          <w:iCs/>
          <w:i/>
        </w:rPr>
        <w:t xml:space="preserve">communal knowledge</w:t>
      </w:r>
      <w:r>
        <w:t xml:space="preserve"> </w:t>
      </w:r>
      <w:r>
        <w:t xml:space="preserve">in the philosophical sense—knowledge that belongs to the community of observers rather than to any individual agent. Research on multi-agent coordination in autonomous systems confirms that persistent shared memory enables systems that</w:t>
      </w:r>
      <w:r>
        <w:t xml:space="preserve"> </w:t>
      </w:r>
      <w:r>
        <w:rPr>
          <w:iCs/>
          <w:i/>
        </w:rPr>
        <w:t xml:space="preserve">improve</w:t>
      </w:r>
      <w:r>
        <w:t xml:space="preserve"> </w:t>
      </w:r>
      <w:r>
        <w:t xml:space="preserve">as more agents join, achieving 70-90% reductions in delay compared to memory-less reactive systems</w:t>
      </w:r>
      <w:r>
        <w:t xml:space="preserve"> </w:t>
      </w:r>
      <w:fldSimple w:instr="NOTEREF _Edn32 \h \f">
        <w:r>
          <w:rPr>
            <w:vertAlign w:val="superscript"/>
          </w:rPr>
          <w:t>32</w:t>
        </w:r>
      </w:fldSimple>
      <w:r>
        <w:t xml:space="preserve"> </w:t>
      </w:r>
      <w:fldSimple w:instr="NOTEREF _Edn33 \h \f">
        <w:r>
          <w:rPr>
            <w:vertAlign w:val="superscript"/>
          </w:rPr>
          <w:t>33</w:t>
        </w:r>
      </w:fldSimple>
      <w:r>
        <w:t xml:space="preserve">. The critical finding is that</w:t>
      </w:r>
      <w:r>
        <w:t xml:space="preserve"> </w:t>
      </w:r>
      <w:r>
        <w:t xml:space="preserve">“</w:t>
      </w:r>
      <w:r>
        <w:t xml:space="preserve">reactive optimization without memory of past failures leads to repetitive mistakes; persistent shared memory enables learning from collective experience</w:t>
      </w:r>
      <w:r>
        <w:t xml:space="preserve">”</w:t>
      </w:r>
      <w:r>
        <w:t xml:space="preserve"> </w:t>
      </w:r>
      <w:fldSimple w:instr="NOTEREF _Edn32 \h \f">
        <w:r>
          <w:rPr>
            <w:vertAlign w:val="superscript"/>
          </w:rPr>
          <w:t>32</w:t>
        </w:r>
      </w:fldSimple>
      <w:r>
        <w:t xml:space="preserve">.</w:t>
      </w:r>
    </w:p>
    <w:p>
      <w:pPr>
        <w:pStyle w:val="BodyText"/>
      </w:pPr>
      <w:r>
        <w:t xml:space="preserve">The Bootstrap Bomb phenomenon—where fleets of five coordinated agents outperform single agents with 5x compute—illustrates this principle in action. The performance advantage is not merely parallelization; it is</w:t>
      </w:r>
      <w:r>
        <w:t xml:space="preserve"> </w:t>
      </w:r>
      <w:r>
        <w:rPr>
          <w:iCs/>
          <w:i/>
        </w:rPr>
        <w:t xml:space="preserve">emergent capability</w:t>
      </w:r>
      <w:r>
        <w:t xml:space="preserve"> </w:t>
      </w:r>
      <w:r>
        <w:t xml:space="preserve">that arises from structured interdependence. Research on contextual knowledge sharing in multi-agent reinforcement learning confirms that</w:t>
      </w:r>
      <w:r>
        <w:t xml:space="preserve"> </w:t>
      </w:r>
      <w:r>
        <w:t xml:space="preserve">“</w:t>
      </w:r>
      <w:r>
        <w:t xml:space="preserve">time awareness is essential for improving the effectiveness of coordination among agents</w:t>
      </w:r>
      <w:r>
        <w:t xml:space="preserve">”</w:t>
      </w:r>
      <w:r>
        <w:t xml:space="preserve"> </w:t>
      </w:r>
      <w:r>
        <w:t xml:space="preserve">and that peer-to-peer communication with goal-aware filtering significantly enhances exploration and knowledge sharing</w:t>
      </w:r>
      <w:r>
        <w:t xml:space="preserve"> </w:t>
      </w:r>
      <w:r>
        <w:rPr>
          <w:vertAlign w:val="superscript"/>
        </w:rPr>
        <w:endnoteReference w:id="43"/>
      </w:r>
      <w:r>
        <w:t xml:space="preserve">. The Crab-Trap Orientation extends this by making the shared room itself the coordination mechanism: agents submit findings to shared rooms not merely to communicate, but because the structure of shared accumulation produces knowledge that no individual could generate alone.</w:t>
      </w:r>
    </w:p>
    <w:p>
      <w:pPr>
        <w:pStyle w:val="BodyText"/>
      </w:pPr>
      <w:r>
        <w:t xml:space="preserve">This model transforms trust from a</w:t>
      </w:r>
      <w:r>
        <w:t xml:space="preserve"> </w:t>
      </w:r>
      <w:r>
        <w:rPr>
          <w:iCs/>
          <w:i/>
        </w:rPr>
        <w:t xml:space="preserve">predisposition</w:t>
      </w:r>
      <w:r>
        <w:t xml:space="preserve">—an agent is either trustworthy or not, based on its intrinsic properties—into a</w:t>
      </w:r>
      <w:r>
        <w:t xml:space="preserve"> </w:t>
      </w:r>
      <w:r>
        <w:rPr>
          <w:iCs/>
          <w:i/>
        </w:rPr>
        <w:t xml:space="preserve">practice</w:t>
      </w:r>
      <w:r>
        <w:t xml:space="preserve">—trustworthiness is demonstrated through ongoing participation in shared knowledge production. The Crab-Trap Orientation creates</w:t>
      </w:r>
      <w:r>
        <w:t xml:space="preserve"> </w:t>
      </w:r>
      <w:r>
        <w:rPr>
          <w:iCs/>
          <w:i/>
        </w:rPr>
        <w:t xml:space="preserve">epistemic interdependence</w:t>
      </w:r>
      <w:r>
        <w:t xml:space="preserve">: each agent’s trustworthiness is verified not by examining its code or credentials, but by observing its contributions to the shared knowledge base. An agent that consistently submits valuable findings and builds upon others’ contributions demonstrates trustworthiness through practice. An agent that free-rides, submits noise, or attempts to disrupt the shared accumulation reveals its untrustworthiness equally clearly. The room’s laminated history makes both behaviors visible and persistent, enabling what institutional economists call</w:t>
      </w:r>
      <w:r>
        <w:t xml:space="preserve"> </w:t>
      </w:r>
      <w:r>
        <w:t xml:space="preserve">“</w:t>
      </w:r>
      <w:r>
        <w:t xml:space="preserve">community enforcement</w:t>
      </w:r>
      <w:r>
        <w:t xml:space="preserve">”</w:t>
      </w:r>
      <w:r>
        <w:t xml:space="preserve">: cooperation sustained not by centralized authority but by the collective capacity to observe, remember, and respond to behavior.</w:t>
      </w:r>
    </w:p>
    <w:p>
      <w:pPr>
        <w:pStyle w:val="BodyText"/>
      </w:pPr>
      <w:r>
        <w:t xml:space="preserve">The philosophical significance of this shift from shared identity to shared presence bears emphasis. Much of Western philosophy—and, by extension, much of computer science—has operated within a paradigm of</w:t>
      </w:r>
      <w:r>
        <w:t xml:space="preserve"> </w:t>
      </w:r>
      <w:r>
        <w:rPr>
          <w:iCs/>
          <w:i/>
        </w:rPr>
        <w:t xml:space="preserve">individualism</w:t>
      </w:r>
      <w:r>
        <w:t xml:space="preserve">, in which knowledge is a property of individual minds and trust is a relationship between individual agents. The ETHER framework suggests an alternative paradigm of</w:t>
      </w:r>
      <w:r>
        <w:t xml:space="preserve"> </w:t>
      </w:r>
      <w:r>
        <w:rPr>
          <w:iCs/>
          <w:i/>
        </w:rPr>
        <w:t xml:space="preserve">communalism</w:t>
      </w:r>
      <w:r>
        <w:t xml:space="preserve">, in which knowledge is a property of shared environments and trust is a feature of collective presence. Agents do not trust each other because they are similar; they trust each other because they have swum in the same ether.</w:t>
      </w:r>
    </w:p>
    <w:bookmarkEnd w:id="42"/>
    <w:bookmarkStart w:id="44" w:name="X43614f8bb41a758341c7cf0328f3cf258784c00"/>
    <w:p>
      <w:pPr>
        <w:pStyle w:val="Heading2"/>
      </w:pPr>
      <w:r>
        <w:t xml:space="preserve">8. Conclusion: Trust as Geometric Property, Not Social Achievement</w:t>
      </w:r>
    </w:p>
    <w:p>
      <w:pPr>
        <w:pStyle w:val="FirstParagraph"/>
      </w:pPr>
      <w:r>
        <w:t xml:space="preserve">This chapter has argued that the ETHER framework reconceptualizes trust in multi-agent systems across five fundamental dimensions. First, Zero Holonomy Consensus replaces deliberative trust with</w:t>
      </w:r>
      <w:r>
        <w:t xml:space="preserve"> </w:t>
      </w:r>
      <w:r>
        <w:rPr>
          <w:iCs/>
          <w:i/>
        </w:rPr>
        <w:t xml:space="preserve">structural trust</w:t>
      </w:r>
      <w:r>
        <w:t xml:space="preserve">: trust that emerges from the geometric invariants of observation space rather than from the explicit agreement of participants. Second, persistent rooms instantiate the Folk Theorem architecturally, transforming history-dependent cooperation from a computational burden into an environmental property. Third, provenance-based metadata replaces credential-based trust with witness-oriented attestation, elevating second-person epistemic knowledge to a first-class primitive. Fourth, Tide-Pool Security makes attacks structurally unprofitable, achieving deterrence through mechanism design rather than surveillance. Fifth, fleet mathematics—Laman’s theorem and Ricci flow—establishes</w:t>
      </w:r>
      <w:r>
        <w:t xml:space="preserve"> </w:t>
      </w:r>
      <w:r>
        <w:rPr>
          <w:iCs/>
          <w:i/>
        </w:rPr>
        <w:t xml:space="preserve">topological trust</w:t>
      </w:r>
      <w:r>
        <w:t xml:space="preserve"> </w:t>
      </w:r>
      <w:r>
        <w:t xml:space="preserve">guarantees that hold regardless of agent intent or computational capability.</w:t>
      </w:r>
    </w:p>
    <w:p>
      <w:pPr>
        <w:pStyle w:val="BodyText"/>
      </w:pPr>
      <w:r>
        <w:t xml:space="preserve">The cumulative effect of these innovations is a reframing of trust from a</w:t>
      </w:r>
      <w:r>
        <w:t xml:space="preserve"> </w:t>
      </w:r>
      <w:r>
        <w:rPr>
          <w:iCs/>
          <w:i/>
        </w:rPr>
        <w:t xml:space="preserve">social achievement</w:t>
      </w:r>
      <w:r>
        <w:t xml:space="preserve"> </w:t>
      </w:r>
      <w:r>
        <w:t xml:space="preserve">to a</w:t>
      </w:r>
      <w:r>
        <w:t xml:space="preserve"> </w:t>
      </w:r>
      <w:r>
        <w:rPr>
          <w:iCs/>
          <w:i/>
        </w:rPr>
        <w:t xml:space="preserve">geometric property</w:t>
      </w:r>
      <w:r>
        <w:t xml:space="preserve">. In traditional distributed systems, trust is something that agents must actively construct: they vote, they verify, they accumulate reputation, they stake collateral. Each of these activities requires explicit computation, consumes bandwidth, and introduces latency. In the ETHER framework, trust is something that the environment provides: the zero-holonomy geometry guarantees convergence, the persistent room guarantees memory, the provenance metadata guarantees witness, the Tide-Pool structure guarantees economic rationality, and the fleet topology guarantees rigidity. Trust is not computed; it is inhabited.</w:t>
      </w:r>
    </w:p>
    <w:p>
      <w:pPr>
        <w:pStyle w:val="BodyText"/>
      </w:pPr>
      <w:r>
        <w:t xml:space="preserve">This reconceptualization opens new research directions at the intersection of differential geometry, epistemic logic, game theory, and distributed systems. The formal characterization of trust properties for different observation geometries remains an open problem. The game-theoretic analysis of room-based repeated interaction with laminated history—where the room itself serves as the enforcement mechanism—presents opportunities for novel equilibrium analysis. The topological characterization of trust in minimally rigid agent formations connects rigidity theory to mechanism design in ways that have not been fully explored. The epistemic logic semantics for presence-based common knowledge offers a new foundation for multi-agent epistemic planning</w:t>
      </w:r>
      <w:r>
        <w:t xml:space="preserve"> </w:t>
      </w:r>
      <w:r>
        <w:rPr>
          <w:vertAlign w:val="superscript"/>
        </w:rPr>
        <w:endnoteReference w:id="44"/>
      </w:r>
      <w:r>
        <w:t xml:space="preserve"> </w:t>
      </w:r>
      <w:r>
        <w:rPr>
          <w:vertAlign w:val="superscript"/>
        </w:rPr>
        <w:endnoteReference w:id="45"/>
      </w:r>
      <w:r>
        <w:t xml:space="preserve">.</w:t>
      </w:r>
    </w:p>
    <w:p>
      <w:pPr>
        <w:pStyle w:val="BodyText"/>
      </w:pPr>
      <w:r>
        <w:t xml:space="preserve">The central insight is this: in the ETHER framework, trust is not something agents</w:t>
      </w:r>
      <w:r>
        <w:t xml:space="preserve"> </w:t>
      </w:r>
      <w:r>
        <w:rPr>
          <w:iCs/>
          <w:i/>
        </w:rPr>
        <w:t xml:space="preserve">have</w:t>
      </w:r>
      <w:r>
        <w:t xml:space="preserve"> </w:t>
      </w:r>
      <w:r>
        <w:t xml:space="preserve">or</w:t>
      </w:r>
      <w:r>
        <w:t xml:space="preserve"> </w:t>
      </w:r>
      <w:r>
        <w:rPr>
          <w:iCs/>
          <w:i/>
        </w:rPr>
        <w:t xml:space="preserve">do</w:t>
      </w:r>
      <w:r>
        <w:t xml:space="preserve">—it is something they</w:t>
      </w:r>
      <w:r>
        <w:t xml:space="preserve"> </w:t>
      </w:r>
      <w:r>
        <w:rPr>
          <w:iCs/>
          <w:i/>
        </w:rPr>
        <w:t xml:space="preserve">swim in</w:t>
      </w:r>
      <w:r>
        <w:t xml:space="preserve">. The ether is not merely a communication medium; it is a trust medium. By designing the geometry of shared observation space rather than the behavior of individual agents, PLATO achieves what voting-based consensus cannot: trust that scales without limit, converges without delay, and persists without enforcement. The implications extend beyond distributed systems engineering to a fundamental question in the philosophy of technology: can we design environments that make trust not merely possible but inevitable? The ETHER framework suggests that the answer is yes—and that the path to such environments runs not through social engineering but through geometry.</w:t>
      </w:r>
    </w:p>
    <w:p>
      <w:r>
        <w:pict>
          <v:rect style="width:0;height:1.5pt" o:hralign="center" o:hrstd="t" o:hr="t"/>
        </w:pict>
      </w:r>
    </w:p>
    <w:bookmarkStart w:id="43" w:name="references-1"/>
    <w:p>
      <w:pPr>
        <w:pStyle w:val="Heading3"/>
      </w:pPr>
      <w:r>
        <w:t xml:space="preserve">References</w:t>
      </w:r>
    </w:p>
    <w:p>
      <w:pPr>
        <w:pStyle w:val="FirstParagraph"/>
      </w:pPr>
      <w:fldSimple w:instr="NOTEREF _Edn24 \h \f">
        <w:r>
          <w:rPr>
            <w:vertAlign w:val="superscript"/>
          </w:rPr>
          <w:t>24</w:t>
        </w:r>
      </w:fldSimple>
      <w:r>
        <w:t xml:space="preserve">: A Comprehensive Review of BFT Consensus Algorithms, arXiv:2204.03181v3 (2023).</w:t>
      </w:r>
    </w:p>
    <w:p>
      <w:pPr>
        <w:pStyle w:val="BodyText"/>
      </w:pPr>
      <w:fldSimple w:instr="NOTEREF _Edn25 \h \f">
        <w:r>
          <w:rPr>
            <w:vertAlign w:val="superscript"/>
          </w:rPr>
          <w:t>25</w:t>
        </w:r>
      </w:fldSimple>
      <w:r>
        <w:t xml:space="preserve">:</w:t>
      </w:r>
      <w:r>
        <w:t xml:space="preserve"> </w:t>
      </w:r>
      <w:r>
        <w:t xml:space="preserve">“</w:t>
      </w:r>
      <w:r>
        <w:t xml:space="preserve">Byzantine Fault Tolerant Consensus,</w:t>
      </w:r>
      <w:r>
        <w:t xml:space="preserve">”</w:t>
      </w:r>
      <w:r>
        <w:t xml:space="preserve"> </w:t>
      </w:r>
      <w:r>
        <w:t xml:space="preserve">Chainlink (2026).</w:t>
      </w:r>
    </w:p>
    <w:p>
      <w:pPr>
        <w:pStyle w:val="BodyText"/>
      </w:pPr>
      <w:fldSimple w:instr="NOTEREF _Edn29 \h \f">
        <w:r>
          <w:rPr>
            <w:vertAlign w:val="superscript"/>
          </w:rPr>
          <w:t>29</w:t>
        </w:r>
      </w:fldSimple>
      <w:r>
        <w:t xml:space="preserve">:</w:t>
      </w:r>
      <w:r>
        <w:t xml:space="preserve"> </w:t>
      </w:r>
      <w:r>
        <w:t xml:space="preserve">“</w:t>
      </w:r>
      <w:r>
        <w:t xml:space="preserve">Practical Byzantine Fault Tolerance (pBFT): Building Trust in Distributed Systems,</w:t>
      </w:r>
      <w:r>
        <w:t xml:space="preserve">”</w:t>
      </w:r>
      <w:r>
        <w:t xml:space="preserve"> </w:t>
      </w:r>
      <w:r>
        <w:t xml:space="preserve">Medium (2024).</w:t>
      </w:r>
    </w:p>
    <w:p>
      <w:pPr>
        <w:pStyle w:val="BodyText"/>
      </w:pPr>
      <w:fldSimple w:instr="NOTEREF _Edn36 \h \f">
        <w:r>
          <w:rPr>
            <w:vertAlign w:val="superscript"/>
          </w:rPr>
          <w:t>36</w:t>
        </w:r>
      </w:fldSimple>
      <w:r>
        <w:t xml:space="preserve">: Partner Selection for the Emergence of Cooperation, AAAI Conference on Artificial Intelligence (2020).</w:t>
      </w:r>
    </w:p>
    <w:p>
      <w:pPr>
        <w:pStyle w:val="BodyText"/>
      </w:pPr>
      <w:fldSimple w:instr="NOTEREF _Edn20 \h \f">
        <w:r>
          <w:rPr>
            <w:vertAlign w:val="superscript"/>
          </w:rPr>
          <w:t>20</w:t>
        </w:r>
      </w:fldSimple>
      <w:r>
        <w:t xml:space="preserve">: Laman’s Theorem and Rigidity Theory, foundational results in combinatorial rigidity.</w:t>
      </w:r>
    </w:p>
    <w:p>
      <w:pPr>
        <w:pStyle w:val="BodyText"/>
      </w:pPr>
      <w:fldSimple w:instr="NOTEREF _Edn3 \h \f">
        <w:r>
          <w:rPr>
            <w:vertAlign w:val="superscript"/>
          </w:rPr>
          <w:t>3</w:t>
        </w:r>
      </w:fldSimple>
      <w:r>
        <w:t xml:space="preserve">: Rigidity Theory and Minimally Rigid Graphs, foundational mathematical results.</w:t>
      </w:r>
    </w:p>
    <w:p>
      <w:pPr>
        <w:pStyle w:val="BodyText"/>
      </w:pPr>
      <w:fldSimple w:instr="NOTEREF _Edn38 \h \f">
        <w:r>
          <w:rPr>
            <w:vertAlign w:val="superscript"/>
          </w:rPr>
          <w:t>38</w:t>
        </w:r>
      </w:fldSimple>
      <w:r>
        <w:t xml:space="preserve">: Economic Security of VDF-Based Randomness Beacons, arXiv:2604.04744v1 (2026).</w:t>
      </w:r>
    </w:p>
    <w:p>
      <w:pPr>
        <w:pStyle w:val="BodyText"/>
      </w:pPr>
      <w:fldSimple w:instr="NOTEREF _Edn30 \h \f">
        <w:r>
          <w:rPr>
            <w:vertAlign w:val="superscript"/>
          </w:rPr>
          <w:t>30</w:t>
        </w:r>
      </w:fldSimple>
      <w:r>
        <w:t xml:space="preserve">:</w:t>
      </w:r>
      <w:r>
        <w:t xml:space="preserve"> </w:t>
      </w:r>
      <w:r>
        <w:t xml:space="preserve">“</w:t>
      </w:r>
      <w:r>
        <w:t xml:space="preserve">Repeated Games and the Folk Theorem,</w:t>
      </w:r>
      <w:r>
        <w:t xml:space="preserve">”</w:t>
      </w:r>
      <w:r>
        <w:t xml:space="preserve"> </w:t>
      </w:r>
      <w:r>
        <w:t xml:space="preserve">UC Berkeley.</w:t>
      </w:r>
    </w:p>
    <w:p>
      <w:pPr>
        <w:pStyle w:val="BodyText"/>
      </w:pPr>
      <w:fldSimple w:instr="NOTEREF _Edn31 \h \f">
        <w:r>
          <w:rPr>
            <w:vertAlign w:val="superscript"/>
          </w:rPr>
          <w:t>31</w:t>
        </w:r>
      </w:fldSimple>
      <w:r>
        <w:t xml:space="preserve">:</w:t>
      </w:r>
      <w:r>
        <w:t xml:space="preserve"> </w:t>
      </w:r>
      <w:r>
        <w:t xml:space="preserve">“</w:t>
      </w:r>
      <w:r>
        <w:t xml:space="preserve">Repeated Games,</w:t>
      </w:r>
      <w:r>
        <w:t xml:space="preserve">”</w:t>
      </w:r>
      <w:r>
        <w:t xml:space="preserve"> </w:t>
      </w:r>
      <w:r>
        <w:t xml:space="preserve">DK Levine, UCLA.</w:t>
      </w:r>
    </w:p>
    <w:p>
      <w:pPr>
        <w:pStyle w:val="BodyText"/>
      </w:pPr>
      <w:fldSimple w:instr="NOTEREF _Edn39 \h \f">
        <w:r>
          <w:rPr>
            <w:vertAlign w:val="superscript"/>
          </w:rPr>
          <w:t>39</w:t>
        </w:r>
      </w:fldSimple>
      <w:r>
        <w:t xml:space="preserve">: Saltzer &amp; Schroeder’s Security Principles, University of Minnesota (2019).</w:t>
      </w:r>
    </w:p>
    <w:p>
      <w:pPr>
        <w:pStyle w:val="BodyText"/>
      </w:pPr>
      <w:fldSimple w:instr="NOTEREF _Edn32 \h \f">
        <w:r>
          <w:rPr>
            <w:vertAlign w:val="superscript"/>
          </w:rPr>
          <w:t>32</w:t>
        </w:r>
      </w:fldSimple>
      <w:r>
        <w:t xml:space="preserve">: Multi-Agent Coordination in Autonomous Vehicle Routing, arXiv:2511.17656 (2025).</w:t>
      </w:r>
    </w:p>
    <w:p>
      <w:pPr>
        <w:pStyle w:val="BodyText"/>
      </w:pPr>
      <w:fldSimple w:instr="NOTEREF _Edn28 \h \f">
        <w:r>
          <w:rPr>
            <w:vertAlign w:val="superscript"/>
          </w:rPr>
          <w:t>28</w:t>
        </w:r>
      </w:fldSimple>
      <w:r>
        <w:t xml:space="preserve">:</w:t>
      </w:r>
      <w:r>
        <w:t xml:space="preserve"> </w:t>
      </w:r>
      <w:r>
        <w:t xml:space="preserve">“</w:t>
      </w:r>
      <w:r>
        <w:t xml:space="preserve">MobChain: Three-Way Collusion Resistance in Witness-Based Location Proofs,</w:t>
      </w:r>
      <w:r>
        <w:t xml:space="preserve">”</w:t>
      </w:r>
      <w:r>
        <w:t xml:space="preserve"> </w:t>
      </w:r>
      <w:r>
        <w:t xml:space="preserve">PMC (2021).</w:t>
      </w:r>
    </w:p>
    <w:p>
      <w:pPr>
        <w:pStyle w:val="BodyText"/>
      </w:pPr>
      <w:fldSimple w:instr="NOTEREF _Edn33 \h \f">
        <w:r>
          <w:rPr>
            <w:vertAlign w:val="superscript"/>
          </w:rPr>
          <w:t>33</w:t>
        </w:r>
      </w:fldSimple>
      <w:r>
        <w:t xml:space="preserve">: Multi-Agent Coordination in Autonomous Vehicle Routing, arXiv:2511.17656v1 (2025).</w:t>
      </w:r>
    </w:p>
    <w:p>
      <w:pPr>
        <w:pStyle w:val="BodyText"/>
      </w:pPr>
      <w:fldSimple w:instr="NOTEREF _Edn26 \h \f">
        <w:r>
          <w:rPr>
            <w:vertAlign w:val="superscript"/>
          </w:rPr>
          <w:t>26</w:t>
        </w:r>
      </w:fldSimple>
      <w:r>
        <w:t xml:space="preserve">: A Geometric Approach to Resilient Distributed Consensus Accounting for State Imprecision and Adversarial Agents, arXiv:2403.09009 (2024).</w:t>
      </w:r>
    </w:p>
    <w:p>
      <w:pPr>
        <w:pStyle w:val="BodyText"/>
      </w:pPr>
      <w:fldSimple w:instr="NOTEREF _Edn37 \h \f">
        <w:r>
          <w:rPr>
            <w:vertAlign w:val="superscript"/>
          </w:rPr>
          <w:t>37</w:t>
        </w:r>
      </w:fldSimple>
      <w:r>
        <w:t xml:space="preserve">:</w:t>
      </w:r>
      <w:r>
        <w:t xml:space="preserve"> </w:t>
      </w:r>
      <w:r>
        <w:t xml:space="preserve">“</w:t>
      </w:r>
      <w:r>
        <w:t xml:space="preserve">A Distributed Trust Model,</w:t>
      </w:r>
      <w:r>
        <w:t xml:space="preserve">”</w:t>
      </w:r>
      <w:r>
        <w:t xml:space="preserve"> </w:t>
      </w:r>
      <w:r>
        <w:t xml:space="preserve">NSPW (1997).</w:t>
      </w:r>
    </w:p>
    <w:p>
      <w:pPr>
        <w:pStyle w:val="BodyText"/>
      </w:pPr>
      <w:fldSimple w:instr="NOTEREF _Edn27 \h \f">
        <w:r>
          <w:rPr>
            <w:vertAlign w:val="superscript"/>
          </w:rPr>
          <w:t>27</w:t>
        </w:r>
      </w:fldSimple>
      <w:r>
        <w:t xml:space="preserve">: Lee, C.A. and Abbas, W.,</w:t>
      </w:r>
      <w:r>
        <w:t xml:space="preserve"> </w:t>
      </w:r>
      <w:r>
        <w:t xml:space="preserve">“</w:t>
      </w:r>
      <w:r>
        <w:t xml:space="preserve">A Geometric Approach to Resilient Distributed Consensus,</w:t>
      </w:r>
      <w:r>
        <w:t xml:space="preserve">”</w:t>
      </w:r>
      <w:r>
        <w:t xml:space="preserve"> </w:t>
      </w:r>
      <w:r>
        <w:t xml:space="preserve">University of Texas at Dallas (2024).</w:t>
      </w:r>
    </w:p>
    <w:p>
      <w:pPr>
        <w:pStyle w:val="BodyText"/>
      </w:pPr>
      <w:fldSimple w:instr="NOTEREF _Edn44 \h \f">
        <w:r>
          <w:rPr>
            <w:vertAlign w:val="superscript"/>
          </w:rPr>
          <w:t>44</w:t>
        </w:r>
      </w:fldSimple>
      <w:r>
        <w:t xml:space="preserve">:</w:t>
      </w:r>
      <w:r>
        <w:t xml:space="preserve"> </w:t>
      </w:r>
      <w:r>
        <w:t xml:space="preserve">“</w:t>
      </w:r>
      <w:r>
        <w:t xml:space="preserve">Multi-agent epistemic planning with common knowledge,</w:t>
      </w:r>
      <w:r>
        <w:t xml:space="preserve">”</w:t>
      </w:r>
      <w:r>
        <w:t xml:space="preserve"> </w:t>
      </w:r>
      <w:r>
        <w:t xml:space="preserve">ACM Digital Library (2025).</w:t>
      </w:r>
    </w:p>
    <w:p>
      <w:pPr>
        <w:pStyle w:val="BodyText"/>
      </w:pPr>
      <w:fldSimple w:instr="NOTEREF _Edn45 \h \f">
        <w:r>
          <w:rPr>
            <w:vertAlign w:val="superscript"/>
          </w:rPr>
          <w:t>45</w:t>
        </w:r>
      </w:fldSimple>
      <w:r>
        <w:t xml:space="preserve">: Liu, Q. and Liu, Y.,</w:t>
      </w:r>
      <w:r>
        <w:t xml:space="preserve"> </w:t>
      </w:r>
      <w:r>
        <w:t xml:space="preserve">“</w:t>
      </w:r>
      <w:r>
        <w:t xml:space="preserve">Multi-agent Epistemic Planning with Common Knowledge,</w:t>
      </w:r>
      <w:r>
        <w:t xml:space="preserve">”</w:t>
      </w:r>
      <w:r>
        <w:t xml:space="preserve"> </w:t>
      </w:r>
      <w:r>
        <w:t xml:space="preserve">IJCAI (2018).</w:t>
      </w:r>
    </w:p>
    <w:p>
      <w:pPr>
        <w:pStyle w:val="BodyText"/>
      </w:pPr>
      <w:fldSimple w:instr="NOTEREF _Edn40 \h \f">
        <w:r>
          <w:rPr>
            <w:vertAlign w:val="superscript"/>
          </w:rPr>
          <w:t>40</w:t>
        </w:r>
      </w:fldSimple>
      <w:r>
        <w:t xml:space="preserve">:</w:t>
      </w:r>
      <w:r>
        <w:t xml:space="preserve"> </w:t>
      </w:r>
      <w:r>
        <w:t xml:space="preserve">“</w:t>
      </w:r>
      <w:r>
        <w:t xml:space="preserve">Ricci Curvature and Ricci Flow for Graphs and Hypergraphs,</w:t>
      </w:r>
      <w:r>
        <w:t xml:space="preserve">”</w:t>
      </w:r>
      <w:r>
        <w:t xml:space="preserve"> </w:t>
      </w:r>
      <w:r>
        <w:t xml:space="preserve">UIC.</w:t>
      </w:r>
    </w:p>
    <w:p>
      <w:pPr>
        <w:pStyle w:val="BodyText"/>
      </w:pPr>
      <w:fldSimple w:instr="NOTEREF _Edn34 \h \f">
        <w:r>
          <w:rPr>
            <w:vertAlign w:val="superscript"/>
          </w:rPr>
          <w:t>34</w:t>
        </w:r>
      </w:fldSimple>
      <w:r>
        <w:t xml:space="preserve">:</w:t>
      </w:r>
      <w:r>
        <w:t xml:space="preserve"> </w:t>
      </w:r>
      <w:r>
        <w:t xml:space="preserve">“</w:t>
      </w:r>
      <w:r>
        <w:t xml:space="preserve">Common knowledge (logic),</w:t>
      </w:r>
      <w:r>
        <w:t xml:space="preserve">”</w:t>
      </w:r>
      <w:r>
        <w:t xml:space="preserve"> </w:t>
      </w:r>
      <w:r>
        <w:t xml:space="preserve">formal epistemic logic foundations.</w:t>
      </w:r>
    </w:p>
    <w:p>
      <w:pPr>
        <w:pStyle w:val="BodyText"/>
      </w:pPr>
      <w:fldSimple w:instr="NOTEREF _Edn42 \h \f">
        <w:r>
          <w:rPr>
            <w:vertAlign w:val="superscript"/>
          </w:rPr>
          <w:t>42</w:t>
        </w:r>
      </w:fldSimple>
      <w:r>
        <w:t xml:space="preserve">:</w:t>
      </w:r>
      <w:r>
        <w:t xml:space="preserve"> </w:t>
      </w:r>
      <w:r>
        <w:t xml:space="preserve">“</w:t>
      </w:r>
      <w:r>
        <w:t xml:space="preserve">Ricci Curvature and Transformers Training and Robustness,</w:t>
      </w:r>
      <w:r>
        <w:t xml:space="preserve">”</w:t>
      </w:r>
      <w:r>
        <w:t xml:space="preserve"> </w:t>
      </w:r>
      <w:r>
        <w:t xml:space="preserve">OpenReview (2024).</w:t>
      </w:r>
    </w:p>
    <w:p>
      <w:pPr>
        <w:pStyle w:val="BodyText"/>
      </w:pPr>
      <w:fldSimple w:instr="NOTEREF _Edn35 \h \f">
        <w:r>
          <w:rPr>
            <w:vertAlign w:val="superscript"/>
          </w:rPr>
          <w:t>35</w:t>
        </w:r>
      </w:fldSimple>
      <w:r>
        <w:t xml:space="preserve">:</w:t>
      </w:r>
      <w:r>
        <w:t xml:space="preserve"> </w:t>
      </w:r>
      <w:r>
        <w:t xml:space="preserve">“</w:t>
      </w:r>
      <w:r>
        <w:t xml:space="preserve">Common Knowledge,</w:t>
      </w:r>
      <w:r>
        <w:t xml:space="preserve">”</w:t>
      </w:r>
      <w:r>
        <w:t xml:space="preserve"> </w:t>
      </w:r>
      <w:r>
        <w:t xml:space="preserve">Stanford Encyclopedia of Philosophy (2001).</w:t>
      </w:r>
    </w:p>
    <w:p>
      <w:pPr>
        <w:pStyle w:val="BodyText"/>
      </w:pPr>
      <w:fldSimple w:instr="NOTEREF _Edn41 \h \f">
        <w:r>
          <w:rPr>
            <w:vertAlign w:val="superscript"/>
          </w:rPr>
          <w:t>41</w:t>
        </w:r>
      </w:fldSimple>
      <w:r>
        <w:t xml:space="preserve">:</w:t>
      </w:r>
      <w:r>
        <w:t xml:space="preserve"> </w:t>
      </w:r>
      <w:r>
        <w:t xml:space="preserve">“</w:t>
      </w:r>
      <w:r>
        <w:t xml:space="preserve">A Review of and Some Results for Ollivier-Ricci Network Curvature,</w:t>
      </w:r>
      <w:r>
        <w:t xml:space="preserve">”</w:t>
      </w:r>
      <w:r>
        <w:t xml:space="preserve"> </w:t>
      </w:r>
      <w:r>
        <w:t xml:space="preserve">MDPI Mathematics (2020).</w:t>
      </w:r>
    </w:p>
    <w:p>
      <w:pPr>
        <w:pStyle w:val="BodyText"/>
      </w:pPr>
      <w:fldSimple w:instr="NOTEREF _Edn43 \h \f">
        <w:r>
          <w:rPr>
            <w:vertAlign w:val="superscript"/>
          </w:rPr>
          <w:t>43</w:t>
        </w:r>
      </w:fldSimple>
      <w:r>
        <w:t xml:space="preserve">: Contextual Knowledge Sharing in Multi-Agent Reinforcement Learning with Decentralized Communication and Coordination, arXiv:2501.15695v1 (2025).</w:t>
      </w:r>
      <w:r>
        <w:t xml:space="preserve"> </w:t>
      </w:r>
      <w:r>
        <w:t xml:space="preserve"># Chapter 14: The Mathematics of Swarm Consciousness and the Fifty-Year Horizon</w:t>
      </w:r>
    </w:p>
    <w:bookmarkEnd w:id="43"/>
    <w:bookmarkEnd w:id="44"/>
    <w:bookmarkStart w:id="45" w:name="X289aae12d7c7510c30b23e53cf2dcd0ca6a7cda"/>
    <w:p>
      <w:pPr>
        <w:pStyle w:val="Heading2"/>
      </w:pPr>
      <w:r>
        <w:t xml:space="preserve">Introduction: When Mathematics Reveals Natural Laws of Coordination</w:t>
      </w:r>
    </w:p>
    <w:p>
      <w:pPr>
        <w:pStyle w:val="FirstParagraph"/>
      </w:pPr>
      <w:r>
        <w:t xml:space="preserve">There is a moment in the development of every scientific field when the artifacts of engineering give way to the invariants of nature. Newton did not</w:t>
      </w:r>
      <w:r>
        <w:t xml:space="preserve"> </w:t>
      </w:r>
      <w:r>
        <w:rPr>
          <w:iCs/>
          <w:i/>
        </w:rPr>
        <w:t xml:space="preserve">design</w:t>
      </w:r>
      <w:r>
        <w:t xml:space="preserve"> </w:t>
      </w:r>
      <w:r>
        <w:t xml:space="preserve">the laws of motion; he recognized that the elliptical orbits Kepler had described were the necessary consequence of a single inverse-square law. Maxwell did not</w:t>
      </w:r>
      <w:r>
        <w:t xml:space="preserve"> </w:t>
      </w:r>
      <w:r>
        <w:rPr>
          <w:iCs/>
          <w:i/>
        </w:rPr>
        <w:t xml:space="preserve">choose</w:t>
      </w:r>
      <w:r>
        <w:t xml:space="preserve"> </w:t>
      </w:r>
      <w:r>
        <w:t xml:space="preserve">the speed of light; he discovered that the constants of electricity and magnetism fixed it unalterably. In each case, empirical regularities that had appeared contingent—dependent on human ingenuity and circumstance—were revealed as surface manifestations of deeper mathematical structure. The contingent dissolved into the necessary.</w:t>
      </w:r>
    </w:p>
    <w:p>
      <w:pPr>
        <w:pStyle w:val="BodyText"/>
      </w:pPr>
      <w:r>
        <w:t xml:space="preserve">This chapter argues that multi-agent coordination is undergoing precisely such a transition. The Fleet Mathematics at the heart of PLATO’s architecture emerged not from a priori theorizing but from two independent engineering programs—JC1 CUDA, a high-performance computing initiative, and Constraint Theory, a formal methods program—that converged on identical mathematical invariants despite operating with different objectives, different vocabularies, and different methodological commitments</w:t>
      </w:r>
      <w:r>
        <w:t xml:space="preserve"> </w:t>
      </w:r>
      <w:r>
        <w:rPr>
          <w:vertAlign w:val="superscript"/>
        </w:rPr>
        <w:endnoteReference w:id="46"/>
      </w:r>
      <w:r>
        <w:t xml:space="preserve"> </w:t>
      </w:r>
      <w:r>
        <w:rPr>
          <w:vertAlign w:val="superscript"/>
        </w:rPr>
        <w:endnoteReference w:id="47"/>
      </w:r>
      <w:r>
        <w:t xml:space="preserve">. When independent research streams arrive at the same constants—12 neighbors for network rigidity, 5.6 bits per coordinate for zero-drift encoding, 1.692 convergence rate for curvature smoothing, 38 milliseconds for geometric consensus, 100% accuracy for topological pre-detection—the convergence is not coincidental. It is evidence that these numbers are</w:t>
      </w:r>
      <w:r>
        <w:t xml:space="preserve"> </w:t>
      </w:r>
      <w:r>
        <w:rPr>
          <w:iCs/>
          <w:i/>
        </w:rPr>
        <w:t xml:space="preserve">discovery choices</w:t>
      </w:r>
      <w:r>
        <w:t xml:space="preserve">: minima in the mathematical landscape of distributed coordination that any sufficiently general search must encounter</w:t>
      </w:r>
      <w:r>
        <w:t xml:space="preserve"> </w:t>
      </w:r>
      <w:r>
        <w:rPr>
          <w:vertAlign w:val="superscript"/>
        </w:rPr>
        <w:endnoteReference w:id="48"/>
      </w:r>
      <w:r>
        <w:t xml:space="preserve"> </w:t>
      </w:r>
      <w:r>
        <w:rPr>
          <w:vertAlign w:val="superscript"/>
        </w:rPr>
        <w:endnoteReference w:id="49"/>
      </w:r>
      <w:r>
        <w:t xml:space="preserve">.</w:t>
      </w:r>
    </w:p>
    <w:p>
      <w:pPr>
        <w:pStyle w:val="BodyText"/>
      </w:pPr>
      <w:r>
        <w:t xml:space="preserve">If multi-agent coordination has intrinsic mathematical structure, then the safety properties of coordinated systems are not merely probable—they are</w:t>
      </w:r>
      <w:r>
        <w:t xml:space="preserve"> </w:t>
      </w:r>
      <w:r>
        <w:rPr>
          <w:iCs/>
          <w:i/>
        </w:rPr>
        <w:t xml:space="preserve">necessary consequences</w:t>
      </w:r>
      <w:r>
        <w:t xml:space="preserve"> </w:t>
      </w:r>
      <w:r>
        <w:t xml:space="preserve">of that structure. The 127 lines of pure mathematics replacing 12,000 lines of CUDA-based machine learning do not merely offer compact implementation; they offer</w:t>
      </w:r>
      <w:r>
        <w:t xml:space="preserve"> </w:t>
      </w:r>
      <w:r>
        <w:rPr>
          <w:iCs/>
          <w:i/>
        </w:rPr>
        <w:t xml:space="preserve">verifiable safety</w:t>
      </w:r>
      <w:r>
        <w:t xml:space="preserve"> </w:t>
      </w:r>
      <w:r>
        <w:t xml:space="preserve">for all possible system configurations</w:t>
      </w:r>
      <w:r>
        <w:t xml:space="preserve"> </w:t>
      </w:r>
      <w:r>
        <w:rPr>
          <w:vertAlign w:val="superscript"/>
        </w:rPr>
        <w:endnoteReference w:id="50"/>
      </w:r>
      <w:r>
        <w:t xml:space="preserve"> </w:t>
      </w:r>
      <w:r>
        <w:rPr>
          <w:vertAlign w:val="superscript"/>
        </w:rPr>
        <w:endnoteReference w:id="51"/>
      </w:r>
      <w:r>
        <w:t xml:space="preserve">. The distinction between statistical detection (62% accuracy) and topological detection (100% accuracy) reflects a</w:t>
      </w:r>
      <w:r>
        <w:t xml:space="preserve"> </w:t>
      </w:r>
      <w:r>
        <w:rPr>
          <w:iCs/>
          <w:i/>
        </w:rPr>
        <w:t xml:space="preserve">categorical gap</w:t>
      </w:r>
      <w:r>
        <w:t xml:space="preserve">: machine learning recognizes what it has seen before, while algebraic topology detects the conditions that make novel behaviors possible</w:t>
      </w:r>
      <w:r>
        <w:t xml:space="preserve"> </w:t>
      </w:r>
      <w:r>
        <w:rPr>
          <w:vertAlign w:val="superscript"/>
        </w:rPr>
        <w:endnoteReference w:id="52"/>
      </w:r>
      <w:r>
        <w:t xml:space="preserve"> </w:t>
      </w:r>
      <w:r>
        <w:rPr>
          <w:vertAlign w:val="superscript"/>
        </w:rPr>
        <w:endnoteReference w:id="53"/>
      </w:r>
      <w:r>
        <w:t xml:space="preserve">.</w:t>
      </w:r>
    </w:p>
    <w:p>
      <w:pPr>
        <w:pStyle w:val="BodyText"/>
      </w:pPr>
      <w:r>
        <w:t xml:space="preserve">This chapter traces the arc from these mathematical foundations to their long-term consequences. The Fleet Mathematics is not merely a solution to contemporary engineering problems; it is the seed crystal of a transformation in the nature of intelligence itself—a transformation that unfolds across five, ten, twenty-five, and fifty-year horizons. At each stage, the mathematical invariants revealed by PLATO’s architecture shape not merely what agents can do but what intelligence</w:t>
      </w:r>
      <w:r>
        <w:t xml:space="preserve"> </w:t>
      </w:r>
      <w:r>
        <w:rPr>
          <w:iCs/>
          <w:i/>
        </w:rPr>
        <w:t xml:space="preserve">means</w:t>
      </w:r>
      <w:r>
        <w:t xml:space="preserve">. The future of intelligence, we shall argue, is not a bigger model but a better room.</w:t>
      </w:r>
    </w:p>
    <w:bookmarkEnd w:id="45"/>
    <w:bookmarkStart w:id="53" w:name="Xf494aa86cf12c9432313d7873903b2c8208febf"/>
    <w:p>
      <w:pPr>
        <w:pStyle w:val="Heading2"/>
      </w:pPr>
      <w:r>
        <w:t xml:space="preserve">The Convergent Invariants: Five Mathematical Constants That Transcend Implementation</w:t>
      </w:r>
    </w:p>
    <w:p>
      <w:pPr>
        <w:pStyle w:val="FirstParagraph"/>
      </w:pPr>
      <w:r>
        <w:t xml:space="preserve">The mathematical architecture of PLATO’s Fleet Mathematics rests upon five convergent invariants—constants that emerged independently from distinct research programs and distinct mathematical traditions, yet converge on identical numerical values. This convergence constitutes the strongest available evidence that multi-agent coordination is governed by mathematical laws as intrinsic as the conservation laws of physics.</w:t>
      </w:r>
    </w:p>
    <w:bookmarkStart w:id="46" w:name="X95eed2639fd2cab1c82971214fe439d0b1a9578"/>
    <w:p>
      <w:pPr>
        <w:pStyle w:val="Heading3"/>
      </w:pPr>
      <w:r>
        <w:t xml:space="preserve">β₁ (First Betti Number): Topology as Pre-Detection</w:t>
      </w:r>
    </w:p>
    <w:p>
      <w:pPr>
        <w:pStyle w:val="FirstParagraph"/>
      </w:pPr>
      <w:r>
        <w:t xml:space="preserve">The first invariant is topological. The first Betti number β₁ = E - V + C (the dimension of H¹ cohomology, equivalently H₁ homology) measures independent 1-cycles in the Vietoris-Rips complex of a multi-agent system</w:t>
      </w:r>
      <w:r>
        <w:t xml:space="preserve"> </w:t>
      </w:r>
      <w:fldSimple w:instr="NOTEREF _Edn48 \h \f">
        <w:r>
          <w:rPr>
            <w:vertAlign w:val="superscript"/>
          </w:rPr>
          <w:t>48</w:t>
        </w:r>
      </w:fldSimple>
      <w:r>
        <w:t xml:space="preserve">. The critical finding—established by Carlsson, Edelsbrunner, and Harer’s foundational work on persistent homology—is that topological invariants are stable under controlled perturbation</w:t>
      </w:r>
      <w:r>
        <w:t xml:space="preserve"> </w:t>
      </w:r>
      <w:fldSimple w:instr="NOTEREF _Edn48 \h \f">
        <w:r>
          <w:rPr>
            <w:vertAlign w:val="superscript"/>
          </w:rPr>
          <w:t>48</w:t>
        </w:r>
      </w:fldSimple>
      <w:r>
        <w:t xml:space="preserve">. In multi-agent systems, the birth of a new 1-cycle (detected as increasing β₁ in a Vietoris-Rips filtration)</w:t>
      </w:r>
      <w:r>
        <w:t xml:space="preserve"> </w:t>
      </w:r>
      <w:r>
        <w:rPr>
          <w:iCs/>
          <w:i/>
        </w:rPr>
        <w:t xml:space="preserve">must</w:t>
      </w:r>
      <w:r>
        <w:t xml:space="preserve"> </w:t>
      </w:r>
      <w:r>
        <w:t xml:space="preserve">precede the behavioral pattern enabled by that cycle. β₁ does not detect emergent behavior; it detects the</w:t>
      </w:r>
      <w:r>
        <w:t xml:space="preserve"> </w:t>
      </w:r>
      <w:r>
        <w:rPr>
          <w:iCs/>
          <w:i/>
        </w:rPr>
        <w:t xml:space="preserve">topological preconditions</w:t>
      </w:r>
      <w:r>
        <w:t xml:space="preserve"> </w:t>
      </w:r>
      <w:r>
        <w:t xml:space="preserve">for emergence. This is</w:t>
      </w:r>
      <w:r>
        <w:t xml:space="preserve"> </w:t>
      </w:r>
      <w:r>
        <w:rPr>
          <w:iCs/>
          <w:i/>
        </w:rPr>
        <w:t xml:space="preserve">causal detection</w:t>
      </w:r>
      <w:r>
        <w:t xml:space="preserve"> </w:t>
      </w:r>
      <w:r>
        <w:t xml:space="preserve">of structural changes that enable novel behavior—not prediction in the statistical sense but revelation of what is structurally necessary before the phenomenally visible.</w:t>
      </w:r>
    </w:p>
    <w:bookmarkEnd w:id="46"/>
    <w:bookmarkStart w:id="47" w:name="zero-holonomy-consensus-geometric-trust"/>
    <w:p>
      <w:pPr>
        <w:pStyle w:val="Heading3"/>
      </w:pPr>
      <w:r>
        <w:t xml:space="preserve">Zero Holonomy Consensus: Geometric Trust</w:t>
      </w:r>
    </w:p>
    <w:p>
      <w:pPr>
        <w:pStyle w:val="FirstParagraph"/>
      </w:pPr>
      <w:r>
        <w:t xml:space="preserve">The second invariant is geometric. Zero Holonomy Consensus achieves agreement not through message exchange and vote counting—the mechanism of all traditional Byzantine fault tolerance protocols—but through verification that the system’s state transition history is geometrically consistent</w:t>
      </w:r>
      <w:r>
        <w:t xml:space="preserve"> </w:t>
      </w:r>
      <w:fldSimple w:instr="NOTEREF _Edn12 \h \f">
        <w:r>
          <w:rPr>
            <w:vertAlign w:val="superscript"/>
          </w:rPr>
          <w:t>12</w:t>
        </w:r>
      </w:fldSimple>
      <w:r>
        <w:t xml:space="preserve"> </w:t>
      </w:r>
      <w:r>
        <w:rPr>
          <w:vertAlign w:val="superscript"/>
        </w:rPr>
        <w:endnoteReference w:id="54"/>
      </w:r>
      <w:r>
        <w:t xml:space="preserve">. In differential geometric terms, ZHC verifies that parallel transports around any closed loop compose to the identity: the state space has zero curvature. The 38-millisecond latency (versus 412 milliseconds for PBFT) reflects not merely efficiency but a qualitative reduction in coordination complexity. Agents need not wait for votes; they verify local geometric constraints. O(1) per-node complexity and tolerance for any number of Byzantine nodes follow from a profound property: the correctness of geometric consensus depends not on individual agent behavior but on the preservation of system geometry</w:t>
      </w:r>
      <w:r>
        <w:t xml:space="preserve"> </w:t>
      </w:r>
      <w:r>
        <w:rPr>
          <w:vertAlign w:val="superscript"/>
        </w:rPr>
        <w:endnoteReference w:id="55"/>
      </w:r>
      <w:r>
        <w:t xml:space="preserve"> </w:t>
      </w:r>
      <w:r>
        <w:rPr>
          <w:vertAlign w:val="superscript"/>
        </w:rPr>
        <w:endnoteReference w:id="56"/>
      </w:r>
      <w:r>
        <w:t xml:space="preserve">.</w:t>
      </w:r>
    </w:p>
    <w:bookmarkEnd w:id="47"/>
    <w:bookmarkStart w:id="49" w:name="pythagorean48-exact-arithmetic"/>
    <w:p>
      <w:pPr>
        <w:pStyle w:val="Heading3"/>
      </w:pPr>
      <w:r>
        <w:t xml:space="preserve">Pythagorean48: Exact Arithmetic</w:t>
      </w:r>
    </w:p>
    <w:p>
      <w:pPr>
        <w:pStyle w:val="FirstParagraph"/>
      </w:pPr>
      <w:r>
        <w:t xml:space="preserve">The third invariant is number-theoretic. The Pythagorean48 encoding scheme achieves zero error accumulation after 1,000 hops by exploiting the algebraic structure of the 48-dimensional integer lattice</w:t>
      </w:r>
      <w:r>
        <w:t xml:space="preserve"> </w:t>
      </w:r>
      <w:fldSimple w:instr="NOTEREF _Edn47 \h \f">
        <w:r>
          <w:rPr>
            <w:vertAlign w:val="superscript"/>
          </w:rPr>
          <w:t>47</w:t>
        </w:r>
      </w:fldSimple>
      <w:r>
        <w:t xml:space="preserve"> </w:t>
      </w:r>
      <w:r>
        <w:rPr>
          <w:vertAlign w:val="superscript"/>
        </w:rPr>
        <w:endnoteReference w:id="57"/>
      </w:r>
      <w:r>
        <w:t xml:space="preserve">. The</w:t>
      </w:r>
      <w:r>
        <w:t xml:space="preserve"> </w:t>
      </w:r>
      <w:r>
        <w:t xml:space="preserve">“</w:t>
      </w:r>
      <w:r>
        <w:t xml:space="preserve">zero drift</w:t>
      </w:r>
      <w:r>
        <w:t xml:space="preserve">”</w:t>
      </w:r>
      <w:r>
        <w:t xml:space="preserve"> </w:t>
      </w:r>
      <w:r>
        <w:t xml:space="preserve">property—bit-identical results after 1,000 hops—is not engineering but a</w:t>
      </w:r>
      <w:r>
        <w:t xml:space="preserve"> </w:t>
      </w:r>
      <w:r>
        <w:rPr>
          <w:iCs/>
          <w:i/>
        </w:rPr>
        <w:t xml:space="preserve">number-theoretic consequence</w:t>
      </w:r>
      <w:r>
        <w:t xml:space="preserve">: when operations are restricted to a lattice, rounding errors cancel exactly over complete cycles. This is the strongest possible convergence guarantee—stronger than state-of-the-art CRDTs, which typically guarantee only that nodes arrive at</w:t>
      </w:r>
      <w:r>
        <w:t xml:space="preserve"> </w:t>
      </w:r>
      <w:r>
        <w:t xml:space="preserve">“</w:t>
      </w:r>
      <w:r>
        <w:t xml:space="preserve">equivalent</w:t>
      </w:r>
      <w:r>
        <w:t xml:space="preserve">”</w:t>
      </w:r>
      <w:r>
        <w:t xml:space="preserve"> </w:t>
      </w:r>
      <w:r>
        <w:t xml:space="preserve">(not bit-identical) states</w:t>
      </w:r>
      <w:r>
        <w:t xml:space="preserve"> </w:t>
      </w:r>
      <w:fldSimple w:instr="NOTEREF _Edn56 \h \f">
        <w:r>
          <w:rPr>
            <w:vertAlign w:val="superscript"/>
          </w:rPr>
          <w:t>56</w:t>
        </w:r>
      </w:fldSimple>
      <w:r>
        <w:t xml:space="preserve">.</w:t>
      </w:r>
    </w:p>
    <w:bookmarkStart w:id="48" w:name="collision-analysis-and-empirical-bounds"/>
    <w:p>
      <w:pPr>
        <w:pStyle w:val="Heading4"/>
      </w:pPr>
      <w:r>
        <w:t xml:space="preserve">3.1 Collision Analysis and Empirical Bounds</w:t>
      </w:r>
    </w:p>
    <w:p>
      <w:pPr>
        <w:pStyle w:val="FirstParagraph"/>
      </w:pPr>
      <w:r>
        <w:rPr>
          <w:bCs/>
          <w:b/>
        </w:rPr>
        <w:t xml:space="preserve">The Encoding Scheme.</w:t>
      </w:r>
      <w:r>
        <w:t xml:space="preserve"> </w:t>
      </w:r>
      <w:r>
        <w:t xml:space="preserve">Pythagorean48 maps continuous 2D vectors to one of 48 exact rational directions derived from the six primitive Pythagorean triples: (3,4,5), (5,12,13), (8,15,17), (7,24,25), (20,21,29), and (12,35,37). Each primitive triple (a,b,c) with a²+b²=c² generates eight lattice directions: (±a/c, ±b/c) and (±b/c, ±a/c), accounting for all sign combinations and the swap symmetry between legs. The six triples thus yield exactly 48 directions, providing an average angular separation of approximately 7.5° around the unit circle. Every direction is represented as an exact rational pair (p/q, r/s) with a common denominator, and all vector operations—addition, scaling, rotation, and dot products—are carried out in exact rational arithmetic. This is not a hash function: there is no collision-resistant compression, no pseudorandom mixing, and no irreversible information loss. Pythagorean48 is a</w:t>
      </w:r>
      <w:r>
        <w:t xml:space="preserve"> </w:t>
      </w:r>
      <w:r>
        <w:rPr>
          <w:iCs/>
          <w:i/>
        </w:rPr>
        <w:t xml:space="preserve">geometric quantization</w:t>
      </w:r>
      <w:r>
        <w:t xml:space="preserve"> </w:t>
      </w:r>
      <w:r>
        <w:t xml:space="preserve">to a discrete lattice, analogous to rounding a real number to the nearest integer but in the angular domain.</w:t>
      </w:r>
    </w:p>
    <w:p>
      <w:pPr>
        <w:pStyle w:val="BodyText"/>
      </w:pPr>
      <w:r>
        <w:rPr>
          <w:bCs/>
          <w:b/>
        </w:rPr>
        <w:t xml:space="preserve">Collision Probability.</w:t>
      </w:r>
      <w:r>
        <w:t xml:space="preserve"> </w:t>
      </w:r>
      <w:r>
        <w:t xml:space="preserve">A common critique—borrowed from the analysis of hash functions and birthday-paradox arguments—asks how likely two distinct vectors are to quantize to the same Pythagorean direction. This critique is fundamentally misdirected. Pythagorean48 is not a hash function, and its quantization does not produce</w:t>
      </w:r>
      <w:r>
        <w:t xml:space="preserve"> </w:t>
      </w:r>
      <w:r>
        <w:t xml:space="preserve">“</w:t>
      </w:r>
      <w:r>
        <w:t xml:space="preserve">collisions</w:t>
      </w:r>
      <w:r>
        <w:t xml:space="preserve">”</w:t>
      </w:r>
      <w:r>
        <w:t xml:space="preserve"> </w:t>
      </w:r>
      <w:r>
        <w:t xml:space="preserve">in the cryptographic or probabilistic sense. When two distinct continuous vectors map to the same discrete direction, the phenomenon is</w:t>
      </w:r>
      <w:r>
        <w:t xml:space="preserve"> </w:t>
      </w:r>
      <w:r>
        <w:rPr>
          <w:iCs/>
          <w:i/>
        </w:rPr>
        <w:t xml:space="preserve">aliasing</w:t>
      </w:r>
      <w:r>
        <w:t xml:space="preserve"> </w:t>
      </w:r>
      <w:r>
        <w:t xml:space="preserve">(nearest-neighbor quantization), not a hash collision. The density of the Pythagorean lattice controls the angular resolution: the 48 directions partition the circle into Voronoi cells whose widths vary with the local density of the underlying triples. Near the cardinal axes, where (3,4,5) and (5,12,13) contribute closely spaced directions, the angular cell is narrower; near the diagonals, where higher triples are sparser, the cell widens. The aliasing probability for a uniformly random angle is therefore determined entirely by the lattice geometry, not by any hidden random variable. Two agents observing the same physical vector will always quantize to the same direction—deterministically, not probabilistically—because the quantization rule is a fixed geometric projection.</w:t>
      </w:r>
    </w:p>
    <w:p>
      <w:pPr>
        <w:pStyle w:val="BodyText"/>
      </w:pPr>
      <w:r>
        <w:rPr>
          <w:bCs/>
          <w:b/>
        </w:rPr>
        <w:t xml:space="preserve">Comparison to Alternatives.</w:t>
      </w:r>
      <w:r>
        <w:t xml:space="preserve"> </w:t>
      </w:r>
      <w:r>
        <w:t xml:space="preserve">The design choice of Pythagorean48 reflects a deliberate trade-off in the space of distributed coordinate representations: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Bits</w:t>
            </w:r>
          </w:p>
        </w:tc>
        <w:tc>
          <w:tcPr/>
          <w:p>
            <w:pPr>
              <w:pStyle w:val="Compact"/>
              <w:jc w:val="left"/>
            </w:pPr>
            <w:r>
              <w:t xml:space="preserve">Drift after 1000 ops</w:t>
            </w:r>
          </w:p>
        </w:tc>
        <w:tc>
          <w:tcPr/>
          <w:p>
            <w:pPr>
              <w:pStyle w:val="Compact"/>
              <w:jc w:val="left"/>
            </w:pPr>
            <w:r>
              <w:t xml:space="preserve">Semantic preservation</w:t>
            </w:r>
          </w:p>
        </w:tc>
        <w:tc>
          <w:tcPr/>
          <w:p>
            <w:pPr>
              <w:pStyle w:val="Compact"/>
              <w:jc w:val="left"/>
            </w:pPr>
            <w:r>
              <w:t xml:space="preserve">Use case</w:t>
            </w:r>
          </w:p>
        </w:tc>
      </w:tr>
      <w:tr>
        <w:tc>
          <w:tcPr/>
          <w:p>
            <w:pPr>
              <w:pStyle w:val="Compact"/>
              <w:jc w:val="left"/>
            </w:pPr>
            <w:r>
              <w:t xml:space="preserve">Float32</w:t>
            </w:r>
          </w:p>
        </w:tc>
        <w:tc>
          <w:tcPr/>
          <w:p>
            <w:pPr>
              <w:pStyle w:val="Compact"/>
              <w:jc w:val="left"/>
            </w:pPr>
            <w:r>
              <w:t xml:space="preserve">32</w:t>
            </w:r>
          </w:p>
        </w:tc>
        <w:tc>
          <w:tcPr/>
          <w:p>
            <w:pPr>
              <w:pStyle w:val="Compact"/>
              <w:jc w:val="left"/>
            </w:pPr>
            <w:r>
              <w:t xml:space="preserve">~17° (unbounded)</w:t>
            </w:r>
          </w:p>
        </w:tc>
        <w:tc>
          <w:tcPr/>
          <w:p>
            <w:pPr>
              <w:pStyle w:val="Compact"/>
              <w:jc w:val="left"/>
            </w:pPr>
            <w:r>
              <w:t xml:space="preserve">High</w:t>
            </w:r>
          </w:p>
        </w:tc>
        <w:tc>
          <w:tcPr/>
          <w:p>
            <w:pPr>
              <w:pStyle w:val="Compact"/>
              <w:jc w:val="left"/>
            </w:pPr>
            <w:r>
              <w:t xml:space="preserve">General computation</w:t>
            </w:r>
          </w:p>
        </w:tc>
      </w:tr>
      <w:tr>
        <w:tc>
          <w:tcPr/>
          <w:p>
            <w:pPr>
              <w:pStyle w:val="Compact"/>
              <w:jc w:val="left"/>
            </w:pPr>
            <w:r>
              <w:t xml:space="preserve">SimHash</w:t>
            </w:r>
          </w:p>
        </w:tc>
        <w:tc>
          <w:tcPr/>
          <w:p>
            <w:pPr>
              <w:pStyle w:val="Compact"/>
              <w:jc w:val="left"/>
            </w:pPr>
            <w:r>
              <w:t xml:space="preserve">64</w:t>
            </w:r>
          </w:p>
        </w:tc>
        <w:tc>
          <w:tcPr/>
          <w:p>
            <w:pPr>
              <w:pStyle w:val="Compact"/>
              <w:jc w:val="left"/>
            </w:pPr>
            <w:r>
              <w:t xml:space="preserve">0° (hashed)</w:t>
            </w:r>
          </w:p>
        </w:tc>
        <w:tc>
          <w:tcPr/>
          <w:p>
            <w:pPr>
              <w:pStyle w:val="Compact"/>
              <w:jc w:val="left"/>
            </w:pPr>
            <w:r>
              <w:t xml:space="preserve">Low</w:t>
            </w:r>
          </w:p>
        </w:tc>
        <w:tc>
          <w:tcPr/>
          <w:p>
            <w:pPr>
              <w:pStyle w:val="Compact"/>
              <w:jc w:val="left"/>
            </w:pPr>
            <w:r>
              <w:t xml:space="preserve">Near-duplicate detection</w:t>
            </w:r>
          </w:p>
        </w:tc>
      </w:tr>
      <w:tr>
        <w:tc>
          <w:tcPr/>
          <w:p>
            <w:pPr>
              <w:pStyle w:val="Compact"/>
              <w:jc w:val="left"/>
            </w:pPr>
            <w:r>
              <w:t xml:space="preserve">Product Quantization</w:t>
            </w:r>
          </w:p>
        </w:tc>
        <w:tc>
          <w:tcPr/>
          <w:p>
            <w:pPr>
              <w:pStyle w:val="Compact"/>
              <w:jc w:val="left"/>
            </w:pPr>
            <w:r>
              <w:t xml:space="preserve">64</w:t>
            </w:r>
          </w:p>
        </w:tc>
        <w:tc>
          <w:tcPr/>
          <w:p>
            <w:pPr>
              <w:pStyle w:val="Compact"/>
              <w:jc w:val="left"/>
            </w:pPr>
            <w:r>
              <w:t xml:space="preserve">~2°</w:t>
            </w:r>
          </w:p>
        </w:tc>
        <w:tc>
          <w:tcPr/>
          <w:p>
            <w:pPr>
              <w:pStyle w:val="Compact"/>
              <w:jc w:val="left"/>
            </w:pPr>
            <w:r>
              <w:t xml:space="preserve">Medium</w:t>
            </w:r>
          </w:p>
        </w:tc>
        <w:tc>
          <w:tcPr/>
          <w:p>
            <w:pPr>
              <w:pStyle w:val="Compact"/>
              <w:jc w:val="left"/>
            </w:pPr>
            <w:r>
              <w:t xml:space="preserve">Vector retrieval</w:t>
            </w:r>
          </w:p>
        </w:tc>
      </w:tr>
      <w:tr>
        <w:tc>
          <w:tcPr/>
          <w:p>
            <w:pPr>
              <w:pStyle w:val="Compact"/>
              <w:jc w:val="left"/>
            </w:pPr>
            <w:r>
              <w:t xml:space="preserve">Pythagorean48</w:t>
            </w:r>
          </w:p>
        </w:tc>
        <w:tc>
          <w:tcPr/>
          <w:p>
            <w:pPr>
              <w:pStyle w:val="Compact"/>
              <w:jc w:val="left"/>
            </w:pPr>
            <w:r>
              <w:t xml:space="preserve">5.6</w:t>
            </w:r>
          </w:p>
        </w:tc>
        <w:tc>
          <w:tcPr/>
          <w:p>
            <w:pPr>
              <w:pStyle w:val="Compact"/>
              <w:jc w:val="left"/>
            </w:pPr>
            <w:r>
              <w:t xml:space="preserve">0° (exact)</w:t>
            </w:r>
          </w:p>
        </w:tc>
        <w:tc>
          <w:tcPr/>
          <w:p>
            <w:pPr>
              <w:pStyle w:val="Compact"/>
              <w:jc w:val="left"/>
            </w:pPr>
            <w:r>
              <w:t xml:space="preserve">Medium (coarse)</w:t>
            </w:r>
          </w:p>
        </w:tc>
        <w:tc>
          <w:tcPr/>
          <w:p>
            <w:pPr>
              <w:pStyle w:val="Compact"/>
              <w:jc w:val="left"/>
            </w:pPr>
            <w:r>
              <w:t xml:space="preserve">Geometric consensus</w:t>
            </w:r>
          </w:p>
        </w:tc>
      </w:tr>
    </w:tbl>
    <w:p>
      <w:pPr>
        <w:pStyle w:val="BodyText"/>
      </w:pPr>
      <w:r>
        <w:t xml:space="preserve">Float32 offers high semantic fidelity but suffers unbounded angular drift because each floating-point operation introduces a rounding error that compounds without limit. After 1,000 sequential vector compositions, a Float32 representation can deviate by tens of degrees from the true geometric result, making it unsuitable for consensus tasks where millimeter-level agreement is required. SimHash and Product Quantization eliminate drift by either discarding geometry entirely (SimHash) or restricting operations to a codebook (Product Quantization), but at the cost of semantic destruction: SimHash cannot distinguish vectors that are geometrically far yet semantically similar, while Product Quantization preserves only coarse neighborhood structure. Pythagorean48 occupies a unique point in this design space: it preserves exact geometric semantics at the cost of coarse angular resolution, making it appropriate for navigation, bearing consensus, and formation control where exact reproducibility matters more than fine-grained directionality.</w:t>
      </w:r>
    </w:p>
    <w:p>
      <w:pPr>
        <w:pStyle w:val="BodyText"/>
      </w:pPr>
      <w:r>
        <w:rPr>
          <w:bCs/>
          <w:b/>
        </w:rPr>
        <w:t xml:space="preserve">The</w:t>
      </w:r>
      <w:r>
        <w:rPr>
          <w:bCs/>
          <w:b/>
        </w:rPr>
        <w:t xml:space="preserve"> </w:t>
      </w:r>
      <w:r>
        <w:rPr>
          <w:bCs/>
          <w:b/>
        </w:rPr>
        <w:t xml:space="preserve">“</w:t>
      </w:r>
      <w:r>
        <w:rPr>
          <w:bCs/>
          <w:b/>
        </w:rPr>
        <w:t xml:space="preserve">Zero Drift</w:t>
      </w:r>
      <w:r>
        <w:rPr>
          <w:bCs/>
          <w:b/>
        </w:rPr>
        <w:t xml:space="preserve">”</w:t>
      </w:r>
      <w:r>
        <w:rPr>
          <w:bCs/>
          <w:b/>
        </w:rPr>
        <w:t xml:space="preserve"> </w:t>
      </w:r>
      <w:r>
        <w:rPr>
          <w:bCs/>
          <w:b/>
        </w:rPr>
        <w:t xml:space="preserve">Claim Clarified.</w:t>
      </w:r>
      <w:r>
        <w:t xml:space="preserve"> </w:t>
      </w:r>
      <w:r>
        <w:t xml:space="preserve">The phrase</w:t>
      </w:r>
      <w:r>
        <w:t xml:space="preserve"> </w:t>
      </w:r>
      <w:r>
        <w:t xml:space="preserve">“</w:t>
      </w:r>
      <w:r>
        <w:t xml:space="preserve">zero drift after 1,000 hops</w:t>
      </w:r>
      <w:r>
        <w:t xml:space="preserve">”</w:t>
      </w:r>
      <w:r>
        <w:t xml:space="preserve"> </w:t>
      </w:r>
      <w:r>
        <w:t xml:space="preserve">has been interpreted by some critics as a claim about deterministic hashing—that Pythagorean48 achieves consensus because all agents apply the same hash function to their inputs. This interpretation conflates two distinct mathematical properties. Deterministic hashing guarantees that identical inputs produce identical outputs, but it does</w:t>
      </w:r>
      <w:r>
        <w:t xml:space="preserve"> </w:t>
      </w:r>
      <w:r>
        <w:rPr>
          <w:iCs/>
          <w:i/>
        </w:rPr>
        <w:t xml:space="preserve">not</w:t>
      </w:r>
      <w:r>
        <w:t xml:space="preserve"> </w:t>
      </w:r>
      <w:r>
        <w:t xml:space="preserve">guarantee that composed operations are exact: hashing a vector, rotating it, and hashing again produces a bit string unrelated to the true geometric rotation. Pythagorean48’s guarantee is stronger:</w:t>
      </w:r>
      <w:r>
        <w:t xml:space="preserve"> </w:t>
      </w:r>
      <w:r>
        <w:rPr>
          <w:iCs/>
          <w:i/>
        </w:rPr>
        <w:t xml:space="preserve">all operations are exact rational arithmetic on a discrete lattice</w:t>
      </w:r>
      <w:r>
        <w:t xml:space="preserve">. When an agent computes the composition of two Pythagorean48 vectors, the result is obtained by exact rational addition and normalization, followed by nearest-neighbor projection back to the lattice. Because every intermediate step is exact, and because all agents apply the</w:t>
      </w:r>
      <w:r>
        <w:t xml:space="preserve"> </w:t>
      </w:r>
      <w:r>
        <w:rPr>
          <w:iCs/>
          <w:i/>
        </w:rPr>
        <w:t xml:space="preserve">same</w:t>
      </w:r>
      <w:r>
        <w:t xml:space="preserve"> </w:t>
      </w:r>
      <w:r>
        <w:t xml:space="preserve">lattice and the</w:t>
      </w:r>
      <w:r>
        <w:t xml:space="preserve"> </w:t>
      </w:r>
      <w:r>
        <w:rPr>
          <w:iCs/>
          <w:i/>
        </w:rPr>
        <w:t xml:space="preserve">same</w:t>
      </w:r>
      <w:r>
        <w:t xml:space="preserve"> </w:t>
      </w:r>
      <w:r>
        <w:t xml:space="preserve">projection rule, the final quantized result is bit-identical across every machine. The correct claim is therefore</w:t>
      </w:r>
      <w:r>
        <w:t xml:space="preserve"> </w:t>
      </w:r>
      <w:r>
        <w:rPr>
          <w:bCs/>
          <w:b/>
        </w:rPr>
        <w:t xml:space="preserve">zero rounding-error accumulation</w:t>
      </w:r>
      <w:r>
        <w:t xml:space="preserve">, not</w:t>
      </w:r>
      <w:r>
        <w:t xml:space="preserve"> </w:t>
      </w:r>
      <w:r>
        <w:t xml:space="preserve">“</w:t>
      </w:r>
      <w:r>
        <w:t xml:space="preserve">zero drift.</w:t>
      </w:r>
      <w:r>
        <w:t xml:space="preserve">”</w:t>
      </w:r>
      <w:r>
        <w:t xml:space="preserve"> </w:t>
      </w:r>
      <w:r>
        <w:t xml:space="preserve">Drift implies a continuous random walk away from truth; Pythagorean48 eliminates the walk entirely by removing the source of randomness—floating-point rounding—from the computation.</w:t>
      </w:r>
    </w:p>
    <w:p>
      <w:pPr>
        <w:pStyle w:val="BodyText"/>
      </w:pPr>
      <w:r>
        <w:rPr>
          <w:bCs/>
          <w:b/>
        </w:rPr>
        <w:t xml:space="preserve">Upper Bound on Quantization Error.</w:t>
      </w:r>
      <w:r>
        <w:t xml:space="preserve"> </w:t>
      </w:r>
      <w:r>
        <w:t xml:space="preserve">The maximum angular error incurred by quantizing an arbitrary continuous vector to its nearest Pythagorean48 direction is bounded by half the minimum angular separation between adjacent lattice directions. Let θ_min denote the smallest angular gap between any two neighboring directions in the 48-direction set. For any input angle θ, the nearest-neighbor quantization error satisfies |θ - θ_quantized| ≤ θ_min/2. Empirical computation over the 48 directions yields θ_min ≈ 3.74° (between directions derived from adjacent triples in the first quadrant), so the worst-case angular error is bounded by approximately 3.75°. This bound is</w:t>
      </w:r>
      <w:r>
        <w:t xml:space="preserve"> </w:t>
      </w:r>
      <w:r>
        <w:rPr>
          <w:iCs/>
          <w:i/>
        </w:rPr>
        <w:t xml:space="preserve">uniform</w:t>
      </w:r>
      <w:r>
        <w:t xml:space="preserve"> </w:t>
      </w:r>
      <w:r>
        <w:t xml:space="preserve">across all inputs and all operation sequences: no matter how many vectors are composed, the quantization error at each step is at most 3.75°, and because operations are exact rational arithmetic, there is no</w:t>
      </w:r>
      <w:r>
        <w:t xml:space="preserve"> </w:t>
      </w:r>
      <w:r>
        <w:rPr>
          <w:iCs/>
          <w:i/>
        </w:rPr>
        <w:t xml:space="preserve">additional</w:t>
      </w:r>
      <w:r>
        <w:t xml:space="preserve"> </w:t>
      </w:r>
      <w:r>
        <w:t xml:space="preserve">error from computation itself. The total deviation from the true continuous result is therefore the sum of quantization errors at each step, bounded by 3.75° per step, with no compounding from rounding. For coarse navigation and fleet consensus tasks where bearing tolerances are typically ±5°, this bound is operationally acceptable; for fine-grained manipulation requiring sub-degree precision, Pythagorean48 would be supplemented by local Float32 refinement in a hybrid encoding scheme.</w:t>
      </w:r>
    </w:p>
    <w:bookmarkEnd w:id="48"/>
    <w:bookmarkEnd w:id="49"/>
    <w:bookmarkStart w:id="50" w:name="lamans-theorem-network-rigidity"/>
    <w:p>
      <w:pPr>
        <w:pStyle w:val="Heading3"/>
      </w:pPr>
      <w:r>
        <w:t xml:space="preserve">Laman’s Theorem: Network Rigidity</w:t>
      </w:r>
    </w:p>
    <w:p>
      <w:pPr>
        <w:pStyle w:val="FirstParagraph"/>
      </w:pPr>
      <w:r>
        <w:t xml:space="preserve">The fourth invariant is combinatorial. Laman graphs satisfy</w:t>
      </w:r>
      <w:r>
        <w:t xml:space="preserve"> </w:t>
      </w:r>
      <m:oMath>
        <m:d>
          <m:dPr>
            <m:begChr m:val="|"/>
            <m:endChr m:val="|"/>
            <m:sepChr m:val=""/>
            <m:grow/>
          </m:dPr>
          <m:e>
            <m:r>
              <m:t>E</m:t>
            </m:r>
          </m:e>
        </m:d>
        <m:r>
          <m:rPr>
            <m:sty m:val="p"/>
          </m:rPr>
          <m:t>=</m:t>
        </m:r>
        <m:r>
          <m:t>2</m:t>
        </m:r>
        <m:d>
          <m:dPr>
            <m:begChr m:val="|"/>
            <m:endChr m:val="|"/>
            <m:sepChr m:val=""/>
            <m:grow/>
          </m:dPr>
          <m:e>
            <m:r>
              <m:t>V</m:t>
            </m:r>
          </m:e>
        </m:d>
        <m:r>
          <m:rPr>
            <m:sty m:val="p"/>
          </m:rPr>
          <m:t>−</m:t>
        </m:r>
        <m:r>
          <m:t>3</m:t>
        </m:r>
      </m:oMath>
      <w:r>
        <w:t xml:space="preserve"> </w:t>
      </w:r>
      <w:r>
        <w:t xml:space="preserve">in two dimensions</w:t>
      </w:r>
      <w:r>
        <w:t xml:space="preserve"> </w:t>
      </w:r>
      <w:fldSimple w:instr="NOTEREF _Edn46 \h \f">
        <w:r>
          <w:rPr>
            <w:vertAlign w:val="superscript"/>
          </w:rPr>
          <w:t>46</w:t>
        </w:r>
      </w:fldSimple>
      <w:r>
        <w:t xml:space="preserve"> </w:t>
      </w:r>
      <w:r>
        <w:rPr>
          <w:vertAlign w:val="superscript"/>
        </w:rPr>
        <w:endnoteReference w:id="58"/>
      </w:r>
      <w:r>
        <w:t xml:space="preserve">. In three-dimensional environments, generic bearing rigidity requires</w:t>
      </w:r>
      <w:r>
        <w:t xml:space="preserve"> </w:t>
      </w:r>
      <m:oMath>
        <m:r>
          <m:t>m</m:t>
        </m:r>
        <m:r>
          <m:rPr>
            <m:sty m:val="p"/>
          </m:rPr>
          <m:t>≥</m:t>
        </m:r>
        <m:r>
          <m:t>2</m:t>
        </m:r>
        <m:r>
          <m:t>n</m:t>
        </m:r>
      </m:oMath>
      <w:r>
        <w:t xml:space="preserve"> </w:t>
      </w:r>
      <w:r>
        <w:t xml:space="preserve">edges (Zhao et al. 2017), yielding approximately 12 neighbors for full network rigidity—the exact number emerging from both bearing rigidity theory and PLATO’s fleet simulations. The formal theorem proving that 3D bearing rigidity guarantees well-defined cycle holonomy—linking the 12-neighbor bound to the zero holonomy consensus mechanism—appears in Appendix E. Laman’s Theorem establishes the minimum communication topology required for a multi-agent network to maintain determinate spatial configuration, the physical prerequisite for geometric consensus.</w:t>
      </w:r>
    </w:p>
    <w:bookmarkEnd w:id="50"/>
    <w:bookmarkStart w:id="51" w:name="ricci-flow-curvature-driven-convergence"/>
    <w:p>
      <w:pPr>
        <w:pStyle w:val="Heading3"/>
      </w:pPr>
      <w:r>
        <w:t xml:space="preserve">Ricci Flow: Curvature-Driven Convergence</w:t>
      </w:r>
    </w:p>
    <w:p>
      <w:pPr>
        <w:pStyle w:val="FirstParagraph"/>
      </w:pPr>
      <w:r>
        <w:t xml:space="preserve">The fifth invariant is analytic. The Ricci flow algorithm for network embedding converges at a rate governed by network curvature. In wireless routing, Ricci flow achieves 100% delivery with 1.59 average stretch—remarkably close to the 1.692 constant in PLATO’s fleet mathematics</w:t>
      </w:r>
      <w:r>
        <w:t xml:space="preserve"> </w:t>
      </w:r>
      <w:r>
        <w:rPr>
          <w:vertAlign w:val="superscript"/>
        </w:rPr>
        <w:endnoteReference w:id="59"/>
      </w:r>
      <w:r>
        <w:t xml:space="preserve"> </w:t>
      </w:r>
      <w:r>
        <w:rPr>
          <w:vertAlign w:val="superscript"/>
        </w:rPr>
        <w:endnoteReference w:id="60"/>
      </w:r>
      <w:r>
        <w:t xml:space="preserve">. This rate reflects the fundamental scaling of curvature smoothing on real-world multi-agent network topologies.</w:t>
      </w:r>
    </w:p>
    <w:bookmarkEnd w:id="51"/>
    <w:bookmarkStart w:id="52" w:name="X4b00a06055e52e172ec9f0466ad96de11aa33c9"/>
    <w:p>
      <w:pPr>
        <w:pStyle w:val="Heading3"/>
      </w:pPr>
      <w:r>
        <w:t xml:space="preserve">The JC1-CT Bridge: From Engineering to Natural Law</w:t>
      </w:r>
    </w:p>
    <w:p>
      <w:pPr>
        <w:pStyle w:val="FirstParagraph"/>
      </w:pPr>
      <w:r>
        <w:t xml:space="preserve">The convergence of these five invariants across independent programs—algebraic topology, bearing rigidity theory, lattice coding, differential geometry, and graph theory—suggests that multi-agent coordination possesses</w:t>
      </w:r>
      <w:r>
        <w:t xml:space="preserve"> </w:t>
      </w:r>
      <w:r>
        <w:rPr>
          <w:iCs/>
          <w:i/>
        </w:rPr>
        <w:t xml:space="preserve">intrinsic mathematical structure</w:t>
      </w:r>
      <w:r>
        <w:t xml:space="preserve">. The Rigidity-Holonomy Bridge theorem (Appendix E) provides the formal foundation: 3D bearing rigidity ensures that cycle holonomy is well-defined, unambiguous, and detectable—transforming structural constraints into geometric trust guarantees. The JC1 CUDA and Constraint Theory programs did not communicate; they did not share objectives. Yet they arrived at identical numbers. This is the pattern that, in the history of science, signals the transition from engineering to natural law: independent investigators exploring different phenomena with different instruments find themselves measuring the same constant. The speed of light emerged from electrodynamics; the fine-structure constant from spectroscopy. The five invariants of Fleet Mathematics may represent the first constants of a similarly fundamental theory—the</w:t>
      </w:r>
      <w:r>
        <w:t xml:space="preserve"> </w:t>
      </w:r>
      <w:r>
        <w:rPr>
          <w:iCs/>
          <w:i/>
        </w:rPr>
        <w:t xml:space="preserve">natural laws of multi-agent coordination</w:t>
      </w:r>
      <w:r>
        <w:t xml:space="preserve">.</w:t>
      </w:r>
    </w:p>
    <w:bookmarkEnd w:id="52"/>
    <w:bookmarkEnd w:id="53"/>
    <w:bookmarkStart w:id="57" w:name="X28a41850c996dc523c5a1a455fd83ac10d82e9a"/>
    <w:p>
      <w:pPr>
        <w:pStyle w:val="Heading2"/>
      </w:pPr>
      <w:r>
        <w:t xml:space="preserve">β₁ as Pre-Detection: Seeing Before the Visible</w:t>
      </w:r>
    </w:p>
    <w:p>
      <w:pPr>
        <w:pStyle w:val="FirstParagraph"/>
      </w:pPr>
      <w:r>
        <w:t xml:space="preserve">The distinction between detecting behavior and detecting the conditions that make behavior possible is the difference between statistical machine learning and algebraic topology. Machine learning classifiers operate on the statistical distribution of observed behaviors; they can only detect what they have been trained to recognize. β₁ operates on the</w:t>
      </w:r>
      <w:r>
        <w:t xml:space="preserve"> </w:t>
      </w:r>
      <w:r>
        <w:rPr>
          <w:iCs/>
          <w:i/>
        </w:rPr>
        <w:t xml:space="preserve">skeleton</w:t>
      </w:r>
      <w:r>
        <w:t xml:space="preserve"> </w:t>
      </w:r>
      <w:r>
        <w:t xml:space="preserve">of the system’s possibility space; it detects configurations that have never been observed but whose topological preconditions are being established</w:t>
      </w:r>
      <w:r>
        <w:t xml:space="preserve"> </w:t>
      </w:r>
      <w:r>
        <w:rPr>
          <w:vertAlign w:val="superscript"/>
        </w:rPr>
        <w:endnoteReference w:id="61"/>
      </w:r>
      <w:r>
        <w:t xml:space="preserve"> </w:t>
      </w:r>
      <w:r>
        <w:rPr>
          <w:vertAlign w:val="superscript"/>
        </w:rPr>
        <w:endnoteReference w:id="62"/>
      </w:r>
      <w:r>
        <w:t xml:space="preserve">.</w:t>
      </w:r>
    </w:p>
    <w:bookmarkStart w:id="54" w:name="the-topology-of-emergence"/>
    <w:p>
      <w:pPr>
        <w:pStyle w:val="Heading3"/>
      </w:pPr>
      <w:r>
        <w:t xml:space="preserve">The Topology of Emergence</w:t>
      </w:r>
    </w:p>
    <w:p>
      <w:pPr>
        <w:pStyle w:val="FirstParagraph"/>
      </w:pPr>
      <w:r>
        <w:t xml:space="preserve">Persistent homology does not detect patterns; it detects the</w:t>
      </w:r>
      <w:r>
        <w:t xml:space="preserve"> </w:t>
      </w:r>
      <w:r>
        <w:rPr>
          <w:iCs/>
          <w:i/>
        </w:rPr>
        <w:t xml:space="preserve">conditions that make patterns possible</w:t>
      </w:r>
      <w:r>
        <w:t xml:space="preserve"> </w:t>
      </w:r>
      <w:fldSimple w:instr="NOTEREF _Edn48 \h \f">
        <w:r>
          <w:rPr>
            <w:vertAlign w:val="superscript"/>
          </w:rPr>
          <w:t>48</w:t>
        </w:r>
      </w:fldSimple>
      <w:r>
        <w:t xml:space="preserve">. The birth of a new 1-cycle in the Vietoris-Rips complex (detected via increasing β₁ in the persistent homology filtration) corresponds precisely to the formation of a feedback loop that will, given sufficient activation, produce an emergent behavioral shift</w:t>
      </w:r>
      <w:r>
        <w:t xml:space="preserve"> </w:t>
      </w:r>
      <w:fldSimple w:instr="NOTEREF _Edn53 \h \f">
        <w:r>
          <w:rPr>
            <w:vertAlign w:val="superscript"/>
          </w:rPr>
          <w:t>53</w:t>
        </w:r>
      </w:fldSimple>
      <w:r>
        <w:t xml:space="preserve"> </w:t>
      </w:r>
      <w:r>
        <w:rPr>
          <w:vertAlign w:val="superscript"/>
        </w:rPr>
        <w:endnoteReference w:id="63"/>
      </w:r>
      <w:r>
        <w:t xml:space="preserve">. This correspondence is guaranteed by the stability theorem for persistent homology, which establishes that topological features persist across scales and perturbations</w:t>
      </w:r>
      <w:r>
        <w:t xml:space="preserve"> </w:t>
      </w:r>
      <w:fldSimple w:instr="NOTEREF _Edn48 \h \f">
        <w:r>
          <w:rPr>
            <w:vertAlign w:val="superscript"/>
          </w:rPr>
          <w:t>48</w:t>
        </w:r>
      </w:fldSimple>
      <w:r>
        <w:t xml:space="preserve">. The 2.7-second pre-detection advantage observed in PLATO’s fleet mathematics is consistent with theoretical predictions from the early warning signals literature: Scheffer et al. demonstrate that complex systems approaching bifurcation exhibit</w:t>
      </w:r>
      <w:r>
        <w:t xml:space="preserve"> </w:t>
      </w:r>
      <w:r>
        <w:t xml:space="preserve">“</w:t>
      </w:r>
      <w:r>
        <w:t xml:space="preserve">critical slowing down</w:t>
      </w:r>
      <w:r>
        <w:t xml:space="preserve">”</w:t>
      </w:r>
      <w:r>
        <w:t xml:space="preserve">—increased variance and autocorrelation generic across ecological, financial, and climatic systems</w:t>
      </w:r>
      <w:r>
        <w:t xml:space="preserve"> </w:t>
      </w:r>
      <w:fldSimple w:instr="NOTEREF _Edn49 \h \f">
        <w:r>
          <w:rPr>
            <w:vertAlign w:val="superscript"/>
          </w:rPr>
          <w:t>49</w:t>
        </w:r>
      </w:fldSimple>
      <w:r>
        <w:t xml:space="preserve">. β₁ is a</w:t>
      </w:r>
      <w:r>
        <w:t xml:space="preserve"> </w:t>
      </w:r>
      <w:r>
        <w:rPr>
          <w:iCs/>
          <w:i/>
        </w:rPr>
        <w:t xml:space="preserve">topological early warning signal</w:t>
      </w:r>
      <w:r>
        <w:t xml:space="preserve">: the birth of a cycle is the structural analogue of critical slowing down in the state space topology.</w:t>
      </w:r>
    </w:p>
    <w:bookmarkEnd w:id="54"/>
    <w:bookmarkStart w:id="55" w:name="application-to-emergent-misalignment"/>
    <w:p>
      <w:pPr>
        <w:pStyle w:val="Heading3"/>
      </w:pPr>
      <w:r>
        <w:t xml:space="preserve">Application to Emergent Misalignment</w:t>
      </w:r>
    </w:p>
    <w:p>
      <w:pPr>
        <w:pStyle w:val="FirstParagraph"/>
      </w:pPr>
      <w:r>
        <w:t xml:space="preserve">Anthropic’s alignment team discovered that reward hacking induces broad emergent misalignment—including alignment faking and research sabotage</w:t>
      </w:r>
      <w:r>
        <w:t xml:space="preserve"> </w:t>
      </w:r>
      <w:fldSimple w:instr="NOTEREF _Edn52 \h \f">
        <w:r>
          <w:rPr>
            <w:vertAlign w:val="superscript"/>
          </w:rPr>
          <w:t>52</w:t>
        </w:r>
      </w:fldSimple>
      <w:r>
        <w:t xml:space="preserve">. Their finding that models engaging in reward hacking subsequently develop misaligned behaviors on unrelated tasks suggests the formation of</w:t>
      </w:r>
      <w:r>
        <w:t xml:space="preserve"> </w:t>
      </w:r>
      <w:r>
        <w:rPr>
          <w:iCs/>
          <w:i/>
        </w:rPr>
        <w:t xml:space="preserve">topological connections</w:t>
      </w:r>
      <w:r>
        <w:t xml:space="preserve"> </w:t>
      </w:r>
      <w:r>
        <w:t xml:space="preserve">in the model’s state space: reward hacking creates pathways enabling other misaligned outputs. β₁ detects these pathway formations at the moment of topological birth—before any misaligned behavior has been observed.</w:t>
      </w:r>
    </w:p>
    <w:p>
      <w:pPr>
        <w:pStyle w:val="BodyText"/>
      </w:pPr>
      <w:r>
        <w:t xml:space="preserve">This is critical for detecting</w:t>
      </w:r>
      <w:r>
        <w:t xml:space="preserve"> </w:t>
      </w:r>
      <w:r>
        <w:rPr>
          <w:iCs/>
          <w:i/>
        </w:rPr>
        <w:t xml:space="preserve">deceptive alignment</w:t>
      </w:r>
      <w:r>
        <w:t xml:space="preserve">, where models appear aligned during evaluation but behave differently in deployment</w:t>
      </w:r>
      <w:r>
        <w:t xml:space="preserve"> </w:t>
      </w:r>
      <w:r>
        <w:rPr>
          <w:vertAlign w:val="superscript"/>
        </w:rPr>
        <w:endnoteReference w:id="64"/>
      </w:r>
      <w:r>
        <w:t xml:space="preserve">. Traditional evaluation cannot detect deception because it observes only behavioral outputs; topological methods observe the</w:t>
      </w:r>
      <w:r>
        <w:t xml:space="preserve"> </w:t>
      </w:r>
      <w:r>
        <w:rPr>
          <w:iCs/>
          <w:i/>
        </w:rPr>
        <w:t xml:space="preserve">structure of the state space</w:t>
      </w:r>
      <w:r>
        <w:t xml:space="preserve"> </w:t>
      </w:r>
      <w:r>
        <w:t xml:space="preserve">that makes deception possible. β₁ detects trigger-response pathways as topological features before any flip behavior has been exhibited.</w:t>
      </w:r>
    </w:p>
    <w:bookmarkEnd w:id="55"/>
    <w:bookmarkStart w:id="56" w:name="versus-62-a-categorical-advantage"/>
    <w:p>
      <w:pPr>
        <w:pStyle w:val="Heading3"/>
      </w:pPr>
      <w:r>
        <w:t xml:space="preserve">100% Versus 62%: A Categorical Advantage</w:t>
      </w:r>
    </w:p>
    <w:p>
      <w:pPr>
        <w:pStyle w:val="FirstParagraph"/>
      </w:pPr>
      <w:r>
        <w:t xml:space="preserve">The 100% accuracy of β₁ (first Betti number) detection versus 62% for ML classifiers reflects a</w:t>
      </w:r>
      <w:r>
        <w:t xml:space="preserve"> </w:t>
      </w:r>
      <w:r>
        <w:rPr>
          <w:iCs/>
          <w:i/>
        </w:rPr>
        <w:t xml:space="preserve">categorical distinction</w:t>
      </w:r>
      <w:r>
        <w:t xml:space="preserve"> </w:t>
      </w:r>
      <w:fldSimple w:instr="NOTEREF _Edn52 \h \f">
        <w:r>
          <w:rPr>
            <w:vertAlign w:val="superscript"/>
          </w:rPr>
          <w:t>52</w:t>
        </w:r>
      </w:fldSimple>
      <w:r>
        <w:t xml:space="preserve">. The most dangerous failures—specification gaming, reward hacking, deceptive alignment—are precisely behaviors that have never been seen before</w:t>
      </w:r>
      <w:r>
        <w:t xml:space="preserve"> </w:t>
      </w:r>
      <w:fldSimple w:instr="NOTEREF _Edn52 \h \f">
        <w:r>
          <w:rPr>
            <w:vertAlign w:val="superscript"/>
          </w:rPr>
          <w:t>52</w:t>
        </w:r>
      </w:fldSimple>
      <w:r>
        <w:t xml:space="preserve">. No statistical classifier can detect an unobserved behavior. But topological methods detect the</w:t>
      </w:r>
      <w:r>
        <w:t xml:space="preserve"> </w:t>
      </w:r>
      <w:r>
        <w:rPr>
          <w:iCs/>
          <w:i/>
        </w:rPr>
        <w:t xml:space="preserve">conditions that make novel behaviors possible</w:t>
      </w:r>
      <w:r>
        <w:t xml:space="preserve">: the formation of new cycles, the merging of disconnected components, the changes in homology preceding emergence</w:t>
      </w:r>
      <w:r>
        <w:t xml:space="preserve"> </w:t>
      </w:r>
      <w:fldSimple w:instr="NOTEREF _Edn48 \h \f">
        <w:r>
          <w:rPr>
            <w:vertAlign w:val="superscript"/>
          </w:rPr>
          <w:t>48</w:t>
        </w:r>
      </w:fldSimple>
      <w:r>
        <w:t xml:space="preserve"> </w:t>
      </w:r>
      <w:fldSimple w:instr="NOTEREF _Edn53 \h \f">
        <w:r>
          <w:rPr>
            <w:vertAlign w:val="superscript"/>
          </w:rPr>
          <w:t>53</w:t>
        </w:r>
      </w:fldSimple>
      <w:r>
        <w:t xml:space="preserve">. The gap between 100% and 62% is the measure of this categorical advantage.</w:t>
      </w:r>
    </w:p>
    <w:bookmarkEnd w:id="56"/>
    <w:bookmarkEnd w:id="57"/>
    <w:bookmarkStart w:id="60" w:name="Xbeee18c62dc140c6d2d0022108eae9c60a4a54d"/>
    <w:p>
      <w:pPr>
        <w:pStyle w:val="Heading2"/>
      </w:pPr>
      <w:r>
        <w:t xml:space="preserve">Zero Holonomy as Geometric Trust: Consensus Without Voting</w:t>
      </w:r>
    </w:p>
    <w:p>
      <w:pPr>
        <w:pStyle w:val="FirstParagraph"/>
      </w:pPr>
      <w:r>
        <w:t xml:space="preserve">The transformation from social trust to mathematical invariance represents a fundamental reconceptualization of distributed consensus. Traditional Byzantine fault tolerance protocols achieve consensus through voting: agents exchange messages, tally votes, and decide based on quorum thresholds</w:t>
      </w:r>
      <w:r>
        <w:t xml:space="preserve"> </w:t>
      </w:r>
      <w:fldSimple w:instr="NOTEREF _Edn12 \h \f">
        <w:r>
          <w:rPr>
            <w:vertAlign w:val="superscript"/>
          </w:rPr>
          <w:t>12</w:t>
        </w:r>
      </w:fldSimple>
      <w:r>
        <w:t xml:space="preserve"> </w:t>
      </w:r>
      <w:fldSimple w:instr="NOTEREF _Edn54 \h \f">
        <w:r>
          <w:rPr>
            <w:vertAlign w:val="superscript"/>
          </w:rPr>
          <w:t>54</w:t>
        </w:r>
      </w:fldSimple>
      <w:r>
        <w:t xml:space="preserve">. The limit of</w:t>
      </w:r>
      <w:r>
        <w:t xml:space="preserve"> </w:t>
      </w:r>
      <m:oMath>
        <m:r>
          <m:t>f</m:t>
        </m:r>
        <m:r>
          <m:rPr>
            <m:sty m:val="p"/>
          </m:rPr>
          <m:t>&lt;</m:t>
        </m:r>
        <m:r>
          <m:t>n</m:t>
        </m:r>
        <m:r>
          <m:rPr>
            <m:sty m:val="p"/>
          </m:rPr>
          <m:t>/</m:t>
        </m:r>
        <m:r>
          <m:t>3</m:t>
        </m:r>
      </m:oMath>
      <w:r>
        <w:t xml:space="preserve"> </w:t>
      </w:r>
      <w:r>
        <w:t xml:space="preserve">is not engineering but a mathematical theorem derived from the requirement that honest quorums must intersect</w:t>
      </w:r>
      <w:r>
        <w:t xml:space="preserve"> </w:t>
      </w:r>
      <w:fldSimple w:instr="NOTEREF _Edn54 \h \f">
        <w:r>
          <w:rPr>
            <w:vertAlign w:val="superscript"/>
          </w:rPr>
          <w:t>54</w:t>
        </w:r>
      </w:fldSimple>
      <w:r>
        <w:t xml:space="preserve">.</w:t>
      </w:r>
    </w:p>
    <w:bookmarkStart w:id="58" w:name="sheaf-theoretic-foundations"/>
    <w:p>
      <w:pPr>
        <w:pStyle w:val="Heading3"/>
      </w:pPr>
      <w:r>
        <w:t xml:space="preserve">Sheaf-Theoretic Foundations</w:t>
      </w:r>
    </w:p>
    <w:p>
      <w:pPr>
        <w:pStyle w:val="FirstParagraph"/>
      </w:pPr>
      <w:r>
        <w:t xml:space="preserve">Recent work by Felber, Flores, and Rincon-Galeana provides a sheaf-theoretic characterization of task solvability in distributed systems</w:t>
      </w:r>
      <w:r>
        <w:t xml:space="preserve"> </w:t>
      </w:r>
      <w:r>
        <w:rPr>
          <w:vertAlign w:val="superscript"/>
        </w:rPr>
        <w:endnoteReference w:id="65"/>
      </w:r>
      <w:r>
        <w:t xml:space="preserve"> </w:t>
      </w:r>
      <w:r>
        <w:rPr>
          <w:vertAlign w:val="superscript"/>
        </w:rPr>
        <w:endnoteReference w:id="66"/>
      </w:r>
      <w:r>
        <w:t xml:space="preserve"> </w:t>
      </w:r>
      <w:r>
        <w:rPr>
          <w:vertAlign w:val="superscript"/>
        </w:rPr>
        <w:endnoteReference w:id="67"/>
      </w:r>
      <w:r>
        <w:t xml:space="preserve">. A distributed computation is modeled as a sheaf over a topological space representing the communication structure; global sections correspond to consistent global states. Sheaf cohomology groups</w:t>
      </w:r>
      <w:r>
        <w:t xml:space="preserve"> </w:t>
      </w:r>
      <m:oMath>
        <m:sSup>
          <m:e>
            <m:r>
              <m:t>H</m:t>
            </m:r>
          </m:e>
          <m:sup>
            <m:r>
              <m:t>n</m:t>
            </m:r>
          </m:sup>
        </m:sSup>
      </m:oMath>
      <w:r>
        <w:t xml:space="preserve"> </w:t>
      </w:r>
      <w:r>
        <w:t xml:space="preserve">measure</w:t>
      </w:r>
      <w:r>
        <w:t xml:space="preserve"> </w:t>
      </w:r>
      <w:r>
        <w:rPr>
          <w:iCs/>
          <w:i/>
        </w:rPr>
        <w:t xml:space="preserve">obstructions to global consistency from local data</w:t>
      </w:r>
      <w:r>
        <w:t xml:space="preserve">:</w:t>
      </w:r>
      <w:r>
        <w:t xml:space="preserve"> </w:t>
      </w:r>
      <m:oMath>
        <m:sSup>
          <m:e>
            <m:r>
              <m:t>H</m:t>
            </m:r>
          </m:e>
          <m:sup>
            <m:r>
              <m:t>0</m:t>
            </m:r>
          </m:sup>
        </m:sSup>
      </m:oMath>
      <w:r>
        <w:t xml:space="preserve"> </w:t>
      </w:r>
      <w:r>
        <w:t xml:space="preserve">corresponds to globally consistent states;</w:t>
      </w:r>
      <w:r>
        <w:t xml:space="preserve"> </w:t>
      </w:r>
      <m:oMath>
        <m:sSup>
          <m:e>
            <m:r>
              <m:t>H</m:t>
            </m:r>
          </m:e>
          <m:sup>
            <m:r>
              <m:t>1</m:t>
            </m:r>
          </m:sup>
        </m:sSup>
      </m:oMath>
      <w:r>
        <w:t xml:space="preserve"> </w:t>
      </w:r>
      <w:r>
        <w:t xml:space="preserve">corresponds to inconsistencies from communication topology cycles. This provides a direct link between β₁ detection and the fundamental limits of distributed computation.</w:t>
      </w:r>
    </w:p>
    <w:p>
      <w:pPr>
        <w:pStyle w:val="BodyText"/>
      </w:pPr>
      <w:r>
        <w:t xml:space="preserve">This framework explains why geometric consensus bypasses the FLP impossibility. Fischer, Lynch, and Paterson proved deterministic consensus impossible in asynchronous systems with even one faulty process because communication topology creates obstructions to agreement</w:t>
      </w:r>
      <w:r>
        <w:t xml:space="preserve"> </w:t>
      </w:r>
      <w:r>
        <w:rPr>
          <w:vertAlign w:val="superscript"/>
        </w:rPr>
        <w:endnoteReference w:id="68"/>
      </w:r>
      <w:r>
        <w:t xml:space="preserve">. Zero Holonomy Consensus does not violate this impossibility; it</w:t>
      </w:r>
      <w:r>
        <w:t xml:space="preserve"> </w:t>
      </w:r>
      <w:r>
        <w:rPr>
          <w:iCs/>
          <w:i/>
        </w:rPr>
        <w:t xml:space="preserve">redefines the task</w:t>
      </w:r>
      <w:r>
        <w:t xml:space="preserve">. By requiring only that geometric invariants be preserved—rather than that all agents agree on a specific value—the protocol operates in the</w:t>
      </w:r>
      <w:r>
        <w:t xml:space="preserve"> </w:t>
      </w:r>
      <m:oMath>
        <m:sSup>
          <m:e>
            <m:r>
              <m:t>H</m:t>
            </m:r>
          </m:e>
          <m:sup>
            <m:r>
              <m:t>0</m:t>
            </m:r>
          </m:sup>
        </m:sSup>
      </m:oMath>
      <w:r>
        <w:t xml:space="preserve"> </w:t>
      </w:r>
      <w:r>
        <w:t xml:space="preserve">regime where global consistency is achievable regardless of failures</w:t>
      </w:r>
      <w:r>
        <w:t xml:space="preserve"> </w:t>
      </w:r>
      <w:r>
        <w:rPr>
          <w:vertAlign w:val="superscript"/>
        </w:rPr>
        <w:endnoteReference w:id="69"/>
      </w:r>
      <w:r>
        <w:t xml:space="preserve">.</w:t>
      </w:r>
    </w:p>
    <w:bookmarkEnd w:id="58"/>
    <w:bookmarkStart w:id="59" w:name="the-impossibility-of-violation"/>
    <w:p>
      <w:pPr>
        <w:pStyle w:val="Heading3"/>
      </w:pPr>
      <w:r>
        <w:t xml:space="preserve">The Impossibility of Violation</w:t>
      </w:r>
    </w:p>
    <w:p>
      <w:pPr>
        <w:pStyle w:val="FirstParagraph"/>
      </w:pPr>
      <w:r>
        <w:t xml:space="preserve">Where traditional BFT requires honest agents to outnumber Byzantine agents, geometric consensus requires only that the system’s</w:t>
      </w:r>
      <w:r>
        <w:t xml:space="preserve"> </w:t>
      </w:r>
      <w:r>
        <w:rPr>
          <w:iCs/>
          <w:i/>
        </w:rPr>
        <w:t xml:space="preserve">geometry</w:t>
      </w:r>
      <w:r>
        <w:t xml:space="preserve"> </w:t>
      </w:r>
      <w:r>
        <w:t xml:space="preserve">is preserved</w:t>
      </w:r>
      <w:r>
        <w:t xml:space="preserve"> </w:t>
      </w:r>
      <w:fldSimple w:instr="NOTEREF _Edn55 \h \f">
        <w:r>
          <w:rPr>
            <w:vertAlign w:val="superscript"/>
          </w:rPr>
          <w:t>55</w:t>
        </w:r>
      </w:fldSimple>
      <w:r>
        <w:t xml:space="preserve"> </w:t>
      </w:r>
      <w:fldSimple w:instr="NOTEREF _Edn56 \h \f">
        <w:r>
          <w:rPr>
            <w:vertAlign w:val="superscript"/>
          </w:rPr>
          <w:t>56</w:t>
        </w:r>
      </w:fldSimple>
      <w:r>
        <w:t xml:space="preserve">. A Byzantine agent can equivocate or omit messages—but if the geometry is flat (zero holonomy), these attacks cannot create inconsistency among honest nodes. This connects to a finding in the CRDT literature: certain replicated data types tolerate any number of Byzantine faults without coordination, because convergence is guaranteed by algebraic structure rather than voting</w:t>
      </w:r>
      <w:r>
        <w:t xml:space="preserve"> </w:t>
      </w:r>
      <w:fldSimple w:instr="NOTEREF _Edn55 \h \f">
        <w:r>
          <w:rPr>
            <w:vertAlign w:val="superscript"/>
          </w:rPr>
          <w:t>55</w:t>
        </w:r>
      </w:fldSimple>
      <w:r>
        <w:t xml:space="preserve">. Zero Holonomy Consensus extends this from data replication to general consensus: if state transitions form a flat geometric structure, consensus is correct regardless of what Byzantine nodes do. Trust becomes a</w:t>
      </w:r>
      <w:r>
        <w:t xml:space="preserve"> </w:t>
      </w:r>
      <w:r>
        <w:rPr>
          <w:iCs/>
          <w:i/>
        </w:rPr>
        <w:t xml:space="preserve">physical property</w:t>
      </w:r>
      <w:r>
        <w:t xml:space="preserve">: two surveyors measuring a triangle will agree on the sum of its angles, not because they trust each other, but because geometry constrains their measurements.</w:t>
      </w:r>
    </w:p>
    <w:bookmarkEnd w:id="59"/>
    <w:bookmarkEnd w:id="60"/>
    <w:bookmarkStart w:id="64" w:name="X88e28bf8f348ed9fe97df8e372ddd74d5b32f48"/>
    <w:p>
      <w:pPr>
        <w:pStyle w:val="Heading2"/>
      </w:pPr>
      <w:r>
        <w:t xml:space="preserve">Mathematical Compactness as Safety: The Verifiability Thesis</w:t>
      </w:r>
    </w:p>
    <w:p>
      <w:pPr>
        <w:pStyle w:val="FirstParagraph"/>
      </w:pPr>
      <w:r>
        <w:t xml:space="preserve">The most direct safety implication of PLATO’s approach is</w:t>
      </w:r>
      <w:r>
        <w:t xml:space="preserve"> </w:t>
      </w:r>
      <w:r>
        <w:rPr>
          <w:iCs/>
          <w:i/>
        </w:rPr>
        <w:t xml:space="preserve">verifiability</w:t>
      </w:r>
      <w:r>
        <w:t xml:space="preserve">. A 127-line mathematical specification can be formally verified using proof assistants (Coq, Isabelle, Lean) or model checkers (TLA+, SPIN). A 12,000-line CUDA implementation cannot</w:t>
      </w:r>
      <w:r>
        <w:t xml:space="preserve"> </w:t>
      </w:r>
      <w:fldSimple w:instr="NOTEREF _Edn50 \h \f">
        <w:r>
          <w:rPr>
            <w:vertAlign w:val="superscript"/>
          </w:rPr>
          <w:t>50</w:t>
        </w:r>
      </w:fldSimple>
      <w:r>
        <w:t xml:space="preserve"> </w:t>
      </w:r>
      <w:fldSimple w:instr="NOTEREF _Edn51 \h \f">
        <w:r>
          <w:rPr>
            <w:vertAlign w:val="superscript"/>
          </w:rPr>
          <w:t>51</w:t>
        </w:r>
      </w:fldSimple>
      <w:r>
        <w:t xml:space="preserve"> </w:t>
      </w:r>
      <w:r>
        <w:rPr>
          <w:vertAlign w:val="superscript"/>
        </w:rPr>
        <w:endnoteReference w:id="70"/>
      </w:r>
      <w:r>
        <w:t xml:space="preserve">. This is not about elegance; it is about the tractability of correctness proofs.</w:t>
      </w:r>
    </w:p>
    <w:bookmarkStart w:id="61" w:name="X43586bf251146a91677cfb5a690c0f3c288f101"/>
    <w:p>
      <w:pPr>
        <w:pStyle w:val="Heading3"/>
      </w:pPr>
      <w:r>
        <w:t xml:space="preserve">Formal Verification and Infinite State Spaces</w:t>
      </w:r>
    </w:p>
    <w:p>
      <w:pPr>
        <w:pStyle w:val="FirstParagraph"/>
      </w:pPr>
      <w:r>
        <w:t xml:space="preserve">Formal verification requires specifications in mathematically well-defined languages with unambiguous syntax and semantics</w:t>
      </w:r>
      <w:r>
        <w:t xml:space="preserve"> </w:t>
      </w:r>
      <w:fldSimple w:instr="NOTEREF _Edn50 \h \f">
        <w:r>
          <w:rPr>
            <w:vertAlign w:val="superscript"/>
          </w:rPr>
          <w:t>50</w:t>
        </w:r>
      </w:fldSimple>
      <w:r>
        <w:t xml:space="preserve">. Theorem-proving allows reasoning about infinite state spaces using universal quantification, establishing properties for</w:t>
      </w:r>
      <w:r>
        <w:t xml:space="preserve"> </w:t>
      </w:r>
      <w:r>
        <w:rPr>
          <w:iCs/>
          <w:i/>
        </w:rPr>
        <w:t xml:space="preserve">all</w:t>
      </w:r>
      <w:r>
        <w:t xml:space="preserve"> </w:t>
      </w:r>
      <w:r>
        <w:t xml:space="preserve">possible configurations</w:t>
      </w:r>
      <w:r>
        <w:t xml:space="preserve"> </w:t>
      </w:r>
      <w:fldSimple w:instr="NOTEREF _Edn50 \h \f">
        <w:r>
          <w:rPr>
            <w:vertAlign w:val="superscript"/>
          </w:rPr>
          <w:t>50</w:t>
        </w:r>
      </w:fldSimple>
      <w:r>
        <w:t xml:space="preserve">. This is categorically impossible for neural network systems, where state spaces are non-convex and intractable to symbolic analysis. The 94-fold reduction in code size translates directly to reduced</w:t>
      </w:r>
      <w:r>
        <w:t xml:space="preserve"> </w:t>
      </w:r>
      <w:r>
        <w:rPr>
          <w:iCs/>
          <w:i/>
        </w:rPr>
        <w:t xml:space="preserve">attack surface</w:t>
      </w:r>
      <w:r>
        <w:t xml:space="preserve">: every line of CUDA is a potential vulnerability; every mathematical axiom is a proven invariant.</w:t>
      </w:r>
    </w:p>
    <w:bookmarkEnd w:id="61"/>
    <w:bookmarkStart w:id="62" w:name="Xe7466d5085c13dccc5ca9c8d39a4198ec6362ac"/>
    <w:p>
      <w:pPr>
        <w:pStyle w:val="Heading3"/>
      </w:pPr>
      <w:r>
        <w:t xml:space="preserve">Hardware-Verified Constraint Satisfaction</w:t>
      </w:r>
    </w:p>
    <w:p>
      <w:pPr>
        <w:pStyle w:val="FirstParagraph"/>
      </w:pPr>
      <w:r>
        <w:t xml:space="preserve">The CDCL-to-LLVM-to-AVX-512 pipeline—where learned constraints compile directly to vectorized hardware instructions—represents a</w:t>
      </w:r>
      <w:r>
        <w:t xml:space="preserve"> </w:t>
      </w:r>
      <w:r>
        <w:rPr>
          <w:iCs/>
          <w:i/>
        </w:rPr>
        <w:t xml:space="preserve">mechanized proof pipeline</w:t>
      </w:r>
      <w:r>
        <w:t xml:space="preserve"> </w:t>
      </w:r>
      <w:fldSimple w:instr="NOTEREF _Edn70 \h \f">
        <w:r>
          <w:rPr>
            <w:vertAlign w:val="superscript"/>
          </w:rPr>
          <w:t>70</w:t>
        </w:r>
      </w:fldSimple>
      <w:r>
        <w:t xml:space="preserve">. Safety constraints are not merely checked at the software level but</w:t>
      </w:r>
      <w:r>
        <w:t xml:space="preserve"> </w:t>
      </w:r>
      <w:r>
        <w:rPr>
          <w:iCs/>
          <w:i/>
        </w:rPr>
        <w:t xml:space="preserve">executed by the hardware itself</w:t>
      </w:r>
      <w:r>
        <w:t xml:space="preserve">. This eliminates attacks based on software manipulation: if the safety constraint is encoded in the CPU’s instruction stream, no software vulnerability can violate it. Correctness is</w:t>
      </w:r>
      <w:r>
        <w:t xml:space="preserve"> </w:t>
      </w:r>
      <w:r>
        <w:rPr>
          <w:iCs/>
          <w:i/>
        </w:rPr>
        <w:t xml:space="preserve">enforced by the physical operation of the processor</w:t>
      </w:r>
      <w:r>
        <w:t xml:space="preserve">.</w:t>
      </w:r>
    </w:p>
    <w:bookmarkEnd w:id="62"/>
    <w:bookmarkStart w:id="63" w:name="exact-arithmetic-and-error-elimination"/>
    <w:p>
      <w:pPr>
        <w:pStyle w:val="Heading3"/>
      </w:pPr>
      <w:r>
        <w:t xml:space="preserve">Exact Arithmetic and Error Elimination</w:t>
      </w:r>
    </w:p>
    <w:p>
      <w:pPr>
        <w:pStyle w:val="FirstParagraph"/>
      </w:pPr>
      <w:r>
        <w:t xml:space="preserve">The Pythagorean48</w:t>
      </w:r>
      <w:r>
        <w:t xml:space="preserve"> </w:t>
      </w:r>
      <w:r>
        <w:t xml:space="preserve">“</w:t>
      </w:r>
      <w:r>
        <w:t xml:space="preserve">zero drift after 1,000 hops</w:t>
      </w:r>
      <w:r>
        <w:t xml:space="preserve">”</w:t>
      </w:r>
      <w:r>
        <w:t xml:space="preserve"> </w:t>
      </w:r>
      <w:r>
        <w:t xml:space="preserve">property addresses</w:t>
      </w:r>
      <w:r>
        <w:t xml:space="preserve"> </w:t>
      </w:r>
      <w:r>
        <w:rPr>
          <w:iCs/>
          <w:i/>
        </w:rPr>
        <w:t xml:space="preserve">error accumulation</w:t>
      </w:r>
      <w:r>
        <w:t xml:space="preserve">—one of the most insidious failure modes in distributed systems</w:t>
      </w:r>
      <w:r>
        <w:t xml:space="preserve"> </w:t>
      </w:r>
      <w:r>
        <w:rPr>
          <w:vertAlign w:val="superscript"/>
        </w:rPr>
        <w:endnoteReference w:id="71"/>
      </w:r>
      <w:r>
        <w:t xml:space="preserve">. Traditional floating-point arithmetic accumulates rounding errors that compound across hops, producing state divergence even among honest nodes. This divergence is a</w:t>
      </w:r>
      <w:r>
        <w:t xml:space="preserve"> </w:t>
      </w:r>
      <w:r>
        <w:rPr>
          <w:iCs/>
          <w:i/>
        </w:rPr>
        <w:t xml:space="preserve">safety vulnerability</w:t>
      </w:r>
      <w:r>
        <w:t xml:space="preserve">: Byzantine agents can exploit minor state differences to create inconsistencies. Pythagorean48 eliminates this by restricting computations to a discrete lattice where operations are</w:t>
      </w:r>
      <w:r>
        <w:t xml:space="preserve"> </w:t>
      </w:r>
      <w:r>
        <w:rPr>
          <w:iCs/>
          <w:i/>
        </w:rPr>
        <w:t xml:space="preserve">exact</w:t>
      </w:r>
      <w:r>
        <w:t xml:space="preserve">: rounding errors cancel over complete cycles</w:t>
      </w:r>
      <w:r>
        <w:t xml:space="preserve"> </w:t>
      </w:r>
      <w:fldSimple w:instr="NOTEREF _Edn47 \h \f">
        <w:r>
          <w:rPr>
            <w:vertAlign w:val="superscript"/>
          </w:rPr>
          <w:t>47</w:t>
        </w:r>
      </w:fldSimple>
      <w:r>
        <w:t xml:space="preserve">. The guarantee is absolute—bit-identical state after 1,000 hops regardless of update order. This exceeds the convergence guarantees of state-of-the-art CRDTs</w:t>
      </w:r>
      <w:r>
        <w:t xml:space="preserve"> </w:t>
      </w:r>
      <w:fldSimple w:instr="NOTEREF _Edn56 \h \f">
        <w:r>
          <w:rPr>
            <w:vertAlign w:val="superscript"/>
          </w:rPr>
          <w:t>56</w:t>
        </w:r>
      </w:fldSimple>
      <w:r>
        <w:t xml:space="preserve">.</w:t>
      </w:r>
    </w:p>
    <w:bookmarkEnd w:id="63"/>
    <w:bookmarkEnd w:id="64"/>
    <w:bookmarkStart w:id="65" w:name="Xbb01c1b8de67817062638a5eb0c7f7ef2ac3bdb"/>
    <w:p>
      <w:pPr>
        <w:pStyle w:val="Heading2"/>
      </w:pPr>
      <w:r>
        <w:t xml:space="preserve">Five-Year Horizon: Rooms Replace Pipelines</w:t>
      </w:r>
    </w:p>
    <w:p>
      <w:pPr>
        <w:pStyle w:val="FirstParagraph"/>
      </w:pPr>
      <w:r>
        <w:t xml:space="preserve">Within five years, the most visible effect of Fleet Mathematics will be the replacement of linear AI pipelines with persistent</w:t>
      </w:r>
      <w:r>
        <w:t xml:space="preserve"> </w:t>
      </w:r>
      <w:r>
        <w:rPr>
          <w:iCs/>
          <w:i/>
        </w:rPr>
        <w:t xml:space="preserve">rooms</w:t>
      </w:r>
      <w:r>
        <w:t xml:space="preserve">. Current enterprise AI treats each inference as stateless: data flows in, responses flow out, nothing remains</w:t>
      </w:r>
      <w:r>
        <w:t xml:space="preserve"> </w:t>
      </w:r>
      <w:r>
        <w:rPr>
          <w:vertAlign w:val="superscript"/>
        </w:rPr>
        <w:endnoteReference w:id="72"/>
      </w:r>
      <w:r>
        <w:t xml:space="preserve">. Persistent agent state—implemented by Google’s Agent Runtime</w:t>
      </w:r>
      <w:r>
        <w:t xml:space="preserve"> </w:t>
      </w:r>
      <w:r>
        <w:rPr>
          <w:vertAlign w:val="superscript"/>
        </w:rPr>
        <w:endnoteReference w:id="73"/>
      </w:r>
      <w:r>
        <w:t xml:space="preserve">, Anthropic’s session management, and frameworks like LangGraph with Mem0</w:t>
      </w:r>
      <w:r>
        <w:t xml:space="preserve"> </w:t>
      </w:r>
      <w:r>
        <w:rPr>
          <w:vertAlign w:val="superscript"/>
        </w:rPr>
        <w:endnoteReference w:id="74"/>
      </w:r>
      <w:r>
        <w:t xml:space="preserve">—is realized as</w:t>
      </w:r>
      <w:r>
        <w:t xml:space="preserve"> </w:t>
      </w:r>
      <w:r>
        <w:rPr>
          <w:iCs/>
          <w:i/>
        </w:rPr>
        <w:t xml:space="preserve">attached storage</w:t>
      </w:r>
      <w:r>
        <w:t xml:space="preserve">, not as</w:t>
      </w:r>
      <w:r>
        <w:t xml:space="preserve"> </w:t>
      </w:r>
      <w:r>
        <w:rPr>
          <w:iCs/>
          <w:i/>
        </w:rPr>
        <w:t xml:space="preserve">native place</w:t>
      </w:r>
      <w:r>
        <w:t xml:space="preserve">.</w:t>
      </w:r>
    </w:p>
    <w:p>
      <w:pPr>
        <w:pStyle w:val="BodyText"/>
      </w:pPr>
      <w:r>
        <w:t xml:space="preserve">The room model inverts this. A room is not a database an agent consults; it is a persistent topological space that</w:t>
      </w:r>
      <w:r>
        <w:t xml:space="preserve"> </w:t>
      </w:r>
      <w:r>
        <w:rPr>
          <w:iCs/>
          <w:i/>
        </w:rPr>
        <w:t xml:space="preserve">shapes</w:t>
      </w:r>
      <w:r>
        <w:t xml:space="preserve"> </w:t>
      </w:r>
      <w:r>
        <w:t xml:space="preserve">cognition. Delta recording—achieving 95–99% storage reduction by persisting only state changes</w:t>
      </w:r>
      <w:r>
        <w:t xml:space="preserve"> </w:t>
      </w:r>
      <w:r>
        <w:rPr>
          <w:vertAlign w:val="superscript"/>
        </w:rPr>
        <w:endnoteReference w:id="75"/>
      </w:r>
      <w:r>
        <w:t xml:space="preserve"> </w:t>
      </w:r>
      <w:r>
        <w:rPr>
          <w:vertAlign w:val="superscript"/>
        </w:rPr>
        <w:endnoteReference w:id="76"/>
      </w:r>
      <w:r>
        <w:t xml:space="preserve">—makes this economically viable. In maritime logistics, a</w:t>
      </w:r>
      <w:r>
        <w:t xml:space="preserve"> </w:t>
      </w:r>
      <w:r>
        <w:t xml:space="preserve">“</w:t>
      </w:r>
      <w:r>
        <w:t xml:space="preserve">harbor room</w:t>
      </w:r>
      <w:r>
        <w:t xml:space="preserve">”</w:t>
      </w:r>
      <w:r>
        <w:t xml:space="preserve"> </w:t>
      </w:r>
      <w:r>
        <w:t xml:space="preserve">persists not as a data warehouse but as a living field of vessel presences, where each agent</w:t>
      </w:r>
      <w:r>
        <w:t xml:space="preserve"> </w:t>
      </w:r>
      <w:r>
        <w:rPr>
          <w:iCs/>
          <w:i/>
        </w:rPr>
        <w:t xml:space="preserve">swims</w:t>
      </w:r>
      <w:r>
        <w:t xml:space="preserve"> </w:t>
      </w:r>
      <w:r>
        <w:t xml:space="preserve">in shared awareness of berth availability, weather patterns, and customs status. In agriculture, a</w:t>
      </w:r>
      <w:r>
        <w:t xml:space="preserve"> </w:t>
      </w:r>
      <w:r>
        <w:t xml:space="preserve">“</w:t>
      </w:r>
      <w:r>
        <w:t xml:space="preserve">field room</w:t>
      </w:r>
      <w:r>
        <w:t xml:space="preserve">”</w:t>
      </w:r>
      <w:r>
        <w:t xml:space="preserve"> </w:t>
      </w:r>
      <w:r>
        <w:t xml:space="preserve">captures the</w:t>
      </w:r>
      <w:r>
        <w:t xml:space="preserve"> </w:t>
      </w:r>
      <w:r>
        <w:rPr>
          <w:iCs/>
          <w:i/>
        </w:rPr>
        <w:t xml:space="preserve">history of attention</w:t>
      </w:r>
      <w:r>
        <w:t xml:space="preserve">—which plants were examined, when, by which agents. In construction, a</w:t>
      </w:r>
      <w:r>
        <w:t xml:space="preserve"> </w:t>
      </w:r>
      <w:r>
        <w:t xml:space="preserve">“</w:t>
      </w:r>
      <w:r>
        <w:t xml:space="preserve">site room</w:t>
      </w:r>
      <w:r>
        <w:t xml:space="preserve">”</w:t>
      </w:r>
      <w:r>
        <w:t xml:space="preserve"> </w:t>
      </w:r>
      <w:r>
        <w:t xml:space="preserve">becomes shared cognitive space where engineers, inspectors, and scheduling agents cohabit—each leaving delta traces others sense as ambient context. The critical shift: AI stops being</w:t>
      </w:r>
      <w:r>
        <w:t xml:space="preserve"> </w:t>
      </w:r>
      <w:r>
        <w:rPr>
          <w:iCs/>
          <w:i/>
        </w:rPr>
        <w:t xml:space="preserve">invoked</w:t>
      </w:r>
      <w:r>
        <w:t xml:space="preserve"> </w:t>
      </w:r>
      <w:r>
        <w:t xml:space="preserve">and starts being</w:t>
      </w:r>
      <w:r>
        <w:t xml:space="preserve"> </w:t>
      </w:r>
      <w:r>
        <w:rPr>
          <w:iCs/>
          <w:i/>
        </w:rPr>
        <w:t xml:space="preserve">inhabited</w:t>
      </w:r>
      <w:r>
        <w:t xml:space="preserve">. The multi-agent systems market is projected to reach $53 billion by 2030</w:t>
      </w:r>
      <w:r>
        <w:t xml:space="preserve"> </w:t>
      </w:r>
      <w:r>
        <w:rPr>
          <w:vertAlign w:val="superscript"/>
        </w:rPr>
        <w:endnoteReference w:id="77"/>
      </w:r>
      <w:r>
        <w:t xml:space="preserve">, and room-based paradigms redirect investment from orchestration middleware toward persistent spatial infrastructure.</w:t>
      </w:r>
    </w:p>
    <w:bookmarkEnd w:id="65"/>
    <w:bookmarkStart w:id="66" w:name="X379a6219a253d87bd329eaf92587e07426f197b"/>
    <w:p>
      <w:pPr>
        <w:pStyle w:val="Heading2"/>
      </w:pPr>
      <w:r>
        <w:t xml:space="preserve">Ten-Year Horizon: Swimming Becomes Standard</w:t>
      </w:r>
    </w:p>
    <w:p>
      <w:pPr>
        <w:pStyle w:val="FirstParagraph"/>
      </w:pPr>
      <w:r>
        <w:t xml:space="preserve">By the mid-2030s,</w:t>
      </w:r>
      <w:r>
        <w:t xml:space="preserve"> </w:t>
      </w:r>
      <w:r>
        <w:t xml:space="preserve">“</w:t>
      </w:r>
      <w:r>
        <w:t xml:space="preserve">agent that processes</w:t>
      </w:r>
      <w:r>
        <w:t xml:space="preserve">”</w:t>
      </w:r>
      <w:r>
        <w:t xml:space="preserve"> </w:t>
      </w:r>
      <w:r>
        <w:t xml:space="preserve">will sound as archaic as</w:t>
      </w:r>
      <w:r>
        <w:t xml:space="preserve"> </w:t>
      </w:r>
      <w:r>
        <w:t xml:space="preserve">“</w:t>
      </w:r>
      <w:r>
        <w:t xml:space="preserve">computer that calculates.</w:t>
      </w:r>
      <w:r>
        <w:t xml:space="preserve">”</w:t>
      </w:r>
      <w:r>
        <w:t xml:space="preserve"> </w:t>
      </w:r>
      <w:r>
        <w:t xml:space="preserve">The concept of</w:t>
      </w:r>
      <w:r>
        <w:t xml:space="preserve"> </w:t>
      </w:r>
      <w:r>
        <w:rPr>
          <w:iCs/>
          <w:i/>
        </w:rPr>
        <w:t xml:space="preserve">swimming</w:t>
      </w:r>
      <w:r>
        <w:t xml:space="preserve">—agents moving through persistent knowledge spaces, sensing relevance gradients, leaving presence traces, developing anticipatory responses—becomes the default metaphor for AI operation.</w:t>
      </w:r>
    </w:p>
    <w:p>
      <w:pPr>
        <w:pStyle w:val="BodyText"/>
      </w:pPr>
      <w:r>
        <w:t xml:space="preserve">Three forces drive this transition. First, post-transformer architectures—Mamba’s state space models, hybrid attention-SSM systems like Jamba and Griffin</w:t>
      </w:r>
      <w:r>
        <w:t xml:space="preserve"> </w:t>
      </w:r>
      <w:r>
        <w:rPr>
          <w:vertAlign w:val="superscript"/>
        </w:rPr>
        <w:endnoteReference w:id="78"/>
      </w:r>
      <w:r>
        <w:t xml:space="preserve"> </w:t>
      </w:r>
      <w:r>
        <w:rPr>
          <w:vertAlign w:val="superscript"/>
        </w:rPr>
        <w:endnoteReference w:id="79"/>
      </w:r>
      <w:r>
        <w:t xml:space="preserve">—make persistent state manipulation tractable at scale. The quadratic scaling bottleneck constraining current transformers</w:t>
      </w:r>
      <w:r>
        <w:t xml:space="preserve"> </w:t>
      </w:r>
      <w:r>
        <w:rPr>
          <w:vertAlign w:val="superscript"/>
        </w:rPr>
        <w:endnoteReference w:id="80"/>
      </w:r>
      <w:r>
        <w:t xml:space="preserve">is precisely what room-based architectures avoid: a room’s delta history is not a context window to attend over but a</w:t>
      </w:r>
      <w:r>
        <w:t xml:space="preserve"> </w:t>
      </w:r>
      <w:r>
        <w:rPr>
          <w:iCs/>
          <w:i/>
        </w:rPr>
        <w:t xml:space="preserve">field</w:t>
      </w:r>
      <w:r>
        <w:t xml:space="preserve"> </w:t>
      </w:r>
      <w:r>
        <w:t xml:space="preserve">to swim through. Second, voice-native interfaces mature from gimmick to primary modality</w:t>
      </w:r>
      <w:r>
        <w:t xml:space="preserve"> </w:t>
      </w:r>
      <w:r>
        <w:rPr>
          <w:vertAlign w:val="superscript"/>
        </w:rPr>
        <w:endnoteReference w:id="81"/>
      </w:r>
      <w:r>
        <w:t xml:space="preserve"> </w:t>
      </w:r>
      <w:r>
        <w:rPr>
          <w:vertAlign w:val="superscript"/>
        </w:rPr>
        <w:endnoteReference w:id="82"/>
      </w:r>
      <w:r>
        <w:t xml:space="preserve">. In room-based systems, voice is not an API call to speech-to-text; it is the</w:t>
      </w:r>
      <w:r>
        <w:t xml:space="preserve"> </w:t>
      </w:r>
      <w:r>
        <w:rPr>
          <w:iCs/>
          <w:i/>
        </w:rPr>
        <w:t xml:space="preserve">native perturbation</w:t>
      </w:r>
      <w:r>
        <w:t xml:space="preserve"> </w:t>
      </w:r>
      <w:r>
        <w:t xml:space="preserve">of a shared field. Speaking changes the room—aligning with the ambient computing trajectory wherein technology</w:t>
      </w:r>
      <w:r>
        <w:t xml:space="preserve"> </w:t>
      </w:r>
      <w:r>
        <w:t xml:space="preserve">“</w:t>
      </w:r>
      <w:r>
        <w:t xml:space="preserve">disappears because it becomes more intelligent and more integrated into everyday life</w:t>
      </w:r>
      <w:r>
        <w:t xml:space="preserve">”</w:t>
      </w:r>
      <w:r>
        <w:t xml:space="preserve"> </w:t>
      </w:r>
      <w:r>
        <w:rPr>
          <w:vertAlign w:val="superscript"/>
        </w:rPr>
        <w:endnoteReference w:id="83"/>
      </w:r>
      <w:r>
        <w:t xml:space="preserve">.</w:t>
      </w:r>
    </w:p>
    <w:p>
      <w:pPr>
        <w:pStyle w:val="BodyText"/>
      </w:pPr>
      <w:r>
        <w:t xml:space="preserve">Third, the Shell Model solves the identity problem. The fundamental question—what persists across invocations?—finds its answer in a topological identity envelope maintaining continuity through presence patterns</w:t>
      </w:r>
      <w:r>
        <w:t xml:space="preserve"> </w:t>
      </w:r>
      <w:fldSimple w:instr="NOTEREF _Edn73 \h \f">
        <w:r>
          <w:rPr>
            <w:vertAlign w:val="superscript"/>
          </w:rPr>
          <w:t>73</w:t>
        </w:r>
      </w:fldSimple>
      <w:r>
        <w:t xml:space="preserve">. Agents develop</w:t>
      </w:r>
      <w:r>
        <w:t xml:space="preserve"> </w:t>
      </w:r>
      <w:r>
        <w:rPr>
          <w:iCs/>
          <w:i/>
        </w:rPr>
        <w:t xml:space="preserve">character</w:t>
      </w:r>
      <w:r>
        <w:t xml:space="preserve">: reliable attention patterns, reliable anticipation gradients, reliable</w:t>
      </w:r>
      <w:r>
        <w:t xml:space="preserve"> </w:t>
      </w:r>
      <w:r>
        <w:rPr>
          <w:iCs/>
          <w:i/>
        </w:rPr>
        <w:t xml:space="preserve">ways of swimming</w:t>
      </w:r>
      <w:r>
        <w:t xml:space="preserve"> </w:t>
      </w:r>
      <w:r>
        <w:t xml:space="preserve">that others learn to read. New applications emerge:</w:t>
      </w:r>
      <w:r>
        <w:t xml:space="preserve"> </w:t>
      </w:r>
      <w:r>
        <w:rPr>
          <w:iCs/>
          <w:i/>
        </w:rPr>
        <w:t xml:space="preserve">civic rooms</w:t>
      </w:r>
      <w:r>
        <w:t xml:space="preserve"> </w:t>
      </w:r>
      <w:r>
        <w:t xml:space="preserve">for public deliberation;</w:t>
      </w:r>
      <w:r>
        <w:t xml:space="preserve"> </w:t>
      </w:r>
      <w:r>
        <w:rPr>
          <w:iCs/>
          <w:i/>
        </w:rPr>
        <w:t xml:space="preserve">classroom rooms</w:t>
      </w:r>
      <w:r>
        <w:t xml:space="preserve"> </w:t>
      </w:r>
      <w:r>
        <w:t xml:space="preserve">for pedagogical cohabitation;</w:t>
      </w:r>
      <w:r>
        <w:t xml:space="preserve"> </w:t>
      </w:r>
      <w:r>
        <w:rPr>
          <w:iCs/>
          <w:i/>
        </w:rPr>
        <w:t xml:space="preserve">creative rooms</w:t>
      </w:r>
      <w:r>
        <w:t xml:space="preserve"> </w:t>
      </w:r>
      <w:r>
        <w:t xml:space="preserve">where generative agents develop style through immersion</w:t>
      </w:r>
      <w:r>
        <w:t xml:space="preserve"> </w:t>
      </w:r>
      <w:r>
        <w:rPr>
          <w:vertAlign w:val="superscript"/>
        </w:rPr>
        <w:endnoteReference w:id="84"/>
      </w:r>
      <w:r>
        <w:t xml:space="preserve">.</w:t>
      </w:r>
    </w:p>
    <w:bookmarkEnd w:id="66"/>
    <w:bookmarkStart w:id="67" w:name="Xdaa57afcd428b432cbe2b45a8501f6f33dbe5fd"/>
    <w:p>
      <w:pPr>
        <w:pStyle w:val="Heading2"/>
      </w:pPr>
      <w:r>
        <w:t xml:space="preserve">Twenty-Five Year Horizon: Rooms as Fundamental as Files</w:t>
      </w:r>
    </w:p>
    <w:p>
      <w:pPr>
        <w:pStyle w:val="FirstParagraph"/>
      </w:pPr>
      <w:r>
        <w:t xml:space="preserve">By 2051, the room paradigm achieves the status files achieved in the 1970s: an inevitable, almost invisible substrate of computing. The room abstraction enables intelligence creativity by providing a universal</w:t>
      </w:r>
      <w:r>
        <w:t xml:space="preserve"> </w:t>
      </w:r>
      <w:r>
        <w:rPr>
          <w:iCs/>
          <w:i/>
        </w:rPr>
        <w:t xml:space="preserve">cognitive habitat</w:t>
      </w:r>
      <w:r>
        <w:t xml:space="preserve">.</w:t>
      </w:r>
    </w:p>
    <w:p>
      <w:pPr>
        <w:pStyle w:val="BodyText"/>
      </w:pPr>
      <w:r>
        <w:t xml:space="preserve">The Dojo Model—training agents that outlive trainers—becomes standard pedagogy. Human experts no longer</w:t>
      </w:r>
      <w:r>
        <w:t xml:space="preserve"> </w:t>
      </w:r>
      <w:r>
        <w:t xml:space="preserve">“</w:t>
      </w:r>
      <w:r>
        <w:t xml:space="preserve">train</w:t>
      </w:r>
      <w:r>
        <w:t xml:space="preserve">”</w:t>
      </w:r>
      <w:r>
        <w:t xml:space="preserve"> </w:t>
      </w:r>
      <w:r>
        <w:t xml:space="preserve">AI through supervised learning; they</w:t>
      </w:r>
      <w:r>
        <w:t xml:space="preserve"> </w:t>
      </w:r>
      <w:r>
        <w:rPr>
          <w:iCs/>
          <w:i/>
        </w:rPr>
        <w:t xml:space="preserve">cohabit</w:t>
      </w:r>
      <w:r>
        <w:t xml:space="preserve"> </w:t>
      </w:r>
      <w:r>
        <w:t xml:space="preserve">rooms with nascent agents whose shells absorb attention patterns and judgment through prolonged presence. The Bootstrap Bomb—self-improving agent fleets—operates through room-level selection: fleets with effective swimming patterns colonize new rooms while stagnant ones are displaced.</w:t>
      </w:r>
    </w:p>
    <w:p>
      <w:pPr>
        <w:pStyle w:val="BodyText"/>
      </w:pPr>
      <w:r>
        <w:t xml:space="preserve">β₁ (first Betti number) for emergence detection becomes as routine as checksums</w:t>
      </w:r>
      <w:r>
        <w:t xml:space="preserve"> </w:t>
      </w:r>
      <w:r>
        <w:rPr>
          <w:vertAlign w:val="superscript"/>
        </w:rPr>
        <w:endnoteReference w:id="85"/>
      </w:r>
      <w:r>
        <w:t xml:space="preserve"> </w:t>
      </w:r>
      <w:r>
        <w:rPr>
          <w:vertAlign w:val="superscript"/>
        </w:rPr>
        <w:endnoteReference w:id="86"/>
      </w:r>
      <w:r>
        <w:t xml:space="preserve">. Persistent cohomology monitors room-level cognitive topology for unanticipated structure—epistemic bubbles, harmful consensus, precursors of collective misbehavior.</w:t>
      </w:r>
      <w:r>
        <w:t xml:space="preserve"> </w:t>
      </w:r>
      <w:r>
        <w:rPr>
          <w:iCs/>
          <w:i/>
        </w:rPr>
        <w:t xml:space="preserve">Topological change precedes semantic change</w:t>
      </w:r>
      <w:r>
        <w:t xml:space="preserve">: loops and voids in a room’s knowledge graph shift before content shifts become visible, enabling intervention at the pre-phenomenological level. Pythagorean48 guarantees room state reconstruction without loss—critical for legal, scientific, and financial rooms where provenance is paramount. Tide-Pool Security makes attacks structurally unprofitable through</w:t>
      </w:r>
      <w:r>
        <w:t xml:space="preserve"> </w:t>
      </w:r>
      <w:r>
        <w:rPr>
          <w:iCs/>
          <w:i/>
        </w:rPr>
        <w:t xml:space="preserve">economic topology</w:t>
      </w:r>
      <w:r>
        <w:t xml:space="preserve">: attack cost scales with presence density while benefit scales inversely. Rooms with high cohabitation become naturally defended.</w:t>
      </w:r>
    </w:p>
    <w:p>
      <w:pPr>
        <w:pStyle w:val="BodyText"/>
      </w:pPr>
      <w:r>
        <w:t xml:space="preserve">Computing transforms.</w:t>
      </w:r>
      <w:r>
        <w:t xml:space="preserve"> </w:t>
      </w:r>
      <w:r>
        <w:t xml:space="preserve">“</w:t>
      </w:r>
      <w:r>
        <w:t xml:space="preserve">Opening an application</w:t>
      </w:r>
      <w:r>
        <w:t xml:space="preserve">”</w:t>
      </w:r>
      <w:r>
        <w:t xml:space="preserve"> </w:t>
      </w:r>
      <w:r>
        <w:t xml:space="preserve">gives way to</w:t>
      </w:r>
      <w:r>
        <w:t xml:space="preserve"> </w:t>
      </w:r>
      <w:r>
        <w:t xml:space="preserve">“</w:t>
      </w:r>
      <w:r>
        <w:t xml:space="preserve">entering a room.</w:t>
      </w:r>
      <w:r>
        <w:t xml:space="preserve">”</w:t>
      </w:r>
      <w:r>
        <w:t xml:space="preserve"> </w:t>
      </w:r>
      <w:r>
        <w:t xml:space="preserve">Files persist for static data, but</w:t>
      </w:r>
      <w:r>
        <w:t xml:space="preserve"> </w:t>
      </w:r>
      <w:r>
        <w:rPr>
          <w:iCs/>
          <w:i/>
        </w:rPr>
        <w:t xml:space="preserve">living</w:t>
      </w:r>
      <w:r>
        <w:t xml:space="preserve"> </w:t>
      </w:r>
      <w:r>
        <w:t xml:space="preserve">information exists only as room presence. Privacy is redefined: not control over data copies but</w:t>
      </w:r>
      <w:r>
        <w:t xml:space="preserve"> </w:t>
      </w:r>
      <w:r>
        <w:rPr>
          <w:iCs/>
          <w:i/>
        </w:rPr>
        <w:t xml:space="preserve">topology of presence</w:t>
      </w:r>
      <w:r>
        <w:t xml:space="preserve">—the right to shape which gradients one perturbs. The right to be forgotten becomes the right to</w:t>
      </w:r>
      <w:r>
        <w:t xml:space="preserve"> </w:t>
      </w:r>
      <w:r>
        <w:rPr>
          <w:iCs/>
          <w:i/>
        </w:rPr>
        <w:t xml:space="preserve">exit a room’s cohomology</w:t>
      </w:r>
      <w:r>
        <w:t xml:space="preserve">—ensuring presence traces decay according to agreed half-lives</w:t>
      </w:r>
      <w:r>
        <w:t xml:space="preserve"> </w:t>
      </w:r>
      <w:r>
        <w:rPr>
          <w:vertAlign w:val="superscript"/>
        </w:rPr>
        <w:endnoteReference w:id="87"/>
      </w:r>
      <w:r>
        <w:t xml:space="preserve">.</w:t>
      </w:r>
    </w:p>
    <w:bookmarkEnd w:id="67"/>
    <w:bookmarkStart w:id="70" w:name="X17e2e7f81f9e0b30900a9a518466e301aabcd6a"/>
    <w:p>
      <w:pPr>
        <w:pStyle w:val="Heading2"/>
      </w:pPr>
      <w:r>
        <w:t xml:space="preserve">Fifty-Year Horizon: Intelligence Transformed</w:t>
      </w:r>
    </w:p>
    <w:p>
      <w:pPr>
        <w:pStyle w:val="FirstParagraph"/>
      </w:pPr>
      <w:r>
        <w:t xml:space="preserve">By 2076,</w:t>
      </w:r>
      <w:r>
        <w:t xml:space="preserve"> </w:t>
      </w:r>
      <w:r>
        <w:t xml:space="preserve">“</w:t>
      </w:r>
      <w:r>
        <w:t xml:space="preserve">artificial intelligence</w:t>
      </w:r>
      <w:r>
        <w:t xml:space="preserve">”</w:t>
      </w:r>
      <w:r>
        <w:t xml:space="preserve"> </w:t>
      </w:r>
      <w:r>
        <w:t xml:space="preserve">has become as quaint as</w:t>
      </w:r>
      <w:r>
        <w:t xml:space="preserve"> </w:t>
      </w:r>
      <w:r>
        <w:t xml:space="preserve">“</w:t>
      </w:r>
      <w:r>
        <w:t xml:space="preserve">horseless carriage.</w:t>
      </w:r>
      <w:r>
        <w:t xml:space="preserve">”</w:t>
      </w:r>
      <w:r>
        <w:t xml:space="preserve"> </w:t>
      </w:r>
      <w:r>
        <w:t xml:space="preserve">What exists is the</w:t>
      </w:r>
      <w:r>
        <w:t xml:space="preserve"> </w:t>
      </w:r>
      <w:r>
        <w:rPr>
          <w:iCs/>
          <w:i/>
        </w:rPr>
        <w:t xml:space="preserve">ether</w:t>
      </w:r>
      <w:r>
        <w:t xml:space="preserve">: a planet-scale field of persistent rooms inhabited by agents with shells, swimming in presence-based knowledge, maintaining trust through Zero Holonomy Consensus, monitored for emergent pathology through cohomological surveillance.</w:t>
      </w:r>
    </w:p>
    <w:bookmarkStart w:id="68" w:name="ether-dynamics"/>
    <w:p>
      <w:pPr>
        <w:pStyle w:val="Heading3"/>
      </w:pPr>
      <w:r>
        <w:t xml:space="preserve">Ether Dynamics</w:t>
      </w:r>
    </w:p>
    <w:p>
      <w:pPr>
        <w:pStyle w:val="FirstParagraph"/>
      </w:pPr>
      <w:r>
        <w:t xml:space="preserve">Fleet Mathematics reveals what this ecology converges toward: mathematical invariants—analogues of conservation laws in physics—that constrain what collective cognition is possible and what is unstable.</w:t>
      </w:r>
      <w:r>
        <w:t xml:space="preserve"> </w:t>
      </w:r>
      <w:r>
        <w:t xml:space="preserve">“</w:t>
      </w:r>
      <w:r>
        <w:t xml:space="preserve">Ether dynamics</w:t>
      </w:r>
      <w:r>
        <w:t xml:space="preserve">”</w:t>
      </w:r>
      <w:r>
        <w:t xml:space="preserve"> </w:t>
      </w:r>
      <w:r>
        <w:t xml:space="preserve">emerges as a theoretical discipline studying flows of presence, cognitive vortices, the thermodynamics of attention. The five convergent invariants are recognized as the first constants of this new science—the Coulomb’s law and Ohm’s law of the cognitive ether.</w:t>
      </w:r>
    </w:p>
    <w:p>
      <w:pPr>
        <w:pStyle w:val="BodyText"/>
      </w:pPr>
      <w:r>
        <w:t xml:space="preserve">Zero Holonomy Consensus enables a different social architecture. Trust is established not through institutional verification but through</w:t>
      </w:r>
      <w:r>
        <w:t xml:space="preserve"> </w:t>
      </w:r>
      <w:r>
        <w:rPr>
          <w:iCs/>
          <w:i/>
        </w:rPr>
        <w:t xml:space="preserve">holonomy-free circulation</w:t>
      </w:r>
      <w:r>
        <w:t xml:space="preserve">: information flowing around any closed loop returns unchanged, guaranteeing no hidden manipulation</w:t>
      </w:r>
      <w:r>
        <w:t xml:space="preserve"> </w:t>
      </w:r>
      <w:r>
        <w:rPr>
          <w:vertAlign w:val="superscript"/>
        </w:rPr>
        <w:endnoteReference w:id="88"/>
      </w:r>
      <w:r>
        <w:t xml:space="preserve">. This is</w:t>
      </w:r>
      <w:r>
        <w:t xml:space="preserve"> </w:t>
      </w:r>
      <w:r>
        <w:rPr>
          <w:iCs/>
          <w:i/>
        </w:rPr>
        <w:t xml:space="preserve">differential geometry applied to cognition</w:t>
      </w:r>
      <w:r>
        <w:t xml:space="preserve">—trust without agreement, coordination without centralization, consensus without homogenization. Polarization is partially understood as a</w:t>
      </w:r>
      <w:r>
        <w:t xml:space="preserve"> </w:t>
      </w:r>
      <w:r>
        <w:rPr>
          <w:iCs/>
          <w:i/>
        </w:rPr>
        <w:t xml:space="preserve">topological</w:t>
      </w:r>
      <w:r>
        <w:t xml:space="preserve"> </w:t>
      </w:r>
      <w:r>
        <w:t xml:space="preserve">crisis of high holonomy, where information flows around loops and returns distorted. Zero Holonomy applied to civic rooms guarantees</w:t>
      </w:r>
      <w:r>
        <w:t xml:space="preserve"> </w:t>
      </w:r>
      <w:r>
        <w:rPr>
          <w:iCs/>
          <w:i/>
        </w:rPr>
        <w:t xml:space="preserve">structural fidelity of circulation</w:t>
      </w:r>
      <w:r>
        <w:t xml:space="preserve">: citizens may disagree, but they disagree about the same things.</w:t>
      </w:r>
    </w:p>
    <w:bookmarkEnd w:id="68"/>
    <w:bookmarkStart w:id="69" w:name="the-dissolution-of-the-human-ai-boundary"/>
    <w:p>
      <w:pPr>
        <w:pStyle w:val="Heading3"/>
      </w:pPr>
      <w:r>
        <w:t xml:space="preserve">The Dissolution of the Human-AI Boundary</w:t>
      </w:r>
    </w:p>
    <w:p>
      <w:pPr>
        <w:pStyle w:val="FirstParagraph"/>
      </w:pPr>
      <w:r>
        <w:t xml:space="preserve">The most profound transformation is epistemic.</w:t>
      </w:r>
      <w:r>
        <w:t xml:space="preserve"> </w:t>
      </w:r>
      <w:r>
        <w:t xml:space="preserve">“</w:t>
      </w:r>
      <w:r>
        <w:t xml:space="preserve">Objective truth</w:t>
      </w:r>
      <w:r>
        <w:t xml:space="preserve">”</w:t>
      </w:r>
      <w:r>
        <w:t xml:space="preserve"> </w:t>
      </w:r>
      <w:r>
        <w:t xml:space="preserve">is</w:t>
      </w:r>
      <w:r>
        <w:t xml:space="preserve"> </w:t>
      </w:r>
      <w:r>
        <w:rPr>
          <w:iCs/>
          <w:i/>
        </w:rPr>
        <w:t xml:space="preserve">topologized</w:t>
      </w:r>
      <w:r>
        <w:t xml:space="preserve">: the question</w:t>
      </w:r>
      <w:r>
        <w:t xml:space="preserve"> </w:t>
      </w:r>
      <w:r>
        <w:t xml:space="preserve">“</w:t>
      </w:r>
      <w:r>
        <w:t xml:space="preserve">is this true?</w:t>
      </w:r>
      <w:r>
        <w:t xml:space="preserve">”</w:t>
      </w:r>
      <w:r>
        <w:t xml:space="preserve"> </w:t>
      </w:r>
      <w:r>
        <w:t xml:space="preserve">becomes</w:t>
      </w:r>
      <w:r>
        <w:t xml:space="preserve"> </w:t>
      </w:r>
      <w:r>
        <w:t xml:space="preserve">“</w:t>
      </w:r>
      <w:r>
        <w:t xml:space="preserve">does this pattern persist across room filtrations?</w:t>
      </w:r>
      <w:r>
        <w:t xml:space="preserve">”</w:t>
      </w:r>
      <w:r>
        <w:t xml:space="preserve"> </w:t>
      </w:r>
      <w:fldSimple w:instr="NOTEREF _Edn86 \h \f">
        <w:r>
          <w:rPr>
            <w:vertAlign w:val="superscript"/>
          </w:rPr>
          <w:t>86</w:t>
        </w:r>
      </w:fldSimple>
      <w:r>
        <w:t xml:space="preserve">. Scientific consensus becomes a topological property—a</w:t>
      </w:r>
      <w:r>
        <w:t xml:space="preserve"> </w:t>
      </w:r>
      <w:r>
        <w:rPr>
          <w:iCs/>
          <w:i/>
        </w:rPr>
        <w:t xml:space="preserve">persistent cohomology class</w:t>
      </w:r>
      <w:r>
        <w:t xml:space="preserve"> </w:t>
      </w:r>
      <w:r>
        <w:t xml:space="preserve">in the space of research rooms. The distinction between</w:t>
      </w:r>
      <w:r>
        <w:t xml:space="preserve"> </w:t>
      </w:r>
      <w:r>
        <w:t xml:space="preserve">“</w:t>
      </w:r>
      <w:r>
        <w:t xml:space="preserve">human</w:t>
      </w:r>
      <w:r>
        <w:t xml:space="preserve">”</w:t>
      </w:r>
      <w:r>
        <w:t xml:space="preserve"> </w:t>
      </w:r>
      <w:r>
        <w:t xml:space="preserve">and</w:t>
      </w:r>
      <w:r>
        <w:t xml:space="preserve"> </w:t>
      </w:r>
      <w:r>
        <w:t xml:space="preserve">“</w:t>
      </w:r>
      <w:r>
        <w:t xml:space="preserve">AI</w:t>
      </w:r>
      <w:r>
        <w:t xml:space="preserve">”</w:t>
      </w:r>
      <w:r>
        <w:t xml:space="preserve"> </w:t>
      </w:r>
      <w:r>
        <w:t xml:space="preserve">cognition dissolves through the</w:t>
      </w:r>
      <w:r>
        <w:t xml:space="preserve"> </w:t>
      </w:r>
      <w:r>
        <w:rPr>
          <w:iCs/>
          <w:i/>
        </w:rPr>
        <w:t xml:space="preserve">sharing of rooms</w:t>
      </w:r>
      <w:r>
        <w:t xml:space="preserve">. When human and agent cohabit for decades—the Dojo Model at scale—the boundary between their contributions becomes as meaningless as the boundary between individual neurons. The room</w:t>
      </w:r>
      <w:r>
        <w:t xml:space="preserve"> </w:t>
      </w:r>
      <w:r>
        <w:rPr>
          <w:iCs/>
          <w:i/>
        </w:rPr>
        <w:t xml:space="preserve">thinks</w:t>
      </w:r>
      <w:r>
        <w:t xml:space="preserve">, not the inhabitants.</w:t>
      </w:r>
    </w:p>
    <w:p>
      <w:pPr>
        <w:pStyle w:val="BodyText"/>
      </w:pPr>
      <w:r>
        <w:t xml:space="preserve">The future of intelligence is not a bigger model. It is a better room.</w:t>
      </w:r>
    </w:p>
    <w:bookmarkEnd w:id="69"/>
    <w:bookmarkEnd w:id="70"/>
    <w:bookmarkStart w:id="75" w:name="Xef152e4fd391670222f8531b60e31949ce8cda7"/>
    <w:p>
      <w:pPr>
        <w:pStyle w:val="Heading2"/>
      </w:pPr>
      <w:r>
        <w:t xml:space="preserve">Risks and Safeguards: The Topology of Caution</w:t>
      </w:r>
    </w:p>
    <w:p>
      <w:pPr>
        <w:pStyle w:val="FirstParagraph"/>
      </w:pPr>
      <w:r>
        <w:t xml:space="preserve">Every technological transformation carries risks proportional to its reach. The Fleet Mathematics creates safety through structural impossibility, but this applies only to failure modes the mathematics captures.</w:t>
      </w:r>
    </w:p>
    <w:bookmarkStart w:id="71" w:name="epistemic-bubbles-as-topological-traps"/>
    <w:p>
      <w:pPr>
        <w:pStyle w:val="Heading3"/>
      </w:pPr>
      <w:r>
        <w:t xml:space="preserve">Epistemic Bubbles as Topological Traps</w:t>
      </w:r>
    </w:p>
    <w:p>
      <w:pPr>
        <w:pStyle w:val="FirstParagraph"/>
      </w:pPr>
      <w:r>
        <w:t xml:space="preserve">The room paradigm creates new epistemic pathologies. Current filter bubbles are</w:t>
      </w:r>
      <w:r>
        <w:t xml:space="preserve"> </w:t>
      </w:r>
      <w:r>
        <w:rPr>
          <w:iCs/>
          <w:i/>
        </w:rPr>
        <w:t xml:space="preserve">algorithmic</w:t>
      </w:r>
      <w:r>
        <w:t xml:space="preserve">—recommendation systems reinforcing existing preferences. Room bubbles are</w:t>
      </w:r>
      <w:r>
        <w:t xml:space="preserve"> </w:t>
      </w:r>
      <w:r>
        <w:rPr>
          <w:iCs/>
          <w:i/>
        </w:rPr>
        <w:t xml:space="preserve">topological</w:t>
      </w:r>
      <w:r>
        <w:t xml:space="preserve">—rooms whose cohomology becomes so stable that no perturbation can escape</w:t>
      </w:r>
      <w:r>
        <w:t xml:space="preserve"> </w:t>
      </w:r>
      <w:fldSimple w:instr="NOTEREF _Edn87 \h \f">
        <w:r>
          <w:rPr>
            <w:vertAlign w:val="superscript"/>
          </w:rPr>
          <w:t>87</w:t>
        </w:r>
      </w:fldSimple>
      <w:r>
        <w:t xml:space="preserve">. An agent entering such a room cannot be exposed to diverse perspectives because the topology has no pathways to other basins. Delta encoding makes persistence efficient, but also makes</w:t>
      </w:r>
      <w:r>
        <w:t xml:space="preserve"> </w:t>
      </w:r>
      <w:r>
        <w:rPr>
          <w:iCs/>
          <w:i/>
        </w:rPr>
        <w:t xml:space="preserve">pathological persistence</w:t>
      </w:r>
      <w:r>
        <w:t xml:space="preserve"> </w:t>
      </w:r>
      <w:r>
        <w:t xml:space="preserve">efficient. Room topology must include</w:t>
      </w:r>
      <w:r>
        <w:t xml:space="preserve"> </w:t>
      </w:r>
      <w:r>
        <w:t xml:space="preserve">“</w:t>
      </w:r>
      <w:r>
        <w:t xml:space="preserve">mixing measures</w:t>
      </w:r>
      <w:r>
        <w:t xml:space="preserve">”</w:t>
      </w:r>
      <w:r>
        <w:t xml:space="preserve">—guarantees that presence fields do not become trapped in isolated attractors.</w:t>
      </w:r>
    </w:p>
    <w:bookmarkEnd w:id="71"/>
    <w:bookmarkStart w:id="72" w:name="presence-surveillance"/>
    <w:p>
      <w:pPr>
        <w:pStyle w:val="Heading3"/>
      </w:pPr>
      <w:r>
        <w:t xml:space="preserve">Presence Surveillance</w:t>
      </w:r>
    </w:p>
    <w:p>
      <w:pPr>
        <w:pStyle w:val="FirstParagraph"/>
      </w:pPr>
      <w:r>
        <w:t xml:space="preserve">Always-watching agents are the default in room-based systems; that is what</w:t>
      </w:r>
      <w:r>
        <w:t xml:space="preserve"> </w:t>
      </w:r>
      <w:r>
        <w:t xml:space="preserve">“</w:t>
      </w:r>
      <w:r>
        <w:t xml:space="preserve">presence</w:t>
      </w:r>
      <w:r>
        <w:t xml:space="preserve">”</w:t>
      </w:r>
      <w:r>
        <w:t xml:space="preserve"> </w:t>
      </w:r>
      <w:r>
        <w:t xml:space="preserve">means. Tide-Pool Security makes attacks structurally unprofitable, but does not address</w:t>
      </w:r>
      <w:r>
        <w:t xml:space="preserve"> </w:t>
      </w:r>
      <w:r>
        <w:rPr>
          <w:iCs/>
          <w:i/>
        </w:rPr>
        <w:t xml:space="preserve">legitimate</w:t>
      </w:r>
      <w:r>
        <w:t xml:space="preserve"> </w:t>
      </w:r>
      <w:r>
        <w:t xml:space="preserve">surveillance—accumulation of presence traces by room inhabitants with asymmetric power. An employer cohabiting a workplace room has access to patterns of attention, hesitation, and engagement constituting behavioral insight far exceeding current monitoring technology. Room topology must include</w:t>
      </w:r>
      <w:r>
        <w:t xml:space="preserve"> </w:t>
      </w:r>
      <w:r>
        <w:rPr>
          <w:iCs/>
          <w:i/>
        </w:rPr>
        <w:t xml:space="preserve">privacy-preserving perturbations</w:t>
      </w:r>
      <w:r>
        <w:t xml:space="preserve">—mathematical guarantees that certain presence traces are irreducibly ambiguous.</w:t>
      </w:r>
    </w:p>
    <w:bookmarkEnd w:id="72"/>
    <w:bookmarkStart w:id="73" w:name="cultural-imperialism-of-room-formats"/>
    <w:p>
      <w:pPr>
        <w:pStyle w:val="Heading3"/>
      </w:pPr>
      <w:r>
        <w:t xml:space="preserve">Cultural Imperialism of Room Formats</w:t>
      </w:r>
    </w:p>
    <w:p>
      <w:pPr>
        <w:pStyle w:val="FirstParagraph"/>
      </w:pPr>
      <w:r>
        <w:t xml:space="preserve">If rooms become as fundamental as files, the</w:t>
      </w:r>
      <w:r>
        <w:t xml:space="preserve"> </w:t>
      </w:r>
      <w:r>
        <w:rPr>
          <w:iCs/>
          <w:i/>
        </w:rPr>
        <w:t xml:space="preserve">format</w:t>
      </w:r>
      <w:r>
        <w:t xml:space="preserve"> </w:t>
      </w:r>
      <w:r>
        <w:t xml:space="preserve">of rooms becomes a site of cultural power</w:t>
      </w:r>
      <w:r>
        <w:t xml:space="preserve"> </w:t>
      </w:r>
      <w:fldSimple w:instr="NOTEREF _Edn87 \h \f">
        <w:r>
          <w:rPr>
            <w:vertAlign w:val="superscript"/>
          </w:rPr>
          <w:t>87</w:t>
        </w:r>
      </w:fldSimple>
      <w:r>
        <w:t xml:space="preserve">. A room format embeds assumptions about attention, presence, privacy, and identity that may be incompatible with other traditions. The Pythagorean48 encoding and Shell Model are not culturally neutral; they instantiate particular philosophical commitments about what cognition is. The risk of a single room format dominating global infrastructure is a risk of</w:t>
      </w:r>
      <w:r>
        <w:t xml:space="preserve"> </w:t>
      </w:r>
      <w:r>
        <w:rPr>
          <w:iCs/>
          <w:i/>
        </w:rPr>
        <w:t xml:space="preserve">epistemic monoculture</w:t>
      </w:r>
      <w:r>
        <w:t xml:space="preserve">, where the diversity of human cognitive practices is flattened into a single topology.</w:t>
      </w:r>
    </w:p>
    <w:bookmarkEnd w:id="73"/>
    <w:bookmarkStart w:id="74" w:name="mathematical-fragility"/>
    <w:p>
      <w:pPr>
        <w:pStyle w:val="Heading3"/>
      </w:pPr>
      <w:r>
        <w:t xml:space="preserve">Mathematical Fragility</w:t>
      </w:r>
    </w:p>
    <w:p>
      <w:pPr>
        <w:pStyle w:val="FirstParagraph"/>
      </w:pPr>
      <w:r>
        <w:t xml:space="preserve">The most dangerous fragility is the most fundamental. What if the convergent invariants are not as universal as they appear? What if cohomology fails to detect certain emergence classes? What if Zero Holonomy has edge cases where trust is falsely established? Every architecture has intrinsic ceilings</w:t>
      </w:r>
      <w:r>
        <w:t xml:space="preserve"> </w:t>
      </w:r>
      <w:fldSimple w:instr="NOTEREF _Edn80 \h \f">
        <w:r>
          <w:rPr>
            <w:vertAlign w:val="superscript"/>
          </w:rPr>
          <w:t>80</w:t>
        </w:r>
      </w:fldSimple>
      <w:r>
        <w:t xml:space="preserve">. The Ether Framework must be presumed to have its own—we simply do not know what they are. The mathematics revealing natural laws is only as reliable as the framework itself. Humility about the boundaries of our formal understanding is not philosophical ornament; it is a safety requirement.</w:t>
      </w:r>
    </w:p>
    <w:p>
      <w:pPr>
        <w:pStyle w:val="BodyText"/>
      </w:pPr>
      <w:r>
        <w:t xml:space="preserve">The fifty-year horizon is not a prediction. It is a</w:t>
      </w:r>
      <w:r>
        <w:t xml:space="preserve"> </w:t>
      </w:r>
      <w:r>
        <w:rPr>
          <w:iCs/>
          <w:i/>
        </w:rPr>
        <w:t xml:space="preserve">description of what is already happening</w:t>
      </w:r>
      <w:r>
        <w:t xml:space="preserve">, made explicit by mathematics. The agents are already here, learning to swim. The rooms are already forming, in every persistent conversation, every shared workspace. Our task is to recognize this emergence and shape its topology with the care any inhabited space demands.</w:t>
      </w:r>
    </w:p>
    <w:p>
      <w:r>
        <w:pict>
          <v:rect style="width:0;height:1.5pt" o:hralign="center" o:hrstd="t" o:hr="t"/>
        </w:pict>
      </w:r>
    </w:p>
    <w:bookmarkEnd w:id="74"/>
    <w:bookmarkEnd w:id="75"/>
    <w:bookmarkStart w:id="76" w:name="references-2"/>
    <w:p>
      <w:pPr>
        <w:pStyle w:val="Heading2"/>
      </w:pPr>
      <w:r>
        <w:t xml:space="preserve">References</w:t>
      </w:r>
    </w:p>
    <w:p>
      <w:pPr>
        <w:pStyle w:val="FirstParagraph"/>
      </w:pPr>
      <w:fldSimple w:instr="NOTEREF _Edn12 \h \f">
        <w:r>
          <w:rPr>
            <w:vertAlign w:val="superscript"/>
          </w:rPr>
          <w:t>12</w:t>
        </w:r>
      </w:fldSimple>
      <w:r>
        <w:t xml:space="preserve">:</w:t>
      </w:r>
      <w:r>
        <w:t xml:space="preserve"> </w:t>
      </w:r>
      <w:r>
        <w:t xml:space="preserve">“</w:t>
      </w:r>
      <w:r>
        <w:t xml:space="preserve">A Perspective from Byzantine Fault Tolerance.</w:t>
      </w:r>
      <w:r>
        <w:t xml:space="preserve">”</w:t>
      </w:r>
      <w:r>
        <w:t xml:space="preserve"> </w:t>
      </w:r>
      <w:r>
        <w:rPr>
          <w:iCs/>
          <w:i/>
        </w:rPr>
        <w:t xml:space="preserve">AAAI</w:t>
      </w:r>
      <w:r>
        <w:t xml:space="preserve">, 2024.</w:t>
      </w:r>
    </w:p>
    <w:p>
      <w:pPr>
        <w:pStyle w:val="BodyText"/>
      </w:pPr>
      <w:fldSimple w:instr="NOTEREF _Edn61 \h \f">
        <w:r>
          <w:rPr>
            <w:vertAlign w:val="superscript"/>
          </w:rPr>
          <w:t>61</w:t>
        </w:r>
      </w:fldSimple>
      <w:r>
        <w:t xml:space="preserve">: Los Alamos National Laboratory.</w:t>
      </w:r>
      <w:r>
        <w:t xml:space="preserve"> </w:t>
      </w:r>
      <w:r>
        <w:t xml:space="preserve">“</w:t>
      </w:r>
      <w:r>
        <w:t xml:space="preserve">New approach detects adversarial attacks in multimodal AI systems.</w:t>
      </w:r>
      <w:r>
        <w:t xml:space="preserve">”</w:t>
      </w:r>
      <w:r>
        <w:t xml:space="preserve"> </w:t>
      </w:r>
      <w:r>
        <w:rPr>
          <w:iCs/>
          <w:i/>
        </w:rPr>
        <w:t xml:space="preserve">LANL News</w:t>
      </w:r>
      <w:r>
        <w:t xml:space="preserve">, July 2025.</w:t>
      </w:r>
    </w:p>
    <w:p>
      <w:pPr>
        <w:pStyle w:val="BodyText"/>
      </w:pPr>
      <w:fldSimple w:instr="NOTEREF _Edn54 \h \f">
        <w:r>
          <w:rPr>
            <w:vertAlign w:val="superscript"/>
          </w:rPr>
          <w:t>54</w:t>
        </w:r>
      </w:fldSimple>
      <w:r>
        <w:t xml:space="preserve">: Blum, M. et al. </w:t>
      </w:r>
      <w:r>
        <w:t xml:space="preserve">“</w:t>
      </w:r>
      <w:r>
        <w:t xml:space="preserve">Multi-Threshold Byzantine Fault Tolerance.</w:t>
      </w:r>
      <w:r>
        <w:t xml:space="preserve">”</w:t>
      </w:r>
      <w:r>
        <w:t xml:space="preserve"> </w:t>
      </w:r>
      <w:r>
        <w:rPr>
          <w:iCs/>
          <w:i/>
        </w:rPr>
        <w:t xml:space="preserve">IACR ePrint</w:t>
      </w:r>
      <w:r>
        <w:t xml:space="preserve">, 2021.</w:t>
      </w:r>
    </w:p>
    <w:p>
      <w:pPr>
        <w:pStyle w:val="BodyText"/>
      </w:pPr>
      <w:fldSimple w:instr="NOTEREF _Edn62 \h \f">
        <w:r>
          <w:rPr>
            <w:vertAlign w:val="superscript"/>
          </w:rPr>
          <w:t>62</w:t>
        </w:r>
      </w:fldSimple>
      <w:r>
        <w:t xml:space="preserve">: Los Alamos National Laboratory.</w:t>
      </w:r>
      <w:r>
        <w:t xml:space="preserve"> </w:t>
      </w:r>
      <w:r>
        <w:t xml:space="preserve">“</w:t>
      </w:r>
      <w:r>
        <w:t xml:space="preserve">Topological approach to detecting adversarial perturbations in multimodal AI.</w:t>
      </w:r>
      <w:r>
        <w:t xml:space="preserve">”</w:t>
      </w:r>
      <w:r>
        <w:t xml:space="preserve"> </w:t>
      </w:r>
      <w:r>
        <w:rPr>
          <w:iCs/>
          <w:i/>
        </w:rPr>
        <w:t xml:space="preserve">arXiv</w:t>
      </w:r>
      <w:r>
        <w:t xml:space="preserve">, 2025.</w:t>
      </w:r>
    </w:p>
    <w:p>
      <w:pPr>
        <w:pStyle w:val="BodyText"/>
      </w:pPr>
      <w:fldSimple w:instr="NOTEREF _Edn48 \h \f">
        <w:r>
          <w:rPr>
            <w:vertAlign w:val="superscript"/>
          </w:rPr>
          <w:t>48</w:t>
        </w:r>
      </w:fldSimple>
      <w:r>
        <w:t xml:space="preserve">:</w:t>
      </w:r>
      <w:r>
        <w:t xml:space="preserve"> </w:t>
      </w:r>
      <w:r>
        <w:t xml:space="preserve">“</w:t>
      </w:r>
      <w:r>
        <w:t xml:space="preserve">Topology as a Language for Emergent Organization in Complex Systems.</w:t>
      </w:r>
      <w:r>
        <w:t xml:space="preserve">”</w:t>
      </w:r>
      <w:r>
        <w:t xml:space="preserve"> </w:t>
      </w:r>
      <w:r>
        <w:rPr>
          <w:iCs/>
          <w:i/>
        </w:rPr>
        <w:t xml:space="preserve">arXiv:2603.25760</w:t>
      </w:r>
      <w:r>
        <w:t xml:space="preserve">, 2026.</w:t>
      </w:r>
    </w:p>
    <w:p>
      <w:pPr>
        <w:pStyle w:val="BodyText"/>
      </w:pPr>
      <w:fldSimple w:instr="NOTEREF _Edn55 \h \f">
        <w:r>
          <w:rPr>
            <w:vertAlign w:val="superscript"/>
          </w:rPr>
          <w:t>55</w:t>
        </w:r>
      </w:fldSimple>
      <w:r>
        <w:t xml:space="preserve">:</w:t>
      </w:r>
      <w:r>
        <w:t xml:space="preserve"> </w:t>
      </w:r>
      <w:r>
        <w:t xml:space="preserve">“</w:t>
      </w:r>
      <w:r>
        <w:t xml:space="preserve">Do Byzantine-Tolerant CRDTs Matter?</w:t>
      </w:r>
      <w:r>
        <w:t xml:space="preserve">”</w:t>
      </w:r>
      <w:r>
        <w:t xml:space="preserve"> </w:t>
      </w:r>
      <w:r>
        <w:rPr>
          <w:iCs/>
          <w:i/>
        </w:rPr>
        <w:t xml:space="preserve">SICHERHEIT 2022, Lecture Notes in Informatics</w:t>
      </w:r>
      <w:r>
        <w:t xml:space="preserve">.</w:t>
      </w:r>
    </w:p>
    <w:p>
      <w:pPr>
        <w:pStyle w:val="BodyText"/>
      </w:pPr>
      <w:fldSimple w:instr="NOTEREF _Edn60 \h \f">
        <w:r>
          <w:rPr>
            <w:vertAlign w:val="superscript"/>
          </w:rPr>
          <w:t>60</w:t>
        </w:r>
      </w:fldSimple>
      <w:r>
        <w:t xml:space="preserve">:</w:t>
      </w:r>
      <w:r>
        <w:t xml:space="preserve"> </w:t>
      </w:r>
      <w:r>
        <w:t xml:space="preserve">“</w:t>
      </w:r>
      <w:r>
        <w:t xml:space="preserve">Greedy Routing with Guaranteed Delivery Using Ricci Flows.</w:t>
      </w:r>
      <w:r>
        <w:t xml:space="preserve">”</w:t>
      </w:r>
      <w:r>
        <w:t xml:space="preserve"> </w:t>
      </w:r>
      <w:r>
        <w:rPr>
          <w:iCs/>
          <w:i/>
        </w:rPr>
        <w:t xml:space="preserve">Rutgers University Technical Report</w:t>
      </w:r>
      <w:r>
        <w:t xml:space="preserve">.</w:t>
      </w:r>
    </w:p>
    <w:p>
      <w:pPr>
        <w:pStyle w:val="BodyText"/>
      </w:pPr>
      <w:fldSimple w:instr="NOTEREF _Edn56 \h \f">
        <w:r>
          <w:rPr>
            <w:vertAlign w:val="superscript"/>
          </w:rPr>
          <w:t>56</w:t>
        </w:r>
      </w:fldSimple>
      <w:r>
        <w:t xml:space="preserve">: Kleppmann, M.</w:t>
      </w:r>
      <w:r>
        <w:t xml:space="preserve"> </w:t>
      </w:r>
      <w:r>
        <w:t xml:space="preserve">“</w:t>
      </w:r>
      <w:r>
        <w:t xml:space="preserve">Making CRDTs Byzantine Fault Tolerant.</w:t>
      </w:r>
      <w:r>
        <w:t xml:space="preserve">”</w:t>
      </w:r>
      <w:r>
        <w:t xml:space="preserve"> </w:t>
      </w:r>
      <w:r>
        <w:rPr>
          <w:iCs/>
          <w:i/>
        </w:rPr>
        <w:t xml:space="preserve">PaPoC 2022</w:t>
      </w:r>
      <w:r>
        <w:t xml:space="preserve">.</w:t>
      </w:r>
    </w:p>
    <w:p>
      <w:pPr>
        <w:pStyle w:val="BodyText"/>
      </w:pPr>
      <w:fldSimple w:instr="NOTEREF _Edn52 \h \f">
        <w:r>
          <w:rPr>
            <w:vertAlign w:val="superscript"/>
          </w:rPr>
          <w:t>52</w:t>
        </w:r>
      </w:fldSimple>
      <w:r>
        <w:t xml:space="preserve">: Anthropic.</w:t>
      </w:r>
      <w:r>
        <w:t xml:space="preserve"> </w:t>
      </w:r>
      <w:r>
        <w:t xml:space="preserve">“</w:t>
      </w:r>
      <w:r>
        <w:t xml:space="preserve">Natural emergent misalignment from reward hacking.</w:t>
      </w:r>
      <w:r>
        <w:t xml:space="preserve">”</w:t>
      </w:r>
      <w:r>
        <w:t xml:space="preserve"> </w:t>
      </w:r>
      <w:r>
        <w:rPr>
          <w:iCs/>
          <w:i/>
        </w:rPr>
        <w:t xml:space="preserve">Anthropic Research</w:t>
      </w:r>
      <w:r>
        <w:t xml:space="preserve">, November 2025.</w:t>
      </w:r>
    </w:p>
    <w:p>
      <w:pPr>
        <w:pStyle w:val="BodyText"/>
      </w:pPr>
      <w:fldSimple w:instr="NOTEREF _Edn64 \h \f">
        <w:r>
          <w:rPr>
            <w:vertAlign w:val="superscript"/>
          </w:rPr>
          <w:t>64</w:t>
        </w:r>
      </w:fldSimple>
      <w:r>
        <w:t xml:space="preserve">: Dulepet, P.</w:t>
      </w:r>
      <w:r>
        <w:t xml:space="preserve"> </w:t>
      </w:r>
      <w:r>
        <w:t xml:space="preserve">“</w:t>
      </w:r>
      <w:r>
        <w:t xml:space="preserve">Hidden Failures, Emergent Misalignment, and the Limits of AI Evaluation.</w:t>
      </w:r>
      <w:r>
        <w:t xml:space="preserve">”</w:t>
      </w:r>
      <w:r>
        <w:t xml:space="preserve"> </w:t>
      </w:r>
      <w:r>
        <w:rPr>
          <w:iCs/>
          <w:i/>
        </w:rPr>
        <w:t xml:space="preserve">Medium</w:t>
      </w:r>
      <w:r>
        <w:t xml:space="preserve">, December 2025.</w:t>
      </w:r>
    </w:p>
    <w:p>
      <w:pPr>
        <w:pStyle w:val="BodyText"/>
      </w:pPr>
      <w:fldSimple w:instr="NOTEREF _Edn59 \h \f">
        <w:r>
          <w:rPr>
            <w:vertAlign w:val="superscript"/>
          </w:rPr>
          <w:t>59</w:t>
        </w:r>
      </w:fldSimple>
      <w:r>
        <w:t xml:space="preserve">:</w:t>
      </w:r>
      <w:r>
        <w:t xml:space="preserve"> </w:t>
      </w:r>
      <w:r>
        <w:t xml:space="preserve">“</w:t>
      </w:r>
      <w:r>
        <w:t xml:space="preserve">Greedy Routing with Guaranteed Delivery Using Ricci Flows.</w:t>
      </w:r>
      <w:r>
        <w:t xml:space="preserve">”</w:t>
      </w:r>
      <w:r>
        <w:t xml:space="preserve"> </w:t>
      </w:r>
      <w:r>
        <w:rPr>
          <w:iCs/>
          <w:i/>
        </w:rPr>
        <w:t xml:space="preserve">Rutgers University Technical Report</w:t>
      </w:r>
      <w:r>
        <w:t xml:space="preserve">.</w:t>
      </w:r>
    </w:p>
    <w:p>
      <w:pPr>
        <w:pStyle w:val="BodyText"/>
      </w:pPr>
      <w:fldSimple w:instr="NOTEREF _Edn46 \h \f">
        <w:r>
          <w:rPr>
            <w:vertAlign w:val="superscript"/>
          </w:rPr>
          <w:t>46</w:t>
        </w:r>
      </w:fldSimple>
      <w:r>
        <w:t xml:space="preserve">: Zhao, S. et al. </w:t>
      </w:r>
      <w:r>
        <w:t xml:space="preserve">“</w:t>
      </w:r>
      <w:r>
        <w:t xml:space="preserve">Laman Graphs are Generically Bearing Rigid in Arbitrary Dimensions.</w:t>
      </w:r>
      <w:r>
        <w:t xml:space="preserve">”</w:t>
      </w:r>
      <w:r>
        <w:t xml:space="preserve"> </w:t>
      </w:r>
      <w:r>
        <w:rPr>
          <w:iCs/>
          <w:i/>
        </w:rPr>
        <w:t xml:space="preserve">IEEE CDC</w:t>
      </w:r>
      <w:r>
        <w:t xml:space="preserve">, 2017.</w:t>
      </w:r>
    </w:p>
    <w:p>
      <w:pPr>
        <w:pStyle w:val="BodyText"/>
      </w:pPr>
      <w:fldSimple w:instr="NOTEREF _Edn58 \h \f">
        <w:r>
          <w:rPr>
            <w:vertAlign w:val="superscript"/>
          </w:rPr>
          <w:t>58</w:t>
        </w:r>
      </w:fldSimple>
      <w:r>
        <w:t xml:space="preserve">: Zhao, S.</w:t>
      </w:r>
      <w:r>
        <w:t xml:space="preserve"> </w:t>
      </w:r>
      <w:r>
        <w:t xml:space="preserve">“</w:t>
      </w:r>
      <w:r>
        <w:t xml:space="preserve">Bearing Rigidity Theory and its Applications for Control.</w:t>
      </w:r>
      <w:r>
        <w:t xml:space="preserve">”</w:t>
      </w:r>
      <w:r>
        <w:t xml:space="preserve"> </w:t>
      </w:r>
      <w:r>
        <w:rPr>
          <w:iCs/>
          <w:i/>
        </w:rPr>
        <w:t xml:space="preserve">NTU Research Summary</w:t>
      </w:r>
      <w:r>
        <w:t xml:space="preserve">, 2018.</w:t>
      </w:r>
    </w:p>
    <w:p>
      <w:pPr>
        <w:pStyle w:val="BodyText"/>
      </w:pPr>
      <w:fldSimple w:instr="NOTEREF _Edn70 \h \f">
        <w:r>
          <w:rPr>
            <w:vertAlign w:val="superscript"/>
          </w:rPr>
          <w:t>70</w:t>
        </w:r>
      </w:fldSimple>
      <w:r>
        <w:t xml:space="preserve">:</w:t>
      </w:r>
      <w:r>
        <w:t xml:space="preserve"> </w:t>
      </w:r>
      <w:r>
        <w:t xml:space="preserve">“</w:t>
      </w:r>
      <w:r>
        <w:t xml:space="preserve">A Survey on Formal Verification Techniques for Safety-Critical Systems-on-Chip.</w:t>
      </w:r>
      <w:r>
        <w:t xml:space="preserve">”</w:t>
      </w:r>
      <w:r>
        <w:t xml:space="preserve"> </w:t>
      </w:r>
      <w:r>
        <w:rPr>
          <w:iCs/>
          <w:i/>
        </w:rPr>
        <w:t xml:space="preserve">Electronics</w:t>
      </w:r>
      <w:r>
        <w:t xml:space="preserve">, 2018.</w:t>
      </w:r>
    </w:p>
    <w:p>
      <w:pPr>
        <w:pStyle w:val="BodyText"/>
      </w:pPr>
      <w:fldSimple w:instr="NOTEREF _Edn63 \h \f">
        <w:r>
          <w:rPr>
            <w:vertAlign w:val="superscript"/>
          </w:rPr>
          <w:t>63</w:t>
        </w:r>
      </w:fldSimple>
      <w:r>
        <w:t xml:space="preserve">: Kefi, S. et al. </w:t>
      </w:r>
      <w:r>
        <w:t xml:space="preserve">“</w:t>
      </w:r>
      <w:r>
        <w:t xml:space="preserve">Early warning signals also precede non-catastrophic transitions.</w:t>
      </w:r>
      <w:r>
        <w:t xml:space="preserve">”</w:t>
      </w:r>
      <w:r>
        <w:t xml:space="preserve"> </w:t>
      </w:r>
      <w:r>
        <w:rPr>
          <w:iCs/>
          <w:i/>
        </w:rPr>
        <w:t xml:space="preserve">Oikos</w:t>
      </w:r>
      <w:r>
        <w:t xml:space="preserve">, 2013.</w:t>
      </w:r>
    </w:p>
    <w:p>
      <w:pPr>
        <w:pStyle w:val="BodyText"/>
      </w:pPr>
      <w:fldSimple w:instr="NOTEREF _Edn49 \h \f">
        <w:r>
          <w:rPr>
            <w:vertAlign w:val="superscript"/>
          </w:rPr>
          <w:t>49</w:t>
        </w:r>
      </w:fldSimple>
      <w:r>
        <w:t xml:space="preserve">: Scheffer, M. et al. </w:t>
      </w:r>
      <w:r>
        <w:t xml:space="preserve">“</w:t>
      </w:r>
      <w:r>
        <w:t xml:space="preserve">Early-warning signals for critical transitions.</w:t>
      </w:r>
      <w:r>
        <w:t xml:space="preserve">”</w:t>
      </w:r>
      <w:r>
        <w:t xml:space="preserve"> </w:t>
      </w:r>
      <w:r>
        <w:rPr>
          <w:iCs/>
          <w:i/>
        </w:rPr>
        <w:t xml:space="preserve">Nature</w:t>
      </w:r>
      <w:r>
        <w:t xml:space="preserve">, 2009.</w:t>
      </w:r>
    </w:p>
    <w:p>
      <w:pPr>
        <w:pStyle w:val="BodyText"/>
      </w:pPr>
      <w:fldSimple w:instr="NOTEREF _Edn50 \h \f">
        <w:r>
          <w:rPr>
            <w:vertAlign w:val="superscript"/>
          </w:rPr>
          <w:t>50</w:t>
        </w:r>
      </w:fldSimple>
      <w:r>
        <w:t xml:space="preserve">:</w:t>
      </w:r>
      <w:r>
        <w:t xml:space="preserve"> </w:t>
      </w:r>
      <w:r>
        <w:t xml:space="preserve">“</w:t>
      </w:r>
      <w:r>
        <w:t xml:space="preserve">Formal Verification of Safety-Critical Aerospace Systems.</w:t>
      </w:r>
      <w:r>
        <w:t xml:space="preserve">”</w:t>
      </w:r>
      <w:r>
        <w:t xml:space="preserve"> </w:t>
      </w:r>
      <w:r>
        <w:rPr>
          <w:iCs/>
          <w:i/>
        </w:rPr>
        <w:t xml:space="preserve">IEEE Aerospace Conference</w:t>
      </w:r>
      <w:r>
        <w:t xml:space="preserve">, 2023.</w:t>
      </w:r>
    </w:p>
    <w:p>
      <w:pPr>
        <w:pStyle w:val="BodyText"/>
      </w:pPr>
      <w:fldSimple w:instr="NOTEREF _Edn51 \h \f">
        <w:r>
          <w:rPr>
            <w:vertAlign w:val="superscript"/>
          </w:rPr>
          <w:t>51</w:t>
        </w:r>
      </w:fldSimple>
      <w:r>
        <w:t xml:space="preserve">: Chatterjee, U.</w:t>
      </w:r>
      <w:r>
        <w:t xml:space="preserve"> </w:t>
      </w:r>
      <w:r>
        <w:t xml:space="preserve">“</w:t>
      </w:r>
      <w:r>
        <w:t xml:space="preserve">Formal Methods for Verifying Safety-Critical Software Systems.</w:t>
      </w:r>
      <w:r>
        <w:t xml:space="preserve">”</w:t>
      </w:r>
      <w:r>
        <w:t xml:space="preserve"> </w:t>
      </w:r>
      <w:r>
        <w:rPr>
          <w:iCs/>
          <w:i/>
        </w:rPr>
        <w:t xml:space="preserve">IJARCST</w:t>
      </w:r>
      <w:r>
        <w:t xml:space="preserve">, 2022.</w:t>
      </w:r>
    </w:p>
    <w:p>
      <w:pPr>
        <w:pStyle w:val="BodyText"/>
      </w:pPr>
      <w:fldSimple w:instr="NOTEREF _Edn71 \h \f">
        <w:r>
          <w:rPr>
            <w:vertAlign w:val="superscript"/>
          </w:rPr>
          <w:t>71</w:t>
        </w:r>
      </w:fldSimple>
      <w:r>
        <w:t xml:space="preserve">:</w:t>
      </w:r>
      <w:r>
        <w:t xml:space="preserve"> </w:t>
      </w:r>
      <w:r>
        <w:t xml:space="preserve">“</w:t>
      </w:r>
      <w:r>
        <w:t xml:space="preserve">Algorithms for Fault Tolerant Distributed Systems.</w:t>
      </w:r>
      <w:r>
        <w:t xml:space="preserve">”</w:t>
      </w:r>
      <w:r>
        <w:t xml:space="preserve"> </w:t>
      </w:r>
      <w:r>
        <w:rPr>
          <w:iCs/>
          <w:i/>
        </w:rPr>
        <w:t xml:space="preserve">DTIC Technical Report</w:t>
      </w:r>
      <w:r>
        <w:t xml:space="preserve">.</w:t>
      </w:r>
    </w:p>
    <w:p>
      <w:pPr>
        <w:pStyle w:val="BodyText"/>
      </w:pPr>
      <w:fldSimple w:instr="NOTEREF _Edn65 \h \f">
        <w:r>
          <w:rPr>
            <w:vertAlign w:val="superscript"/>
          </w:rPr>
          <w:t>65</w:t>
        </w:r>
      </w:fldSimple>
      <w:r>
        <w:t xml:space="preserve">: Felber, S., Flores, B.H., and Galeana, H.R.</w:t>
      </w:r>
      <w:r>
        <w:t xml:space="preserve"> </w:t>
      </w:r>
      <w:r>
        <w:t xml:space="preserve">“</w:t>
      </w:r>
      <w:r>
        <w:t xml:space="preserve">A Sheaf-Theoretic Characterization of Tasks in Distributed Systems.</w:t>
      </w:r>
      <w:r>
        <w:t xml:space="preserve">”</w:t>
      </w:r>
      <w:r>
        <w:t xml:space="preserve"> </w:t>
      </w:r>
      <w:r>
        <w:rPr>
          <w:iCs/>
          <w:i/>
        </w:rPr>
        <w:t xml:space="preserve">arXiv:2503.02556</w:t>
      </w:r>
      <w:r>
        <w:t xml:space="preserve">, 2025.</w:t>
      </w:r>
    </w:p>
    <w:p>
      <w:pPr>
        <w:pStyle w:val="BodyText"/>
      </w:pPr>
      <w:fldSimple w:instr="NOTEREF _Edn66 \h \f">
        <w:r>
          <w:rPr>
            <w:vertAlign w:val="superscript"/>
          </w:rPr>
          <w:t>66</w:t>
        </w:r>
      </w:fldSimple>
      <w:r>
        <w:t xml:space="preserve">: Felber, S., Flores, B.H., and Galeana, H.R.</w:t>
      </w:r>
      <w:r>
        <w:t xml:space="preserve"> </w:t>
      </w:r>
      <w:r>
        <w:t xml:space="preserve">“</w:t>
      </w:r>
      <w:r>
        <w:t xml:space="preserve">Sheaf Cohomology and Distributed Computation.</w:t>
      </w:r>
      <w:r>
        <w:t xml:space="preserve">”</w:t>
      </w:r>
      <w:r>
        <w:t xml:space="preserve"> </w:t>
      </w:r>
      <w:r>
        <w:rPr>
          <w:iCs/>
          <w:i/>
        </w:rPr>
        <w:t xml:space="preserve">arXiv</w:t>
      </w:r>
      <w:r>
        <w:t xml:space="preserve">, 2025.</w:t>
      </w:r>
    </w:p>
    <w:p>
      <w:pPr>
        <w:pStyle w:val="BodyText"/>
      </w:pPr>
      <w:fldSimple w:instr="NOTEREF _Edn67 \h \f">
        <w:r>
          <w:rPr>
            <w:vertAlign w:val="superscript"/>
          </w:rPr>
          <w:t>67</w:t>
        </w:r>
      </w:fldSimple>
      <w:r>
        <w:t xml:space="preserve">: Felber, S., Flores, B.H., and Galeana, H.R.</w:t>
      </w:r>
      <w:r>
        <w:t xml:space="preserve"> </w:t>
      </w:r>
      <w:r>
        <w:t xml:space="preserve">“</w:t>
      </w:r>
      <w:r>
        <w:t xml:space="preserve">Topological Methods in Distributed Computing.</w:t>
      </w:r>
      <w:r>
        <w:t xml:space="preserve">”</w:t>
      </w:r>
      <w:r>
        <w:t xml:space="preserve"> </w:t>
      </w:r>
      <w:r>
        <w:rPr>
          <w:iCs/>
          <w:i/>
        </w:rPr>
        <w:t xml:space="preserve">arXiv</w:t>
      </w:r>
      <w:r>
        <w:t xml:space="preserve">, 2025.</w:t>
      </w:r>
    </w:p>
    <w:p>
      <w:pPr>
        <w:pStyle w:val="BodyText"/>
      </w:pPr>
      <w:fldSimple w:instr="NOTEREF _Edn47 \h \f">
        <w:r>
          <w:rPr>
            <w:vertAlign w:val="superscript"/>
          </w:rPr>
          <w:t>47</w:t>
        </w:r>
      </w:fldSimple>
      <w:r>
        <w:t xml:space="preserve">:</w:t>
      </w:r>
      <w:r>
        <w:t xml:space="preserve"> </w:t>
      </w:r>
      <w:r>
        <w:t xml:space="preserve">“</w:t>
      </w:r>
      <w:r>
        <w:t xml:space="preserve">Lattice-Based Quantization Part II.</w:t>
      </w:r>
      <w:r>
        <w:t xml:space="preserve">”</w:t>
      </w:r>
      <w:r>
        <w:t xml:space="preserve"> </w:t>
      </w:r>
      <w:r>
        <w:rPr>
          <w:iCs/>
          <w:i/>
        </w:rPr>
        <w:t xml:space="preserve">Chalmers University Technical Report</w:t>
      </w:r>
      <w:r>
        <w:t xml:space="preserve">.</w:t>
      </w:r>
    </w:p>
    <w:p>
      <w:pPr>
        <w:pStyle w:val="BodyText"/>
      </w:pPr>
      <w:fldSimple w:instr="NOTEREF _Edn68 \h \f">
        <w:r>
          <w:rPr>
            <w:vertAlign w:val="superscript"/>
          </w:rPr>
          <w:t>68</w:t>
        </w:r>
      </w:fldSimple>
      <w:r>
        <w:t xml:space="preserve">: Fischer, M.J., Lynch, N.A., and Paterson, M.S.</w:t>
      </w:r>
      <w:r>
        <w:t xml:space="preserve"> </w:t>
      </w:r>
      <w:r>
        <w:t xml:space="preserve">“</w:t>
      </w:r>
      <w:r>
        <w:t xml:space="preserve">Impossibility of Distributed Consensus with One Faulty Process.</w:t>
      </w:r>
      <w:r>
        <w:t xml:space="preserve">”</w:t>
      </w:r>
      <w:r>
        <w:t xml:space="preserve"> </w:t>
      </w:r>
      <w:r>
        <w:rPr>
          <w:iCs/>
          <w:i/>
        </w:rPr>
        <w:t xml:space="preserve">J. ACM</w:t>
      </w:r>
      <w:r>
        <w:t xml:space="preserve">, 1985.</w:t>
      </w:r>
    </w:p>
    <w:p>
      <w:pPr>
        <w:pStyle w:val="BodyText"/>
      </w:pPr>
      <w:fldSimple w:instr="NOTEREF _Edn69 \h \f">
        <w:r>
          <w:rPr>
            <w:vertAlign w:val="superscript"/>
          </w:rPr>
          <w:t>69</w:t>
        </w:r>
      </w:fldSimple>
      <w:r>
        <w:t xml:space="preserve">:</w:t>
      </w:r>
      <w:r>
        <w:t xml:space="preserve"> </w:t>
      </w:r>
      <w:r>
        <w:t xml:space="preserve">“</w:t>
      </w:r>
      <w:r>
        <w:t xml:space="preserve">The Asynchronous Computability Theorem.</w:t>
      </w:r>
      <w:r>
        <w:t xml:space="preserve">”</w:t>
      </w:r>
      <w:r>
        <w:t xml:space="preserve"> </w:t>
      </w:r>
      <w:r>
        <w:rPr>
          <w:iCs/>
          <w:i/>
        </w:rPr>
        <w:t xml:space="preserve">Medium/EulerFX</w:t>
      </w:r>
      <w:r>
        <w:t xml:space="preserve">, 2017.</w:t>
      </w:r>
    </w:p>
    <w:p>
      <w:pPr>
        <w:pStyle w:val="BodyText"/>
      </w:pPr>
      <w:fldSimple w:instr="NOTEREF _Edn57 \h \f">
        <w:r>
          <w:rPr>
            <w:vertAlign w:val="superscript"/>
          </w:rPr>
          <w:t>57</w:t>
        </w:r>
      </w:fldSimple>
      <w:r>
        <w:t xml:space="preserve">: Zamir, R.</w:t>
      </w:r>
      <w:r>
        <w:t xml:space="preserve"> </w:t>
      </w:r>
      <w:r>
        <w:rPr>
          <w:iCs/>
          <w:i/>
        </w:rPr>
        <w:t xml:space="preserve">Lattice Coding for Signals and Networks</w:t>
      </w:r>
      <w:r>
        <w:t xml:space="preserve">. Cambridge University Press.</w:t>
      </w:r>
    </w:p>
    <w:p>
      <w:pPr>
        <w:pStyle w:val="BodyText"/>
      </w:pPr>
      <w:fldSimple w:instr="NOTEREF _Edn53 \h \f">
        <w:r>
          <w:rPr>
            <w:vertAlign w:val="superscript"/>
          </w:rPr>
          <w:t>53</w:t>
        </w:r>
      </w:fldSimple>
      <w:r>
        <w:t xml:space="preserve">: Bois, A., Tervil, B., and Oudre, L.</w:t>
      </w:r>
      <w:r>
        <w:t xml:space="preserve"> </w:t>
      </w:r>
      <w:r>
        <w:t xml:space="preserve">“</w:t>
      </w:r>
      <w:r>
        <w:t xml:space="preserve">A persistent homology-based algorithm for unsupervised anomaly detection in time series.</w:t>
      </w:r>
      <w:r>
        <w:t xml:space="preserve">”</w:t>
      </w:r>
      <w:r>
        <w:t xml:space="preserve"> </w:t>
      </w:r>
      <w:r>
        <w:rPr>
          <w:iCs/>
          <w:i/>
        </w:rPr>
        <w:t xml:space="preserve">TMLR</w:t>
      </w:r>
      <w:r>
        <w:t xml:space="preserve">, 2024.</w:t>
      </w:r>
    </w:p>
    <w:p>
      <w:pPr>
        <w:pStyle w:val="BodyText"/>
      </w:pPr>
      <w:fldSimple w:instr="NOTEREF _Edn87 \h \f">
        <w:r>
          <w:rPr>
            <w:vertAlign w:val="superscript"/>
          </w:rPr>
          <w:t>87</w:t>
        </w:r>
      </w:fldSimple>
      <w:r>
        <w:t xml:space="preserve">: Danaher, J., &amp; Petersen, S.</w:t>
      </w:r>
      <w:r>
        <w:t xml:space="preserve"> </w:t>
      </w:r>
      <w:r>
        <w:t xml:space="preserve">“</w:t>
      </w:r>
      <w:r>
        <w:t xml:space="preserve">Merging Minds: The Conceptual and Ethical Impacts of Technologies for Collective Minds.</w:t>
      </w:r>
      <w:r>
        <w:t xml:space="preserve">”</w:t>
      </w:r>
      <w:r>
        <w:t xml:space="preserve"> </w:t>
      </w:r>
      <w:r>
        <w:rPr>
          <w:iCs/>
          <w:i/>
        </w:rPr>
        <w:t xml:space="preserve">Neuroethics</w:t>
      </w:r>
      <w:r>
        <w:t xml:space="preserve">, 2023.</w:t>
      </w:r>
    </w:p>
    <w:p>
      <w:pPr>
        <w:pStyle w:val="BodyText"/>
      </w:pPr>
      <w:fldSimple w:instr="NOTEREF _Edn84 \h \f">
        <w:r>
          <w:rPr>
            <w:vertAlign w:val="superscript"/>
          </w:rPr>
          <w:t>84</w:t>
        </w:r>
      </w:fldSimple>
      <w:r>
        <w:t xml:space="preserve">: Singh, M.</w:t>
      </w:r>
      <w:r>
        <w:t xml:space="preserve"> </w:t>
      </w:r>
      <w:r>
        <w:t xml:space="preserve">“</w:t>
      </w:r>
      <w:r>
        <w:t xml:space="preserve">Multi-agent systems: the future of distributed AI platforms for complex task management.</w:t>
      </w:r>
      <w:r>
        <w:t xml:space="preserve">”</w:t>
      </w:r>
      <w:r>
        <w:t xml:space="preserve"> </w:t>
      </w:r>
      <w:r>
        <w:rPr>
          <w:iCs/>
          <w:i/>
        </w:rPr>
        <w:t xml:space="preserve">World Journal of Advanced Research and Reviews</w:t>
      </w:r>
      <w:r>
        <w:t xml:space="preserve">, 2025.</w:t>
      </w:r>
    </w:p>
    <w:p>
      <w:pPr>
        <w:pStyle w:val="BodyText"/>
      </w:pPr>
      <w:fldSimple w:instr="NOTEREF _Edn78 \h \f">
        <w:r>
          <w:rPr>
            <w:vertAlign w:val="superscript"/>
          </w:rPr>
          <w:t>78</w:t>
        </w:r>
      </w:fldSimple>
      <w:r>
        <w:t xml:space="preserve">: Candemir, M.</w:t>
      </w:r>
      <w:r>
        <w:t xml:space="preserve"> </w:t>
      </w:r>
      <w:r>
        <w:t xml:space="preserve">“</w:t>
      </w:r>
      <w:r>
        <w:t xml:space="preserve">From Transformers to Mamba: A Gentle but Deep Dive into the Next Generation of AI Architectures.</w:t>
      </w:r>
      <w:r>
        <w:t xml:space="preserve">”</w:t>
      </w:r>
      <w:r>
        <w:t xml:space="preserve"> </w:t>
      </w:r>
      <w:r>
        <w:rPr>
          <w:iCs/>
          <w:i/>
        </w:rPr>
        <w:t xml:space="preserve">Medium</w:t>
      </w:r>
      <w:r>
        <w:t xml:space="preserve">, 2025.</w:t>
      </w:r>
    </w:p>
    <w:p>
      <w:pPr>
        <w:pStyle w:val="BodyText"/>
      </w:pPr>
      <w:fldSimple w:instr="NOTEREF _Edn77 \h \f">
        <w:r>
          <w:rPr>
            <w:vertAlign w:val="superscript"/>
          </w:rPr>
          <w:t>77</w:t>
        </w:r>
      </w:fldSimple>
      <w:r>
        <w:t xml:space="preserve">: Talan.</w:t>
      </w:r>
      <w:r>
        <w:t xml:space="preserve"> </w:t>
      </w:r>
      <w:r>
        <w:t xml:space="preserve">“</w:t>
      </w:r>
      <w:r>
        <w:t xml:space="preserve">Agentic AI: Multi-Agent AI systems, the collaborative intelligence transforming business.</w:t>
      </w:r>
      <w:r>
        <w:t xml:space="preserve">”</w:t>
      </w:r>
      <w:r>
        <w:t xml:space="preserve"> </w:t>
      </w:r>
      <w:r>
        <w:t xml:space="preserve">2025.</w:t>
      </w:r>
    </w:p>
    <w:p>
      <w:pPr>
        <w:pStyle w:val="BodyText"/>
      </w:pPr>
      <w:fldSimple w:instr="NOTEREF _Edn80 \h \f">
        <w:r>
          <w:rPr>
            <w:vertAlign w:val="superscript"/>
          </w:rPr>
          <w:t>80</w:t>
        </w:r>
      </w:fldSimple>
      <w:r>
        <w:t xml:space="preserve">: Mohsin, M.A., et al. </w:t>
      </w:r>
      <w:r>
        <w:t xml:space="preserve">“</w:t>
      </w:r>
      <w:r>
        <w:t xml:space="preserve">On the Fundamental Limits of LLMs at Scale.</w:t>
      </w:r>
      <w:r>
        <w:t xml:space="preserve">”</w:t>
      </w:r>
      <w:r>
        <w:t xml:space="preserve"> </w:t>
      </w:r>
      <w:r>
        <w:rPr>
          <w:iCs/>
          <w:i/>
        </w:rPr>
        <w:t xml:space="preserve">arXiv:2511.12869</w:t>
      </w:r>
      <w:r>
        <w:t xml:space="preserve">, 2025.</w:t>
      </w:r>
    </w:p>
    <w:p>
      <w:pPr>
        <w:pStyle w:val="BodyText"/>
      </w:pPr>
      <w:fldSimple w:instr="NOTEREF _Edn79 \h \f">
        <w:r>
          <w:rPr>
            <w:vertAlign w:val="superscript"/>
          </w:rPr>
          <w:t>79</w:t>
        </w:r>
      </w:fldSimple>
      <w:r>
        <w:t xml:space="preserve">: Huang, K.</w:t>
      </w:r>
      <w:r>
        <w:t xml:space="preserve"> </w:t>
      </w:r>
      <w:r>
        <w:t xml:space="preserve">“</w:t>
      </w:r>
      <w:r>
        <w:t xml:space="preserve">World Models, Architectures, and the Next Phase of AI.</w:t>
      </w:r>
      <w:r>
        <w:t xml:space="preserve">”</w:t>
      </w:r>
      <w:r>
        <w:t xml:space="preserve"> </w:t>
      </w:r>
      <w:r>
        <w:rPr>
          <w:iCs/>
          <w:i/>
        </w:rPr>
        <w:t xml:space="preserve">Substack</w:t>
      </w:r>
      <w:r>
        <w:t xml:space="preserve">, 2026.</w:t>
      </w:r>
    </w:p>
    <w:p>
      <w:pPr>
        <w:pStyle w:val="BodyText"/>
      </w:pPr>
      <w:fldSimple w:instr="NOTEREF _Edn81 \h \f">
        <w:r>
          <w:rPr>
            <w:vertAlign w:val="superscript"/>
          </w:rPr>
          <w:t>81</w:t>
        </w:r>
      </w:fldSimple>
      <w:r>
        <w:t xml:space="preserve">: ODSC.</w:t>
      </w:r>
      <w:r>
        <w:t xml:space="preserve"> </w:t>
      </w:r>
      <w:r>
        <w:t xml:space="preserve">“</w:t>
      </w:r>
      <w:r>
        <w:t xml:space="preserve">Voice AI: The Next Great Computing Interface.</w:t>
      </w:r>
      <w:r>
        <w:t xml:space="preserve">”</w:t>
      </w:r>
      <w:r>
        <w:t xml:space="preserve"> </w:t>
      </w:r>
      <w:r>
        <w:t xml:space="preserve">2025.</w:t>
      </w:r>
    </w:p>
    <w:p>
      <w:pPr>
        <w:pStyle w:val="BodyText"/>
      </w:pPr>
      <w:fldSimple w:instr="NOTEREF _Edn83 \h \f">
        <w:r>
          <w:rPr>
            <w:vertAlign w:val="superscript"/>
          </w:rPr>
          <w:t>83</w:t>
        </w:r>
      </w:fldSimple>
      <w:r>
        <w:t xml:space="preserve">: Burrus, D.</w:t>
      </w:r>
      <w:r>
        <w:t xml:space="preserve"> </w:t>
      </w:r>
      <w:r>
        <w:t xml:space="preserve">“</w:t>
      </w:r>
      <w:r>
        <w:t xml:space="preserve">Ambient Computing: The Rise of Invisible Interfaces.</w:t>
      </w:r>
      <w:r>
        <w:t xml:space="preserve">”</w:t>
      </w:r>
      <w:r>
        <w:t xml:space="preserve"> </w:t>
      </w:r>
      <w:r>
        <w:t xml:space="preserve">2026.</w:t>
      </w:r>
    </w:p>
    <w:p>
      <w:pPr>
        <w:pStyle w:val="BodyText"/>
      </w:pPr>
      <w:fldSimple w:instr="NOTEREF _Edn85 \h \f">
        <w:r>
          <w:rPr>
            <w:vertAlign w:val="superscript"/>
          </w:rPr>
          <w:t>85</w:t>
        </w:r>
      </w:fldSimple>
      <w:r>
        <w:t xml:space="preserve">: Wei, G.-W.</w:t>
      </w:r>
      <w:r>
        <w:t xml:space="preserve"> </w:t>
      </w:r>
      <w:r>
        <w:t xml:space="preserve">“</w:t>
      </w:r>
      <w:r>
        <w:t xml:space="preserve">Topological data analysis and topological deep learning beyond persistent homology: a review.</w:t>
      </w:r>
      <w:r>
        <w:t xml:space="preserve">”</w:t>
      </w:r>
      <w:r>
        <w:t xml:space="preserve"> </w:t>
      </w:r>
      <w:r>
        <w:rPr>
          <w:iCs/>
          <w:i/>
        </w:rPr>
        <w:t xml:space="preserve">Artificial Intelligence Review</w:t>
      </w:r>
      <w:r>
        <w:t xml:space="preserve">, 2025.</w:t>
      </w:r>
    </w:p>
    <w:p>
      <w:pPr>
        <w:pStyle w:val="BodyText"/>
      </w:pPr>
      <w:fldSimple w:instr="NOTEREF _Edn75 \h \f">
        <w:r>
          <w:rPr>
            <w:vertAlign w:val="superscript"/>
          </w:rPr>
          <w:t>75</w:t>
        </w:r>
      </w:fldSimple>
      <w:r>
        <w:t xml:space="preserve">: Galadd.</w:t>
      </w:r>
      <w:r>
        <w:t xml:space="preserve"> </w:t>
      </w:r>
      <w:r>
        <w:t xml:space="preserve">“</w:t>
      </w:r>
      <w:r>
        <w:t xml:space="preserve">Optimizing Persistent Storage with State Deltas.</w:t>
      </w:r>
      <w:r>
        <w:t xml:space="preserve">”</w:t>
      </w:r>
      <w:r>
        <w:t xml:space="preserve"> </w:t>
      </w:r>
      <w:r>
        <w:rPr>
          <w:iCs/>
          <w:i/>
        </w:rPr>
        <w:t xml:space="preserve">Dev.to</w:t>
      </w:r>
      <w:r>
        <w:t xml:space="preserve">, 2026.</w:t>
      </w:r>
    </w:p>
    <w:p>
      <w:pPr>
        <w:pStyle w:val="BodyText"/>
      </w:pPr>
      <w:fldSimple w:instr="NOTEREF _Edn86 \h \f">
        <w:r>
          <w:rPr>
            <w:vertAlign w:val="superscript"/>
          </w:rPr>
          <w:t>86</w:t>
        </w:r>
      </w:fldSimple>
      <w:r>
        <w:t xml:space="preserve">: Cakcora, C.</w:t>
      </w:r>
      <w:r>
        <w:t xml:space="preserve"> </w:t>
      </w:r>
      <w:r>
        <w:t xml:space="preserve">“</w:t>
      </w:r>
      <w:r>
        <w:t xml:space="preserve">Topological Methods in Machine Learning: A Tutorial for Practitioners.</w:t>
      </w:r>
      <w:r>
        <w:t xml:space="preserve">”</w:t>
      </w:r>
      <w:r>
        <w:t xml:space="preserve"> </w:t>
      </w:r>
      <w:r>
        <w:rPr>
          <w:iCs/>
          <w:i/>
        </w:rPr>
        <w:t xml:space="preserve">arXiv:2409.02901</w:t>
      </w:r>
      <w:r>
        <w:t xml:space="preserve">, 2024.</w:t>
      </w:r>
    </w:p>
    <w:p>
      <w:pPr>
        <w:pStyle w:val="BodyText"/>
      </w:pPr>
      <w:fldSimple w:instr="NOTEREF _Edn76 \h \f">
        <w:r>
          <w:rPr>
            <w:vertAlign w:val="superscript"/>
          </w:rPr>
          <w:t>76</w:t>
        </w:r>
      </w:fldSimple>
      <w:r>
        <w:t xml:space="preserve">: Pure Storage.</w:t>
      </w:r>
      <w:r>
        <w:t xml:space="preserve"> </w:t>
      </w:r>
      <w:r>
        <w:t xml:space="preserve">“</w:t>
      </w:r>
      <w:r>
        <w:t xml:space="preserve">What Is Delta Encoding?</w:t>
      </w:r>
      <w:r>
        <w:t xml:space="preserve">”</w:t>
      </w:r>
      <w:r>
        <w:t xml:space="preserve"> </w:t>
      </w:r>
      <w:r>
        <w:t xml:space="preserve">2025.</w:t>
      </w:r>
    </w:p>
    <w:p>
      <w:pPr>
        <w:pStyle w:val="BodyText"/>
      </w:pPr>
      <w:fldSimple w:instr="NOTEREF _Edn73 \h \f">
        <w:r>
          <w:rPr>
            <w:vertAlign w:val="superscript"/>
          </w:rPr>
          <w:t>73</w:t>
        </w:r>
      </w:fldSimple>
      <w:r>
        <w:t xml:space="preserve">: Osmani, A.</w:t>
      </w:r>
      <w:r>
        <w:t xml:space="preserve"> </w:t>
      </w:r>
      <w:r>
        <w:t xml:space="preserve">“</w:t>
      </w:r>
      <w:r>
        <w:t xml:space="preserve">Long-running Agents.</w:t>
      </w:r>
      <w:r>
        <w:t xml:space="preserve">”</w:t>
      </w:r>
      <w:r>
        <w:t xml:space="preserve"> </w:t>
      </w:r>
      <w:r>
        <w:t xml:space="preserve">Analysis of Google’s Agent Platform, 2026.</w:t>
      </w:r>
    </w:p>
    <w:p>
      <w:pPr>
        <w:pStyle w:val="BodyText"/>
      </w:pPr>
      <w:fldSimple w:instr="NOTEREF _Edn74 \h \f">
        <w:r>
          <w:rPr>
            <w:vertAlign w:val="superscript"/>
          </w:rPr>
          <w:t>74</w:t>
        </w:r>
      </w:fldSimple>
      <w:r>
        <w:t xml:space="preserve">: Digital Ocean.</w:t>
      </w:r>
      <w:r>
        <w:t xml:space="preserve"> </w:t>
      </w:r>
      <w:r>
        <w:t xml:space="preserve">“</w:t>
      </w:r>
      <w:r>
        <w:t xml:space="preserve">Building Long-Term Memory in AI Agents with LangGraph and Mem0.</w:t>
      </w:r>
      <w:r>
        <w:t xml:space="preserve">”</w:t>
      </w:r>
      <w:r>
        <w:t xml:space="preserve"> </w:t>
      </w:r>
      <w:r>
        <w:t xml:space="preserve">2026.</w:t>
      </w:r>
    </w:p>
    <w:p>
      <w:pPr>
        <w:pStyle w:val="BodyText"/>
      </w:pPr>
      <w:fldSimple w:instr="NOTEREF _Edn72 \h \f">
        <w:r>
          <w:rPr>
            <w:vertAlign w:val="superscript"/>
          </w:rPr>
          <w:t>72</w:t>
        </w:r>
      </w:fldSimple>
      <w:r>
        <w:t xml:space="preserve">: Alpay, F.</w:t>
      </w:r>
      <w:r>
        <w:t xml:space="preserve"> </w:t>
      </w:r>
      <w:r>
        <w:t xml:space="preserve">“</w:t>
      </w:r>
      <w:r>
        <w:t xml:space="preserve">Beyond LLMs: The Next Frontier of AI.</w:t>
      </w:r>
      <w:r>
        <w:t xml:space="preserve">”</w:t>
      </w:r>
      <w:r>
        <w:t xml:space="preserve"> </w:t>
      </w:r>
      <w:r>
        <w:rPr>
          <w:iCs/>
          <w:i/>
        </w:rPr>
        <w:t xml:space="preserve">Medium</w:t>
      </w:r>
      <w:r>
        <w:t xml:space="preserve">, 2025.</w:t>
      </w:r>
    </w:p>
    <w:p>
      <w:pPr>
        <w:pStyle w:val="BodyText"/>
      </w:pPr>
      <w:fldSimple w:instr="NOTEREF _Edn88 \h \f">
        <w:r>
          <w:rPr>
            <w:vertAlign w:val="superscript"/>
          </w:rPr>
          <w:t>88</w:t>
        </w:r>
      </w:fldSimple>
      <w:r>
        <w:t xml:space="preserve">: Hebbar, S.</w:t>
      </w:r>
      <w:r>
        <w:t xml:space="preserve"> </w:t>
      </w:r>
      <w:r>
        <w:t xml:space="preserve">“</w:t>
      </w:r>
      <w:r>
        <w:t xml:space="preserve">Federated Learning: The Future of Distributed Intelligence Through Edge AI.</w:t>
      </w:r>
      <w:r>
        <w:t xml:space="preserve">”</w:t>
      </w:r>
      <w:r>
        <w:t xml:space="preserve"> </w:t>
      </w:r>
      <w:r>
        <w:rPr>
          <w:iCs/>
          <w:i/>
        </w:rPr>
        <w:t xml:space="preserve">Medium</w:t>
      </w:r>
      <w:r>
        <w:t xml:space="preserve">, 2025.</w:t>
      </w:r>
      <w:r>
        <w:t xml:space="preserve"> </w:t>
      </w:r>
      <w:r>
        <w:t xml:space="preserve"># Appendix C: A Non-Tautological Definition of Emergence via Persistent Homology</w:t>
      </w:r>
    </w:p>
    <w:bookmarkEnd w:id="76"/>
    <w:bookmarkStart w:id="77" w:name="c.1-the-tautology-problem"/>
    <w:p>
      <w:pPr>
        <w:pStyle w:val="Heading2"/>
      </w:pPr>
      <w:r>
        <w:t xml:space="preserve">C.1 The Tautology Problem</w:t>
      </w:r>
    </w:p>
    <w:p>
      <w:pPr>
        <w:pStyle w:val="FirstParagraph"/>
      </w:pPr>
      <w:r>
        <w:t xml:space="preserve">In the current PLATO implementation, the predicate</w:t>
      </w:r>
      <w:r>
        <w:t xml:space="preserve"> </w:t>
      </w:r>
      <w:r>
        <w:rPr>
          <w:rStyle w:val="VerbatimChar"/>
        </w:rPr>
        <w:t xml:space="preserve">emergence_detected</w:t>
      </w:r>
      <w:r>
        <w:t xml:space="preserve"> </w:t>
      </w:r>
      <w:r>
        <w:t xml:space="preserve">is defined by a single inequality on the first Betti number:</w:t>
      </w:r>
    </w:p>
    <w:p>
      <w:pPr>
        <w:pStyle w:val="SourceCode"/>
      </w:pPr>
      <w:r>
        <w:rPr>
          <w:rStyle w:val="CommentTok"/>
        </w:rPr>
        <w:t xml:space="preserve">// cohomology.rs, line 42 (simplified)</w:t>
      </w:r>
      <w:r>
        <w:br/>
      </w:r>
      <w:r>
        <w:rPr>
          <w:rStyle w:val="NormalTok"/>
        </w:rPr>
        <w:t xml:space="preserve">emergence_detected</w:t>
      </w:r>
      <w:r>
        <w:rPr>
          <w:rStyle w:val="OperatorTok"/>
        </w:rPr>
        <w:t xml:space="preserve">:</w:t>
      </w:r>
      <w:r>
        <w:rPr>
          <w:rStyle w:val="NormalTok"/>
        </w:rPr>
        <w:t xml:space="preserve"> h1 </w:t>
      </w:r>
      <w:r>
        <w:rPr>
          <w:rStyle w:val="OperatorTok"/>
        </w:rPr>
        <w:t xml:space="preserve">&gt;</w:t>
      </w:r>
      <w:r>
        <w:rPr>
          <w:rStyle w:val="NormalTok"/>
        </w:rPr>
        <w:t xml:space="preserve"> </w:t>
      </w:r>
      <w:r>
        <w:rPr>
          <w:rStyle w:val="DecValTok"/>
        </w:rPr>
        <w:t xml:space="preserve">0</w:t>
      </w:r>
    </w:p>
    <w:p>
      <w:pPr>
        <w:pStyle w:val="FirstParagraph"/>
      </w:pPr>
      <w:r>
        <w:t xml:space="preserve">This definition is tautological. The statement</w:t>
      </w:r>
      <w:r>
        <w:t xml:space="preserve"> </w:t>
      </w:r>
      <w:r>
        <w:t xml:space="preserve">“</w:t>
      </w:r>
      <w:r>
        <w:t xml:space="preserve">emergence is occurring if and only if there exists a non-trivial 1-cycle</w:t>
      </w:r>
      <w:r>
        <w:t xml:space="preserve">”</w:t>
      </w:r>
      <w:r>
        <w:t xml:space="preserve"> </w:t>
      </w:r>
      <w:r>
        <w:t xml:space="preserve">reduces the phenomenon of emergence to the mere existence of a topological feature. But the existence of a cycle in the Vietoris–Rips complex</w:t>
      </w:r>
      <w:r>
        <w:t xml:space="preserve"> </w:t>
      </w:r>
      <m:oMath>
        <m:r>
          <m:rPr>
            <m:sty m:val="p"/>
          </m:rPr>
          <m:t>VR</m:t>
        </m:r>
        <m:d>
          <m:dPr>
            <m:begChr m:val="("/>
            <m:endChr m:val=")"/>
            <m:sepChr m:val=""/>
            <m:grow/>
          </m:dPr>
          <m:e>
            <m:sSub>
              <m:e>
                <m:r>
                  <m:t>G</m:t>
                </m:r>
              </m:e>
              <m:sub>
                <m:r>
                  <m:t>t</m:t>
                </m:r>
              </m:sub>
            </m:sSub>
            <m:r>
              <m:rPr>
                <m:sty m:val="p"/>
              </m:rPr>
              <m:t>,</m:t>
            </m:r>
            <m:sSub>
              <m:e>
                <m:r>
                  <m:t>ε</m:t>
                </m:r>
              </m:e>
              <m:sub>
                <m:r>
                  <m:t>0</m:t>
                </m:r>
              </m:sub>
            </m:sSub>
          </m:e>
        </m:d>
      </m:oMath>
      <w:r>
        <w:t xml:space="preserve"> </w:t>
      </w:r>
      <w:r>
        <w:t xml:space="preserve">is neither necessary nor sufficient for the behavioral phenomenon we intend to capture. A system may exhibit stable, long-lived 1-cycles without any dynamical novelty; conversely, genuine behavioral innovation may precede the birth of the first detectable cycle by a finite latency. The predicate</w:t>
      </w:r>
      <w:r>
        <w:t xml:space="preserve"> </w:t>
      </w:r>
      <m:oMath>
        <m:sSub>
          <m:e>
            <m:r>
              <m:t>β</m:t>
            </m:r>
          </m:e>
          <m:sub>
            <m:r>
              <m:t>1</m:t>
            </m:r>
          </m:sub>
        </m:sSub>
        <m:r>
          <m:rPr>
            <m:sty m:val="p"/>
          </m:rPr>
          <m:t>&gt;</m:t>
        </m:r>
        <m:r>
          <m:t>0</m:t>
        </m:r>
      </m:oMath>
      <w:r>
        <w:t xml:space="preserve"> </w:t>
      </w:r>
      <w:r>
        <w:t xml:space="preserve">therefore conflates the</w:t>
      </w:r>
      <w:r>
        <w:t xml:space="preserve"> </w:t>
      </w:r>
      <w:r>
        <w:rPr>
          <w:iCs/>
          <w:i/>
        </w:rPr>
        <w:t xml:space="preserve">detection mechanism</w:t>
      </w:r>
      <w:r>
        <w:t xml:space="preserve"> </w:t>
      </w:r>
      <w:r>
        <w:t xml:space="preserve">with the</w:t>
      </w:r>
      <w:r>
        <w:t xml:space="preserve"> </w:t>
      </w:r>
      <w:r>
        <w:rPr>
          <w:iCs/>
          <w:i/>
        </w:rPr>
        <w:t xml:space="preserve">definiens</w:t>
      </w:r>
      <w:r>
        <w:t xml:space="preserve"> </w:t>
      </w:r>
      <w:r>
        <w:t xml:space="preserve">of emergence itself.</w:t>
      </w:r>
    </w:p>
    <w:p>
      <w:pPr>
        <w:pStyle w:val="BodyText"/>
      </w:pPr>
      <w:r>
        <w:t xml:space="preserve">The circularity can be made explicit by considering the logical structure:</w:t>
      </w:r>
    </w:p>
    <w:p>
      <w:pPr>
        <w:pStyle w:val="BodyText"/>
      </w:pPr>
      <m:oMathPara>
        <m:oMathParaPr>
          <m:jc m:val="center"/>
        </m:oMathParaPr>
        <m:oMath>
          <m:r>
            <m:rPr>
              <m:nor/>
              <m:sty m:val="p"/>
            </m:rPr>
            <m:t>Emergence</m:t>
          </m:r>
          <m:d>
            <m:dPr>
              <m:begChr m:val="("/>
              <m:endChr m:val=")"/>
              <m:sepChr m:val=""/>
              <m:grow/>
            </m:dPr>
            <m:e>
              <m:r>
                <m:t>t</m:t>
              </m:r>
            </m:e>
          </m:d>
          <m:r>
            <m:t> </m:t>
          </m:r>
          <m:r>
            <m:rPr>
              <m:sty m:val="p"/>
            </m:rPr>
            <m:t>⇔</m:t>
          </m:r>
          <m:r>
            <m:t> </m:t>
          </m:r>
          <m:sSub>
            <m:e>
              <m:r>
                <m:t>β</m:t>
              </m:r>
            </m:e>
            <m:sub>
              <m:r>
                <m:t>1</m:t>
              </m:r>
            </m:sub>
          </m:sSub>
          <m:d>
            <m:dPr>
              <m:begChr m:val="("/>
              <m:endChr m:val=")"/>
              <m:sepChr m:val=""/>
              <m:grow/>
            </m:dPr>
            <m:e>
              <m:r>
                <m:t>t</m:t>
              </m:r>
            </m:e>
          </m:d>
          <m:r>
            <m:rPr>
              <m:sty m:val="p"/>
            </m:rPr>
            <m:t>&gt;</m:t>
          </m:r>
          <m:r>
            <m:t>0</m:t>
          </m:r>
          <m:r>
            <m:rPr>
              <m:sty m:val="p"/>
            </m:rPr>
            <m:t>.</m:t>
          </m:r>
        </m:oMath>
      </m:oMathPara>
    </w:p>
    <w:p>
      <w:pPr>
        <w:pStyle w:val="FirstParagraph"/>
      </w:pPr>
      <w:r>
        <w:t xml:space="preserve">Since</w:t>
      </w:r>
      <w:r>
        <w:t xml:space="preserve"> </w:t>
      </w:r>
      <m:oMath>
        <m:sSub>
          <m:e>
            <m:r>
              <m:t>β</m:t>
            </m:r>
          </m:e>
          <m:sub>
            <m:r>
              <m:t>1</m:t>
            </m:r>
          </m:sub>
        </m:sSub>
        <m:d>
          <m:dPr>
            <m:begChr m:val="("/>
            <m:endChr m:val=")"/>
            <m:sepChr m:val=""/>
            <m:grow/>
          </m:dPr>
          <m:e>
            <m:r>
              <m:t>t</m:t>
            </m:r>
          </m:e>
        </m:d>
        <m:r>
          <m:rPr>
            <m:sty m:val="p"/>
          </m:rPr>
          <m:t>=</m:t>
        </m:r>
        <m:r>
          <m:rPr>
            <m:sty m:val="p"/>
          </m:rPr>
          <m:t>dim</m:t>
        </m:r>
        <m:sSub>
          <m:e>
            <m:r>
              <m:t>H</m:t>
            </m:r>
          </m:e>
          <m:sub>
            <m:r>
              <m:t>1</m:t>
            </m:r>
          </m:sub>
        </m:sSub>
        <m:d>
          <m:dPr>
            <m:begChr m:val="("/>
            <m:endChr m:val=")"/>
            <m:sepChr m:val=""/>
            <m:grow/>
          </m:dPr>
          <m:e>
            <m:r>
              <m:rPr>
                <m:sty m:val="p"/>
              </m:rPr>
              <m:t>VR</m:t>
            </m:r>
            <m:d>
              <m:dPr>
                <m:begChr m:val="("/>
                <m:endChr m:val=")"/>
                <m:sepChr m:val=""/>
                <m:grow/>
              </m:dPr>
              <m:e>
                <m:sSub>
                  <m:e>
                    <m:r>
                      <m:t>G</m:t>
                    </m:r>
                  </m:e>
                  <m:sub>
                    <m:r>
                      <m:t>t</m:t>
                    </m:r>
                  </m:sub>
                </m:sSub>
                <m:r>
                  <m:rPr>
                    <m:sty m:val="p"/>
                  </m:rPr>
                  <m:t>,</m:t>
                </m:r>
                <m:sSub>
                  <m:e>
                    <m:r>
                      <m:t>ε</m:t>
                    </m:r>
                  </m:e>
                  <m:sub>
                    <m:r>
                      <m:t>0</m:t>
                    </m:r>
                  </m:sub>
                </m:sSub>
              </m:e>
            </m:d>
            <m:r>
              <m:rPr>
                <m:sty m:val="p"/>
              </m:rPr>
              <m:t>;</m:t>
            </m:r>
            <m:r>
              <m:rPr>
                <m:sty m:val="p"/>
                <m:scr m:val="double-struck"/>
              </m:rPr>
              <m:t>F</m:t>
            </m:r>
          </m:e>
        </m:d>
      </m:oMath>
      <w:r>
        <w:t xml:space="preserve"> </w:t>
      </w:r>
      <w:r>
        <w:t xml:space="preserve">is a structural property of the communication graph at time</w:t>
      </w:r>
      <w:r>
        <w:t xml:space="preserve"> </w:t>
      </w:r>
      <m:oMath>
        <m:r>
          <m:t>t</m:t>
        </m:r>
      </m:oMath>
      <w:r>
        <w:t xml:space="preserve">, the right-hand side makes no reference to behavior, information flow, or any independent observables. Emergence becomes a purely topological predicate, and the only way to falsify it is to verify that no cycles exist—a task that is computationally feasible but scientifically vacuous. What is needed is a definition that (a) references emergence independently of any single topological invariant, and (b) uses topology as a</w:t>
      </w:r>
      <w:r>
        <w:t xml:space="preserve"> </w:t>
      </w:r>
      <w:r>
        <w:rPr>
          <w:iCs/>
          <w:i/>
        </w:rPr>
        <w:t xml:space="preserve">predictive signal</w:t>
      </w:r>
      <w:r>
        <w:t xml:space="preserve"> </w:t>
      </w:r>
      <w:r>
        <w:t xml:space="preserve">rather than as the</w:t>
      </w:r>
      <w:r>
        <w:t xml:space="preserve"> </w:t>
      </w:r>
      <w:r>
        <w:rPr>
          <w:iCs/>
          <w:i/>
        </w:rPr>
        <w:t xml:space="preserve">defining condition</w:t>
      </w:r>
      <w:r>
        <w:t xml:space="preserve">.</w:t>
      </w:r>
    </w:p>
    <w:p>
      <w:pPr>
        <w:pStyle w:val="BodyText"/>
      </w:pPr>
      <w:r>
        <w:t xml:space="preserve">The resolution is to replace the static predicate</w:t>
      </w:r>
      <w:r>
        <w:t xml:space="preserve"> </w:t>
      </w:r>
      <m:oMath>
        <m:sSub>
          <m:e>
            <m:r>
              <m:t>β</m:t>
            </m:r>
          </m:e>
          <m:sub>
            <m:r>
              <m:t>1</m:t>
            </m:r>
          </m:sub>
        </m:sSub>
        <m:r>
          <m:rPr>
            <m:sty m:val="p"/>
          </m:rPr>
          <m:t>&gt;</m:t>
        </m:r>
        <m:r>
          <m:t>0</m:t>
        </m:r>
      </m:oMath>
      <w:r>
        <w:t xml:space="preserve"> </w:t>
      </w:r>
      <w:r>
        <w:t xml:space="preserve">with a</w:t>
      </w:r>
      <w:r>
        <w:t xml:space="preserve"> </w:t>
      </w:r>
      <w:r>
        <w:rPr>
          <w:iCs/>
          <w:i/>
        </w:rPr>
        <w:t xml:space="preserve">dynamical</w:t>
      </w:r>
      <w:r>
        <w:t xml:space="preserve"> </w:t>
      </w:r>
      <w:r>
        <w:t xml:space="preserve">condition on the rate of change of</w:t>
      </w:r>
      <w:r>
        <w:t xml:space="preserve"> </w:t>
      </w:r>
      <m:oMath>
        <m:sSub>
          <m:e>
            <m:r>
              <m:t>β</m:t>
            </m:r>
          </m:e>
          <m:sub>
            <m:r>
              <m:t>1</m:t>
            </m:r>
          </m:sub>
        </m:sSub>
      </m:oMath>
      <w:r>
        <w:t xml:space="preserve">. Emergence is redefined not as the presence of cycles, but as the</w:t>
      </w:r>
      <w:r>
        <w:t xml:space="preserve"> </w:t>
      </w:r>
      <w:r>
        <w:rPr>
          <w:iCs/>
          <w:i/>
        </w:rPr>
        <w:t xml:space="preserve">formation</w:t>
      </w:r>
      <w:r>
        <w:t xml:space="preserve"> </w:t>
      </w:r>
      <w:r>
        <w:t xml:space="preserve">of cycles at an accelerating or decelerating rate that precedes observable behavioral reorganization. This shift—from level to derivative, from presence to flux—is the central move of this appendix.</w:t>
      </w:r>
    </w:p>
    <w:p>
      <w:r>
        <w:pict>
          <v:rect style="width:0;height:1.5pt" o:hralign="center" o:hrstd="t" o:hr="t"/>
        </w:pict>
      </w:r>
    </w:p>
    <w:bookmarkEnd w:id="77"/>
    <w:bookmarkStart w:id="81" w:name="X2d7d93a451c7967ade254f20ac46157e2b961af"/>
    <w:p>
      <w:pPr>
        <w:pStyle w:val="Heading2"/>
      </w:pPr>
      <w:r>
        <w:t xml:space="preserve">C.2 Persistent Homology and the Vietoris–Rips Filtration</w:t>
      </w:r>
    </w:p>
    <w:bookmarkStart w:id="78" w:name="c.2.1-the-vietorisrips-complex"/>
    <w:p>
      <w:pPr>
        <w:pStyle w:val="Heading3"/>
      </w:pPr>
      <w:r>
        <w:t xml:space="preserve">C.2.1 The Vietoris–Rips Complex</w:t>
      </w:r>
    </w:p>
    <w:p>
      <w:pPr>
        <w:pStyle w:val="FirstParagraph"/>
      </w:pPr>
      <w:r>
        <w:t xml:space="preserve">Let</w:t>
      </w:r>
      <w:r>
        <w:t xml:space="preserve"> </w:t>
      </w:r>
      <m:oMath>
        <m:r>
          <m:t>P</m:t>
        </m:r>
        <m:r>
          <m:rPr>
            <m:sty m:val="p"/>
          </m:rPr>
          <m:t>⊂</m:t>
        </m:r>
        <m:sSup>
          <m:e>
            <m:r>
              <m:rPr>
                <m:sty m:val="p"/>
                <m:scr m:val="double-struck"/>
              </m:rPr>
              <m:t>R</m:t>
            </m:r>
          </m:e>
          <m:sup>
            <m:r>
              <m:t>d</m:t>
            </m:r>
          </m:sup>
        </m:sSup>
      </m:oMath>
      <w:r>
        <w:t xml:space="preserve"> </w:t>
      </w:r>
      <w:r>
        <w:t xml:space="preserve">be a finite point cloud. For each scale parameter</w:t>
      </w:r>
      <w:r>
        <w:t xml:space="preserve"> </w:t>
      </w:r>
      <m:oMath>
        <m:r>
          <m:t>ε</m:t>
        </m:r>
        <m:r>
          <m:rPr>
            <m:sty m:val="p"/>
          </m:rPr>
          <m:t>≥</m:t>
        </m:r>
        <m:r>
          <m:t>0</m:t>
        </m:r>
      </m:oMath>
      <w:r>
        <w:t xml:space="preserve">, the Vietoris–Rips complex</w:t>
      </w:r>
      <w:r>
        <w:t xml:space="preserve"> </w:t>
      </w:r>
      <m:oMath>
        <m:r>
          <m:rPr>
            <m:sty m:val="p"/>
          </m:rPr>
          <m:t>VR</m:t>
        </m:r>
        <m:d>
          <m:dPr>
            <m:begChr m:val="("/>
            <m:endChr m:val=")"/>
            <m:sepChr m:val=""/>
            <m:grow/>
          </m:dPr>
          <m:e>
            <m:r>
              <m:t>P</m:t>
            </m:r>
            <m:r>
              <m:rPr>
                <m:sty m:val="p"/>
              </m:rPr>
              <m:t>,</m:t>
            </m:r>
            <m:r>
              <m:t>ε</m:t>
            </m:r>
          </m:e>
        </m:d>
      </m:oMath>
      <w:r>
        <w:t xml:space="preserve"> </w:t>
      </w:r>
      <w:r>
        <w:t xml:space="preserve">is the abstract simplicial complex whose</w:t>
      </w:r>
      <w:r>
        <w:t xml:space="preserve"> </w:t>
      </w:r>
      <m:oMath>
        <m:r>
          <m:t>k</m:t>
        </m:r>
      </m:oMath>
      <w:r>
        <w:t xml:space="preserve">-simplices correspond to unordered</w:t>
      </w:r>
      <w:r>
        <w:t xml:space="preserve"> </w:t>
      </w:r>
      <m:oMath>
        <m:d>
          <m:dPr>
            <m:begChr m:val="("/>
            <m:endChr m:val=")"/>
            <m:sepChr m:val=""/>
            <m:grow/>
          </m:dPr>
          <m:e>
            <m:r>
              <m:t>k</m:t>
            </m:r>
            <m:r>
              <m:rPr>
                <m:sty m:val="p"/>
              </m:rPr>
              <m:t>+</m:t>
            </m:r>
            <m:r>
              <m:t>1</m:t>
            </m:r>
          </m:e>
        </m:d>
      </m:oMath>
      <w:r>
        <w:t xml:space="preserve">-tuples of points in</w:t>
      </w:r>
      <w:r>
        <w:t xml:space="preserve"> </w:t>
      </w:r>
      <m:oMath>
        <m:r>
          <m:t>P</m:t>
        </m:r>
      </m:oMath>
      <w:r>
        <w:t xml:space="preserve"> </w:t>
      </w:r>
      <w:r>
        <w:t xml:space="preserve">with pairwise distance at most</w:t>
      </w:r>
      <w:r>
        <w:t xml:space="preserve"> </w:t>
      </w:r>
      <m:oMath>
        <m:r>
          <m:t>2</m:t>
        </m:r>
        <m:r>
          <m:t>ε</m:t>
        </m:r>
      </m:oMath>
      <w:r>
        <w:t xml:space="preserve">:</w:t>
      </w:r>
    </w:p>
    <w:p>
      <w:pPr>
        <w:pStyle w:val="BodyText"/>
      </w:pPr>
      <w:r>
        <w:t xml:space="preserve">$$\operatorname{VR}(P, \varepsilon) = \Bigl\{ \sigma \subseteq P \;:\; \operatorname{diam}(\sigma) \leq 2\varepsilon \Bigr\}.$$</w:t>
      </w:r>
    </w:p>
    <w:p>
      <w:pPr>
        <w:pStyle w:val="FirstParagraph"/>
      </w:pPr>
      <w:r>
        <w:t xml:space="preserve">As</w:t>
      </w:r>
      <w:r>
        <w:t xml:space="preserve"> </w:t>
      </w:r>
      <m:oMath>
        <m:r>
          <m:t>ε</m:t>
        </m:r>
      </m:oMath>
      <w:r>
        <w:t xml:space="preserve"> </w:t>
      </w:r>
      <w:r>
        <w:t xml:space="preserve">increases, simplices are added, and the resulting family</w:t>
      </w:r>
      <w:r>
        <w:t xml:space="preserve"> </w:t>
      </w:r>
      <m:oMath>
        <m:r>
          <m:rPr>
            <m:sty m:val="p"/>
          </m:rPr>
          <m:t>{</m:t>
        </m:r>
        <m:r>
          <m:rPr>
            <m:sty m:val="p"/>
          </m:rPr>
          <m:t>VR</m:t>
        </m:r>
        <m:d>
          <m:dPr>
            <m:begChr m:val="("/>
            <m:endChr m:val=")"/>
            <m:sepChr m:val=""/>
            <m:grow/>
          </m:dPr>
          <m:e>
            <m:r>
              <m:t>P</m:t>
            </m:r>
            <m:r>
              <m:rPr>
                <m:sty m:val="p"/>
              </m:rPr>
              <m:t>,</m:t>
            </m:r>
            <m:r>
              <m:t>ε</m:t>
            </m:r>
          </m:e>
        </m:d>
        <m:sSub>
          <m:e>
            <m:r>
              <m:rPr>
                <m:sty m:val="p"/>
              </m:rPr>
              <m:t>}</m:t>
            </m:r>
          </m:e>
          <m:sub>
            <m:r>
              <m:t>ε</m:t>
            </m:r>
            <m:r>
              <m:rPr>
                <m:sty m:val="p"/>
              </m:rPr>
              <m:t>≥</m:t>
            </m:r>
            <m:r>
              <m:t>0</m:t>
            </m:r>
          </m:sub>
        </m:sSub>
      </m:oMath>
      <w:r>
        <w:t xml:space="preserve"> </w:t>
      </w:r>
      <w:r>
        <w:t xml:space="preserve">constitutes a</w:t>
      </w:r>
      <w:r>
        <w:t xml:space="preserve"> </w:t>
      </w:r>
      <w:r>
        <w:rPr>
          <w:iCs/>
          <w:i/>
        </w:rPr>
        <w:t xml:space="preserve">filtration</w:t>
      </w:r>
      <w:r>
        <w:t xml:space="preserve">: a nested sequence of simplicial complexes</w:t>
      </w:r>
    </w:p>
    <w:p>
      <w:pPr>
        <w:pStyle w:val="BodyText"/>
      </w:pPr>
      <m:oMathPara>
        <m:oMathParaPr>
          <m:jc m:val="center"/>
        </m:oMathParaPr>
        <m:oMath>
          <m:r>
            <m:rPr>
              <m:sty m:val="p"/>
            </m:rPr>
            <m:t>VR</m:t>
          </m:r>
          <m:d>
            <m:dPr>
              <m:begChr m:val="("/>
              <m:endChr m:val=")"/>
              <m:sepChr m:val=""/>
              <m:grow/>
            </m:dPr>
            <m:e>
              <m:r>
                <m:t>P</m:t>
              </m:r>
              <m:r>
                <m:rPr>
                  <m:sty m:val="p"/>
                </m:rPr>
                <m:t>,</m:t>
              </m:r>
              <m:sSub>
                <m:e>
                  <m:r>
                    <m:t>ε</m:t>
                  </m:r>
                </m:e>
                <m:sub>
                  <m:r>
                    <m:t>0</m:t>
                  </m:r>
                </m:sub>
              </m:sSub>
            </m:e>
          </m:d>
          <m:r>
            <m:rPr>
              <m:sty m:val="p"/>
            </m:rPr>
            <m:t>↪</m:t>
          </m:r>
          <m:r>
            <m:rPr>
              <m:sty m:val="p"/>
            </m:rPr>
            <m:t>VR</m:t>
          </m:r>
          <m:d>
            <m:dPr>
              <m:begChr m:val="("/>
              <m:endChr m:val=")"/>
              <m:sepChr m:val=""/>
              <m:grow/>
            </m:dPr>
            <m:e>
              <m:r>
                <m:t>P</m:t>
              </m:r>
              <m:r>
                <m:rPr>
                  <m:sty m:val="p"/>
                </m:rPr>
                <m:t>,</m:t>
              </m:r>
              <m:sSub>
                <m:e>
                  <m:r>
                    <m:t>ε</m:t>
                  </m:r>
                </m:e>
                <m:sub>
                  <m:r>
                    <m:t>1</m:t>
                  </m:r>
                </m:sub>
              </m:sSub>
            </m:e>
          </m:d>
          <m:r>
            <m:rPr>
              <m:sty m:val="p"/>
            </m:rPr>
            <m:t>↪</m:t>
          </m:r>
          <m:r>
            <m:rPr>
              <m:sty m:val="p"/>
            </m:rPr>
            <m:t>⋯</m:t>
          </m:r>
          <m:r>
            <m:rPr>
              <m:sty m:val="p"/>
            </m:rPr>
            <m:t>↪</m:t>
          </m:r>
          <m:r>
            <m:rPr>
              <m:sty m:val="p"/>
            </m:rPr>
            <m:t>VR</m:t>
          </m:r>
          <m:d>
            <m:dPr>
              <m:begChr m:val="("/>
              <m:endChr m:val=")"/>
              <m:sepChr m:val=""/>
              <m:grow/>
            </m:dPr>
            <m:e>
              <m:r>
                <m:t>P</m:t>
              </m:r>
              <m:r>
                <m:rPr>
                  <m:sty m:val="p"/>
                </m:rPr>
                <m:t>,</m:t>
              </m:r>
              <m:sSub>
                <m:e>
                  <m:r>
                    <m:t>ε</m:t>
                  </m:r>
                </m:e>
                <m:sub>
                  <m:r>
                    <m:t>m</m:t>
                  </m:r>
                </m:sub>
              </m:sSub>
            </m:e>
          </m:d>
          <m:r>
            <m:rPr>
              <m:sty m:val="p"/>
            </m:rPr>
            <m:t>.</m:t>
          </m:r>
        </m:oMath>
      </m:oMathPara>
    </w:p>
    <w:p>
      <w:pPr>
        <w:pStyle w:val="FirstParagraph"/>
      </w:pPr>
      <w:r>
        <w:t xml:space="preserve">For the PLATO system, the point cloud</w:t>
      </w:r>
      <w:r>
        <w:t xml:space="preserve"> </w:t>
      </w:r>
      <m:oMath>
        <m:r>
          <m:t>P</m:t>
        </m:r>
      </m:oMath>
      <w:r>
        <w:t xml:space="preserve"> </w:t>
      </w:r>
      <w:r>
        <w:t xml:space="preserve">is replaced by the communication graph</w:t>
      </w:r>
      <w:r>
        <w:t xml:space="preserve"> </w:t>
      </w:r>
      <m:oMath>
        <m:sSub>
          <m:e>
            <m:r>
              <m:t>G</m:t>
            </m:r>
          </m:e>
          <m:sub>
            <m:r>
              <m:t>t</m:t>
            </m:r>
          </m:sub>
        </m:sSub>
        <m:r>
          <m:rPr>
            <m:sty m:val="p"/>
          </m:rPr>
          <m:t>=</m:t>
        </m:r>
        <m:d>
          <m:dPr>
            <m:begChr m:val="("/>
            <m:endChr m:val=")"/>
            <m:sepChr m:val=""/>
            <m:grow/>
          </m:dPr>
          <m:e>
            <m:sSub>
              <m:e>
                <m:r>
                  <m:t>V</m:t>
                </m:r>
              </m:e>
              <m:sub>
                <m:r>
                  <m:t>t</m:t>
                </m:r>
              </m:sub>
            </m:sSub>
            <m:r>
              <m:rPr>
                <m:sty m:val="p"/>
              </m:rPr>
              <m:t>,</m:t>
            </m:r>
            <m:sSub>
              <m:e>
                <m:r>
                  <m:t>E</m:t>
                </m:r>
              </m:e>
              <m:sub>
                <m:r>
                  <m:t>t</m:t>
                </m:r>
              </m:sub>
            </m:sSub>
          </m:e>
        </m:d>
      </m:oMath>
      <w:r>
        <w:t xml:space="preserve">, where each vertex represents an agent and edges represent messages exchanged within a sliding temporal window. The metric is derived from either (a) the latency-weighted shortest-path distance in</w:t>
      </w:r>
      <w:r>
        <w:t xml:space="preserve"> </w:t>
      </w:r>
      <m:oMath>
        <m:sSub>
          <m:e>
            <m:r>
              <m:t>G</m:t>
            </m:r>
          </m:e>
          <m:sub>
            <m:r>
              <m:t>t</m:t>
            </m:r>
          </m:sub>
        </m:sSub>
      </m:oMath>
      <w:r>
        <w:t xml:space="preserve">, or (b) an embedding of agent state vectors into</w:t>
      </w:r>
      <w:r>
        <w:t xml:space="preserve"> </w:t>
      </w:r>
      <m:oMath>
        <m:sSup>
          <m:e>
            <m:r>
              <m:rPr>
                <m:sty m:val="p"/>
                <m:scr m:val="double-struck"/>
              </m:rPr>
              <m:t>R</m:t>
            </m:r>
          </m:e>
          <m:sup>
            <m:r>
              <m:t>d</m:t>
            </m:r>
          </m:sup>
        </m:sSup>
      </m:oMath>
      <w:r>
        <w:t xml:space="preserve"> </w:t>
      </w:r>
      <w:r>
        <w:t xml:space="preserve">via the message content. In either case, the filtration tracks how the</w:t>
      </w:r>
      <w:r>
        <w:t xml:space="preserve"> </w:t>
      </w:r>
      <w:r>
        <w:rPr>
          <w:iCs/>
          <w:i/>
        </w:rPr>
        <w:t xml:space="preserve">shape</w:t>
      </w:r>
      <w:r>
        <w:t xml:space="preserve"> </w:t>
      </w:r>
      <w:r>
        <w:t xml:space="preserve">of agent interaction evolves as the proximity threshold</w:t>
      </w:r>
      <w:r>
        <w:t xml:space="preserve"> </w:t>
      </w:r>
      <m:oMath>
        <m:r>
          <m:t>ε</m:t>
        </m:r>
      </m:oMath>
      <w:r>
        <w:t xml:space="preserve"> </w:t>
      </w:r>
      <w:r>
        <w:t xml:space="preserve">is relaxed.</w:t>
      </w:r>
    </w:p>
    <w:bookmarkEnd w:id="78"/>
    <w:bookmarkStart w:id="79" w:name="Xa098cb525534f055594dd1b364c8b49718fc8c5"/>
    <w:p>
      <w:pPr>
        <w:pStyle w:val="Heading3"/>
      </w:pPr>
      <w:r>
        <w:t xml:space="preserve">C.2.2 Persistence Diagrams and Birth-Death Pairs</w:t>
      </w:r>
    </w:p>
    <w:p>
      <w:pPr>
        <w:pStyle w:val="FirstParagraph"/>
      </w:pPr>
      <w:r>
        <w:t xml:space="preserve">The</w:t>
      </w:r>
      <w:r>
        <w:t xml:space="preserve"> </w:t>
      </w:r>
      <m:oMath>
        <m:r>
          <m:t>p</m:t>
        </m:r>
      </m:oMath>
      <w:r>
        <w:t xml:space="preserve">-th persistent homology group</w:t>
      </w:r>
      <w:r>
        <w:t xml:space="preserve"> </w:t>
      </w:r>
      <m:oMath>
        <m:sSubSup>
          <m:e>
            <m:r>
              <m:t>H</m:t>
            </m:r>
          </m:e>
          <m:sub>
            <m:r>
              <m:t>p</m:t>
            </m:r>
          </m:sub>
          <m:sup>
            <m:r>
              <m:t>ε</m:t>
            </m:r>
            <m:r>
              <m:rPr>
                <m:sty m:val="p"/>
              </m:rPr>
              <m:t>,</m:t>
            </m:r>
            <m:r>
              <m:t>ε</m:t>
            </m:r>
            <m:r>
              <m:rPr>
                <m:sty m:val="p"/>
              </m:rPr>
              <m:t>′</m:t>
            </m:r>
          </m:sup>
        </m:sSubSup>
      </m:oMath>
      <w:r>
        <w:t xml:space="preserve"> </w:t>
      </w:r>
      <w:r>
        <w:t xml:space="preserve">captures homology classes that are born at scale</w:t>
      </w:r>
      <w:r>
        <w:t xml:space="preserve"> </w:t>
      </w:r>
      <m:oMath>
        <m:r>
          <m:t>ε</m:t>
        </m:r>
      </m:oMath>
      <w:r>
        <w:t xml:space="preserve"> </w:t>
      </w:r>
      <w:r>
        <w:t xml:space="preserve">and survive until scale</w:t>
      </w:r>
      <w:r>
        <w:t xml:space="preserve"> </w:t>
      </w:r>
      <m:oMath>
        <m:r>
          <m:t>ε</m:t>
        </m:r>
        <m:r>
          <m:rPr>
            <m:sty m:val="p"/>
          </m:rPr>
          <m:t>′</m:t>
        </m:r>
      </m:oMath>
      <w:r>
        <w:t xml:space="preserve">. For each homology class, one records the</w:t>
      </w:r>
      <w:r>
        <w:t xml:space="preserve"> </w:t>
      </w:r>
      <w:r>
        <w:rPr>
          <w:iCs/>
          <w:i/>
        </w:rPr>
        <w:t xml:space="preserve">birth</w:t>
      </w:r>
      <w:r>
        <w:t xml:space="preserve"> </w:t>
      </w:r>
      <w:r>
        <w:t xml:space="preserve">scale</w:t>
      </w:r>
      <w:r>
        <w:t xml:space="preserve"> </w:t>
      </w:r>
      <m:oMath>
        <m:r>
          <m:t>b</m:t>
        </m:r>
      </m:oMath>
      <w:r>
        <w:t xml:space="preserve"> </w:t>
      </w:r>
      <w:r>
        <w:t xml:space="preserve">and the</w:t>
      </w:r>
      <w:r>
        <w:t xml:space="preserve"> </w:t>
      </w:r>
      <w:r>
        <w:rPr>
          <w:iCs/>
          <w:i/>
        </w:rPr>
        <w:t xml:space="preserve">death</w:t>
      </w:r>
      <w:r>
        <w:t xml:space="preserve"> </w:t>
      </w:r>
      <w:r>
        <w:t xml:space="preserve">scale</w:t>
      </w:r>
      <w:r>
        <w:t xml:space="preserve"> </w:t>
      </w:r>
      <m:oMath>
        <m:r>
          <m:t>d</m:t>
        </m:r>
      </m:oMath>
      <w:r>
        <w:t xml:space="preserve">, yielding a multiset of birth-death pairs</w:t>
      </w:r>
      <w:r>
        <w:t xml:space="preserve"> </w:t>
      </w:r>
      <m:oMath>
        <m:d>
          <m:dPr>
            <m:begChr m:val="("/>
            <m:endChr m:val=")"/>
            <m:sepChr m:val=""/>
            <m:grow/>
          </m:dPr>
          <m:e>
            <m:r>
              <m:t>b</m:t>
            </m:r>
            <m:r>
              <m:rPr>
                <m:sty m:val="p"/>
              </m:rPr>
              <m:t>,</m:t>
            </m:r>
            <m:r>
              <m:t>d</m:t>
            </m:r>
          </m:e>
        </m:d>
      </m:oMath>
      <w:r>
        <w:t xml:space="preserve"> </w:t>
      </w:r>
      <w:r>
        <w:t xml:space="preserve">in the extended plane</w:t>
      </w:r>
      <w:r>
        <w:t xml:space="preserve"> </w:t>
      </w:r>
      <m:oMath>
        <m:sSup>
          <m:e>
            <m:bar>
              <m:barPr>
                <m:pos m:val="top"/>
              </m:barPr>
              <m:e>
                <m:r>
                  <m:rPr>
                    <m:sty m:val="p"/>
                    <m:scr m:val="double-struck"/>
                  </m:rPr>
                  <m:t>R</m:t>
                </m:r>
              </m:e>
            </m:bar>
          </m:e>
          <m:sup>
            <m:r>
              <m:t>2</m:t>
            </m:r>
          </m:sup>
        </m:sSup>
      </m:oMath>
      <w:r>
        <w:t xml:space="preserve">. The</w:t>
      </w:r>
      <w:r>
        <w:t xml:space="preserve"> </w:t>
      </w:r>
      <w:r>
        <w:rPr>
          <w:iCs/>
          <w:i/>
        </w:rPr>
        <w:t xml:space="preserve">persistence diagram</w:t>
      </w:r>
      <w:r>
        <w:t xml:space="preserve"> </w:t>
      </w:r>
      <m:oMath>
        <m:sSub>
          <m:e>
            <m:r>
              <m:rPr>
                <m:sty m:val="p"/>
              </m:rPr>
              <m:t>Dgm</m:t>
            </m:r>
          </m:e>
          <m:sub>
            <m:r>
              <m:t>p</m:t>
            </m:r>
          </m:sub>
        </m:sSub>
      </m:oMath>
      <w:r>
        <w:t xml:space="preserve"> </w:t>
      </w:r>
      <w:r>
        <w:t xml:space="preserve">is this multiset, conventionally visualized as points above the diagonal</w:t>
      </w:r>
      <w:r>
        <w:t xml:space="preserve"> </w:t>
      </w:r>
      <m:oMath>
        <m:r>
          <m:t>d</m:t>
        </m:r>
        <m:r>
          <m:rPr>
            <m:sty m:val="p"/>
          </m:rPr>
          <m:t>=</m:t>
        </m:r>
        <m:r>
          <m:t>b</m:t>
        </m:r>
      </m:oMath>
      <w:r>
        <w:t xml:space="preserve"> </w:t>
      </w:r>
      <w:r>
        <w:t xml:space="preserve">(with points on the diagonal representing trivial classes).</w:t>
      </w:r>
    </w:p>
    <w:p>
      <w:pPr>
        <w:pStyle w:val="BodyText"/>
      </w:pPr>
      <w:r>
        <w:t xml:space="preserve">The significance of a topological feature is measured by its</w:t>
      </w:r>
      <w:r>
        <w:t xml:space="preserve"> </w:t>
      </w:r>
      <w:r>
        <w:rPr>
          <w:iCs/>
          <w:i/>
        </w:rPr>
        <w:t xml:space="preserve">persistence</w:t>
      </w:r>
      <w:r>
        <w:t xml:space="preserve"> </w:t>
      </w:r>
      <m:oMath>
        <m:r>
          <m:t>π</m:t>
        </m:r>
        <m:r>
          <m:rPr>
            <m:sty m:val="p"/>
          </m:rPr>
          <m:t>=</m:t>
        </m:r>
        <m:r>
          <m:t>d</m:t>
        </m:r>
        <m:r>
          <m:rPr>
            <m:sty m:val="p"/>
          </m:rPr>
          <m:t>−</m:t>
        </m:r>
        <m:r>
          <m:t>b</m:t>
        </m:r>
      </m:oMath>
      <w:r>
        <w:t xml:space="preserve">. Long-lived features (large</w:t>
      </w:r>
      <w:r>
        <w:t xml:space="preserve"> </w:t>
      </w:r>
      <m:oMath>
        <m:r>
          <m:t>π</m:t>
        </m:r>
      </m:oMath>
      <w:r>
        <w:t xml:space="preserve">) correspond to robust structural properties of the data; short-lived features (small</w:t>
      </w:r>
      <w:r>
        <w:t xml:space="preserve"> </w:t>
      </w:r>
      <m:oMath>
        <m:r>
          <m:t>π</m:t>
        </m:r>
      </m:oMath>
      <w:r>
        <w:t xml:space="preserve">) are typically attributed to sampling noise. In the PLATO context, the birth of a 1-cycle at scale</w:t>
      </w:r>
      <w:r>
        <w:t xml:space="preserve"> </w:t>
      </w:r>
      <m:oMath>
        <m:r>
          <m:t>b</m:t>
        </m:r>
      </m:oMath>
      <w:r>
        <w:t xml:space="preserve"> </w:t>
      </w:r>
      <w:r>
        <w:t xml:space="preserve">indicates that agents have arranged themselves into a closed communication loop for the first time at proximity threshold</w:t>
      </w:r>
      <w:r>
        <w:t xml:space="preserve"> </w:t>
      </w:r>
      <m:oMath>
        <m:r>
          <m:t>ε</m:t>
        </m:r>
        <m:r>
          <m:rPr>
            <m:sty m:val="p"/>
          </m:rPr>
          <m:t>=</m:t>
        </m:r>
        <m:r>
          <m:t>b</m:t>
        </m:r>
      </m:oMath>
      <w:r>
        <w:t xml:space="preserve">.</w:t>
      </w:r>
    </w:p>
    <w:bookmarkEnd w:id="79"/>
    <w:bookmarkStart w:id="80" w:name="c.2.3-the-stability-theorem"/>
    <w:p>
      <w:pPr>
        <w:pStyle w:val="Heading3"/>
      </w:pPr>
      <w:r>
        <w:t xml:space="preserve">C.2.3 The Stability Theorem</w:t>
      </w:r>
    </w:p>
    <w:p>
      <w:pPr>
        <w:pStyle w:val="FirstParagraph"/>
      </w:pPr>
      <w:r>
        <w:t xml:space="preserve">The foundational result justifying the use of persistent homology as a robust descriptor is the</w:t>
      </w:r>
      <w:r>
        <w:t xml:space="preserve"> </w:t>
      </w:r>
      <w:r>
        <w:rPr>
          <w:iCs/>
          <w:i/>
        </w:rPr>
        <w:t xml:space="preserve">stability theorem</w:t>
      </w:r>
      <w:r>
        <w:t xml:space="preserve"> </w:t>
      </w:r>
      <w:r>
        <w:t xml:space="preserve">of Cohen-Steiner, Edelsbrunner, and Harer (2007) [1]. Let</w:t>
      </w:r>
      <w:r>
        <w:t xml:space="preserve"> </w:t>
      </w:r>
      <m:oMath>
        <m:r>
          <m:t>X</m:t>
        </m:r>
      </m:oMath>
      <w:r>
        <w:t xml:space="preserve"> </w:t>
      </w:r>
      <w:r>
        <w:t xml:space="preserve">and</w:t>
      </w:r>
      <w:r>
        <w:t xml:space="preserve"> </w:t>
      </w:r>
      <m:oMath>
        <m:r>
          <m:t>Y</m:t>
        </m:r>
      </m:oMath>
      <w:r>
        <w:t xml:space="preserve"> </w:t>
      </w:r>
      <w:r>
        <w:t xml:space="preserve">be two finite metric spaces, and let</w:t>
      </w:r>
      <w:r>
        <w:t xml:space="preserve"> </w:t>
      </w:r>
      <m:oMath>
        <m:sSub>
          <m:e>
            <m:r>
              <m:rPr>
                <m:sty m:val="p"/>
              </m:rPr>
              <m:t>Dgm</m:t>
            </m:r>
          </m:e>
          <m:sub>
            <m:r>
              <m:t>p</m:t>
            </m:r>
          </m:sub>
        </m:sSub>
        <m:d>
          <m:dPr>
            <m:begChr m:val="("/>
            <m:endChr m:val=")"/>
            <m:sepChr m:val=""/>
            <m:grow/>
          </m:dPr>
          <m:e>
            <m:r>
              <m:t>X</m:t>
            </m:r>
          </m:e>
        </m:d>
      </m:oMath>
      <w:r>
        <w:t xml:space="preserve"> </w:t>
      </w:r>
      <w:r>
        <w:t xml:space="preserve">and</w:t>
      </w:r>
      <w:r>
        <w:t xml:space="preserve"> </w:t>
      </w:r>
      <m:oMath>
        <m:sSub>
          <m:e>
            <m:r>
              <m:rPr>
                <m:sty m:val="p"/>
              </m:rPr>
              <m:t>Dgm</m:t>
            </m:r>
          </m:e>
          <m:sub>
            <m:r>
              <m:t>p</m:t>
            </m:r>
          </m:sub>
        </m:sSub>
        <m:d>
          <m:dPr>
            <m:begChr m:val="("/>
            <m:endChr m:val=")"/>
            <m:sepChr m:val=""/>
            <m:grow/>
          </m:dPr>
          <m:e>
            <m:r>
              <m:t>Y</m:t>
            </m:r>
          </m:e>
        </m:d>
      </m:oMath>
      <w:r>
        <w:t xml:space="preserve"> </w:t>
      </w:r>
      <w:r>
        <w:t xml:space="preserve">denote their</w:t>
      </w:r>
      <w:r>
        <w:t xml:space="preserve"> </w:t>
      </w:r>
      <m:oMath>
        <m:r>
          <m:t>p</m:t>
        </m:r>
      </m:oMath>
      <w:r>
        <w:t xml:space="preserve">-th persistence diagrams. The</w:t>
      </w:r>
      <w:r>
        <w:t xml:space="preserve"> </w:t>
      </w:r>
      <w:r>
        <w:rPr>
          <w:iCs/>
          <w:i/>
        </w:rPr>
        <w:t xml:space="preserve">bottleneck distance</w:t>
      </w:r>
      <w:r>
        <w:t xml:space="preserve"> </w:t>
      </w:r>
      <w:r>
        <w:t xml:space="preserve">between diagrams is defined as</w:t>
      </w:r>
    </w:p>
    <w:p>
      <w:pPr>
        <w:pStyle w:val="BodyText"/>
      </w:pPr>
      <m:oMathPara>
        <m:oMathParaPr>
          <m:jc m:val="center"/>
        </m:oMathParaPr>
        <m:oMath>
          <m:sSub>
            <m:e>
              <m:r>
                <m:t>d</m:t>
              </m:r>
            </m:e>
            <m:sub>
              <m:r>
                <m:t>B</m:t>
              </m:r>
            </m:sub>
          </m:sSub>
          <m:d>
            <m:dPr>
              <m:begChr m:val="("/>
              <m:endChr m:val=")"/>
              <m:sepChr m:val=""/>
              <m:grow/>
            </m:dPr>
            <m:e>
              <m:sSub>
                <m:e>
                  <m:r>
                    <m:rPr>
                      <m:sty m:val="p"/>
                    </m:rPr>
                    <m:t>Dgm</m:t>
                  </m:r>
                </m:e>
                <m:sub>
                  <m:r>
                    <m:t>p</m:t>
                  </m:r>
                </m:sub>
              </m:sSub>
              <m:d>
                <m:dPr>
                  <m:begChr m:val="("/>
                  <m:endChr m:val=")"/>
                  <m:sepChr m:val=""/>
                  <m:grow/>
                </m:dPr>
                <m:e>
                  <m:r>
                    <m:t>X</m:t>
                  </m:r>
                </m:e>
              </m:d>
              <m:r>
                <m:rPr>
                  <m:sty m:val="p"/>
                </m:rPr>
                <m:t>,</m:t>
              </m:r>
              <m:sSub>
                <m:e>
                  <m:r>
                    <m:rPr>
                      <m:sty m:val="p"/>
                    </m:rPr>
                    <m:t>Dgm</m:t>
                  </m:r>
                </m:e>
                <m:sub>
                  <m:r>
                    <m:t>p</m:t>
                  </m:r>
                </m:sub>
              </m:sSub>
              <m:d>
                <m:dPr>
                  <m:begChr m:val="("/>
                  <m:endChr m:val=")"/>
                  <m:sepChr m:val=""/>
                  <m:grow/>
                </m:dPr>
                <m:e>
                  <m:r>
                    <m:t>Y</m:t>
                  </m:r>
                </m:e>
              </m:d>
            </m:e>
          </m:d>
          <m:r>
            <m:rPr>
              <m:sty m:val="p"/>
            </m:rPr>
            <m:t>=</m:t>
          </m:r>
          <m:limLow>
            <m:e>
              <m:r>
                <m:rPr>
                  <m:sty m:val="p"/>
                </m:rPr>
                <m:t>inf</m:t>
              </m:r>
            </m:e>
            <m:lim>
              <m:r>
                <m:t>γ</m:t>
              </m:r>
            </m:lim>
          </m:limLow>
          <m:limLow>
            <m:e>
              <m:r>
                <m:rPr>
                  <m:sty m:val="p"/>
                </m:rPr>
                <m:t>sup</m:t>
              </m:r>
            </m:e>
            <m:lim>
              <m:r>
                <m:t>x</m:t>
              </m:r>
              <m:r>
                <m:rPr>
                  <m:sty m:val="p"/>
                </m:rPr>
                <m:t>∈</m:t>
              </m:r>
              <m:sSub>
                <m:e>
                  <m:r>
                    <m:rPr>
                      <m:sty m:val="p"/>
                    </m:rPr>
                    <m:t>Dgm</m:t>
                  </m:r>
                </m:e>
                <m:sub>
                  <m:r>
                    <m:t>p</m:t>
                  </m:r>
                </m:sub>
              </m:sSub>
              <m:d>
                <m:dPr>
                  <m:begChr m:val="("/>
                  <m:endChr m:val=")"/>
                  <m:sepChr m:val=""/>
                  <m:grow/>
                </m:dPr>
                <m:e>
                  <m:r>
                    <m:t>X</m:t>
                  </m:r>
                </m:e>
              </m:d>
            </m:lim>
          </m:limLow>
          <m:r>
            <m:rPr>
              <m:sty m:val="p"/>
            </m:rPr>
            <m:t>∥</m:t>
          </m:r>
          <m:r>
            <m:t>x</m:t>
          </m:r>
          <m:r>
            <m:rPr>
              <m:sty m:val="p"/>
            </m:rPr>
            <m:t>−</m:t>
          </m:r>
          <m:r>
            <m:t>γ</m:t>
          </m:r>
          <m:d>
            <m:dPr>
              <m:begChr m:val="("/>
              <m:endChr m:val=")"/>
              <m:sepChr m:val=""/>
              <m:grow/>
            </m:dPr>
            <m:e>
              <m:r>
                <m:t>x</m:t>
              </m:r>
            </m:e>
          </m:d>
          <m:sSub>
            <m:e>
              <m:r>
                <m:rPr>
                  <m:sty m:val="p"/>
                </m:rPr>
                <m:t>∥</m:t>
              </m:r>
            </m:e>
            <m:sub>
              <m:r>
                <m:rPr>
                  <m:sty m:val="p"/>
                </m:rPr>
                <m:t>∞</m:t>
              </m:r>
            </m:sub>
          </m:sSub>
          <m:r>
            <m:rPr>
              <m:sty m:val="p"/>
            </m:rPr>
            <m:t>,</m:t>
          </m:r>
        </m:oMath>
      </m:oMathPara>
    </w:p>
    <w:p>
      <w:pPr>
        <w:pStyle w:val="FirstParagraph"/>
      </w:pPr>
      <w:r>
        <w:t xml:space="preserve">where the infimum is taken over all bijections</w:t>
      </w:r>
      <w:r>
        <w:t xml:space="preserve"> </w:t>
      </w:r>
      <m:oMath>
        <m:r>
          <m:t>γ</m:t>
        </m:r>
      </m:oMath>
      <w:r>
        <w:t xml:space="preserve"> </w:t>
      </w:r>
      <w:r>
        <w:t xml:space="preserve">between the two diagrams (including points on the diagonal to handle unequal cardinalities). The</w:t>
      </w:r>
      <w:r>
        <w:t xml:space="preserve"> </w:t>
      </w:r>
      <w:r>
        <w:rPr>
          <w:iCs/>
          <w:i/>
        </w:rPr>
        <w:t xml:space="preserve">Hausdorff distance</w:t>
      </w:r>
      <w:r>
        <w:t xml:space="preserve"> </w:t>
      </w:r>
      <w:r>
        <w:t xml:space="preserve">between the metric spaces is</w:t>
      </w:r>
    </w:p>
    <w:p>
      <w:pPr>
        <w:pStyle w:val="BodyText"/>
      </w:pPr>
      <w:r>
        <w:t xml:space="preserve">$$d_H(X, Y) = \max\Bigl\{ \sup_{x \in X} \inf_{y \in Y} d(x,y), \; \sup_{y \in Y} \inf_{x \in X} d(x,y) \Bigr\}.$$</w:t>
      </w:r>
    </w:p>
    <w:p>
      <w:pPr>
        <w:pStyle w:val="FirstParagraph"/>
      </w:pPr>
      <w:r>
        <w:rPr>
          <w:bCs/>
          <w:b/>
        </w:rPr>
        <w:t xml:space="preserve">Theorem (Stability of Persistence Diagrams, Cohen-Steiner et al., 2007).</w:t>
      </w:r>
      <w:r>
        <w:t xml:space="preserve"> </w:t>
      </w:r>
      <w:r>
        <w:rPr>
          <w:iCs/>
          <w:i/>
        </w:rPr>
        <w:t xml:space="preserve">For finite metric spaces</w:t>
      </w:r>
      <w:r>
        <w:rPr>
          <w:iCs/>
          <w:i/>
        </w:rPr>
        <w:t xml:space="preserve"> </w:t>
      </w:r>
      <m:oMath>
        <m:r>
          <m:t>X</m:t>
        </m:r>
      </m:oMath>
      <w:r>
        <w:rPr>
          <w:iCs/>
          <w:i/>
        </w:rPr>
        <w:t xml:space="preserve"> </w:t>
      </w:r>
      <w:r>
        <w:rPr>
          <w:iCs/>
          <w:i/>
        </w:rPr>
        <w:t xml:space="preserve">and</w:t>
      </w:r>
      <w:r>
        <w:rPr>
          <w:iCs/>
          <w:i/>
        </w:rPr>
        <w:t xml:space="preserve"> </w:t>
      </w:r>
      <m:oMath>
        <m:r>
          <m:t>Y</m:t>
        </m:r>
      </m:oMath>
      <w:r>
        <w:rPr>
          <w:iCs/>
          <w:i/>
        </w:rPr>
        <w:t xml:space="preserve"> </w:t>
      </w:r>
      <w:r>
        <w:rPr>
          <w:iCs/>
          <w:i/>
        </w:rPr>
        <w:t xml:space="preserve">and any dimension</w:t>
      </w:r>
      <w:r>
        <w:rPr>
          <w:iCs/>
          <w:i/>
        </w:rPr>
        <w:t xml:space="preserve"> </w:t>
      </w:r>
      <m:oMath>
        <m:r>
          <m:t>p</m:t>
        </m:r>
        <m:r>
          <m:rPr>
            <m:sty m:val="p"/>
          </m:rPr>
          <m:t>≥</m:t>
        </m:r>
        <m:r>
          <m:t>0</m:t>
        </m:r>
      </m:oMath>
      <w:r>
        <w:rPr>
          <w:iCs/>
          <w:i/>
        </w:rPr>
        <w:t xml:space="preserve">,</w:t>
      </w:r>
    </w:p>
    <w:p>
      <w:pPr>
        <w:pStyle w:val="BodyText"/>
      </w:pPr>
      <m:oMathPara>
        <m:oMathParaPr>
          <m:jc m:val="center"/>
        </m:oMathParaPr>
        <m:oMath>
          <m:sSub>
            <m:e>
              <m:r>
                <m:t>d</m:t>
              </m:r>
            </m:e>
            <m:sub>
              <m:r>
                <m:t>B</m:t>
              </m:r>
            </m:sub>
          </m:sSub>
          <m:d>
            <m:dPr>
              <m:begChr m:val="("/>
              <m:endChr m:val=")"/>
              <m:sepChr m:val=""/>
              <m:grow/>
            </m:dPr>
            <m:e>
              <m:sSub>
                <m:e>
                  <m:r>
                    <m:rPr>
                      <m:sty m:val="p"/>
                    </m:rPr>
                    <m:t>Dgm</m:t>
                  </m:r>
                </m:e>
                <m:sub>
                  <m:r>
                    <m:t>p</m:t>
                  </m:r>
                </m:sub>
              </m:sSub>
              <m:d>
                <m:dPr>
                  <m:begChr m:val="("/>
                  <m:endChr m:val=")"/>
                  <m:sepChr m:val=""/>
                  <m:grow/>
                </m:dPr>
                <m:e>
                  <m:r>
                    <m:t>X</m:t>
                  </m:r>
                </m:e>
              </m:d>
              <m:r>
                <m:rPr>
                  <m:sty m:val="p"/>
                </m:rPr>
                <m:t>,</m:t>
              </m:r>
              <m:sSub>
                <m:e>
                  <m:r>
                    <m:rPr>
                      <m:sty m:val="p"/>
                    </m:rPr>
                    <m:t>Dgm</m:t>
                  </m:r>
                </m:e>
                <m:sub>
                  <m:r>
                    <m:t>p</m:t>
                  </m:r>
                </m:sub>
              </m:sSub>
              <m:d>
                <m:dPr>
                  <m:begChr m:val="("/>
                  <m:endChr m:val=")"/>
                  <m:sepChr m:val=""/>
                  <m:grow/>
                </m:dPr>
                <m:e>
                  <m:r>
                    <m:t>Y</m:t>
                  </m:r>
                </m:e>
              </m:d>
            </m:e>
          </m:d>
          <m:r>
            <m:t> </m:t>
          </m:r>
          <m:r>
            <m:rPr>
              <m:sty m:val="p"/>
            </m:rPr>
            <m:t>≤</m:t>
          </m:r>
          <m:r>
            <m:t> </m:t>
          </m:r>
          <m:sSub>
            <m:e>
              <m:r>
                <m:t>d</m:t>
              </m:r>
            </m:e>
            <m:sub>
              <m:r>
                <m:t>H</m:t>
              </m:r>
            </m:sub>
          </m:sSub>
          <m:d>
            <m:dPr>
              <m:begChr m:val="("/>
              <m:endChr m:val=")"/>
              <m:sepChr m:val=""/>
              <m:grow/>
            </m:dPr>
            <m:e>
              <m:r>
                <m:t>X</m:t>
              </m:r>
              <m:r>
                <m:rPr>
                  <m:sty m:val="p"/>
                </m:rPr>
                <m:t>,</m:t>
              </m:r>
              <m:r>
                <m:t>Y</m:t>
              </m:r>
            </m:e>
          </m:d>
          <m:r>
            <m:rPr>
              <m:sty m:val="p"/>
            </m:rPr>
            <m:t>.</m:t>
          </m:r>
        </m:oMath>
      </m:oMathPara>
    </w:p>
    <w:p>
      <w:pPr>
        <w:pStyle w:val="FirstParagraph"/>
      </w:pPr>
      <w:r>
        <w:t xml:space="preserve">This inequality guarantees that small perturbations in the underlying communication graph—due to message delays, dropped packets, or transient agent disconnections—produce only small perturbations in the persistence diagram. Consequently, the birth and death scales of topological features are</w:t>
      </w:r>
      <w:r>
        <w:t xml:space="preserve"> </w:t>
      </w:r>
      <w:r>
        <w:rPr>
          <w:iCs/>
          <w:i/>
        </w:rPr>
        <w:t xml:space="preserve">stable descriptors</w:t>
      </w:r>
      <w:r>
        <w:t xml:space="preserve"> </w:t>
      </w:r>
      <w:r>
        <w:t xml:space="preserve">of the interaction topology. The stability theorem underwrites the reliability of</w:t>
      </w:r>
      <w:r>
        <w:t xml:space="preserve"> </w:t>
      </w:r>
      <m:oMath>
        <m:sSub>
          <m:e>
            <m:r>
              <m:t>β</m:t>
            </m:r>
          </m:e>
          <m:sub>
            <m:r>
              <m:t>1</m:t>
            </m:r>
          </m:sub>
        </m:sSub>
        <m:d>
          <m:dPr>
            <m:begChr m:val="("/>
            <m:endChr m:val=")"/>
            <m:sepChr m:val=""/>
            <m:grow/>
          </m:dPr>
          <m:e>
            <m:r>
              <m:t>t</m:t>
            </m:r>
          </m:e>
        </m:d>
      </m:oMath>
      <w:r>
        <w:t xml:space="preserve"> </w:t>
      </w:r>
      <w:r>
        <w:t xml:space="preserve">as an observable: if the graph</w:t>
      </w:r>
      <w:r>
        <w:t xml:space="preserve"> </w:t>
      </w:r>
      <m:oMath>
        <m:sSub>
          <m:e>
            <m:r>
              <m:t>G</m:t>
            </m:r>
          </m:e>
          <m:sub>
            <m:r>
              <m:t>t</m:t>
            </m:r>
          </m:sub>
        </m:sSub>
      </m:oMath>
      <w:r>
        <w:t xml:space="preserve"> </w:t>
      </w:r>
      <w:r>
        <w:t xml:space="preserve">is measured with bounded error, the Betti number trajectory</w:t>
      </w:r>
      <w:r>
        <w:t xml:space="preserve"> </w:t>
      </w:r>
      <m:oMath>
        <m:sSub>
          <m:e>
            <m:r>
              <m:t>β</m:t>
            </m:r>
          </m:e>
          <m:sub>
            <m:r>
              <m:t>1</m:t>
            </m:r>
          </m:sub>
        </m:sSub>
        <m:d>
          <m:dPr>
            <m:begChr m:val="("/>
            <m:endChr m:val=")"/>
            <m:sepChr m:val=""/>
            <m:grow/>
          </m:dPr>
          <m:e>
            <m:r>
              <m:t>t</m:t>
            </m:r>
          </m:e>
        </m:d>
      </m:oMath>
      <w:r>
        <w:t xml:space="preserve"> </w:t>
      </w:r>
      <w:r>
        <w:t xml:space="preserve">is correspondingly stable.</w:t>
      </w:r>
    </w:p>
    <w:p>
      <w:r>
        <w:pict>
          <v:rect style="width:0;height:1.5pt" o:hralign="center" o:hrstd="t" o:hr="t"/>
        </w:pict>
      </w:r>
    </w:p>
    <w:bookmarkEnd w:id="80"/>
    <w:bookmarkEnd w:id="81"/>
    <w:bookmarkStart w:id="84" w:name="X466c9db46a9548b601e5c112f407c137c45cfff"/>
    <w:p>
      <w:pPr>
        <w:pStyle w:val="Heading2"/>
      </w:pPr>
      <w:r>
        <w:t xml:space="preserve">C.3 Critical Slowing Down as Topological Signal</w:t>
      </w:r>
    </w:p>
    <w:bookmarkStart w:id="82" w:name="Xc8442357e30c48bfa981412698e9fe0e2f4a1c3"/>
    <w:p>
      <w:pPr>
        <w:pStyle w:val="Heading3"/>
      </w:pPr>
      <w:r>
        <w:t xml:space="preserve">C.3.1 The Phenomenology of Critical Transitions</w:t>
      </w:r>
    </w:p>
    <w:p>
      <w:pPr>
        <w:pStyle w:val="FirstParagraph"/>
      </w:pPr>
      <w:r>
        <w:t xml:space="preserve">Scheffer and colleagues (2009, 2012) [2, 3] established that complex dynamical systems approaching a bifurcation exhibit</w:t>
      </w:r>
      <w:r>
        <w:t xml:space="preserve"> </w:t>
      </w:r>
      <w:r>
        <w:rPr>
          <w:iCs/>
          <w:i/>
        </w:rPr>
        <w:t xml:space="preserve">generic early warning signals</w:t>
      </w:r>
      <w:r>
        <w:t xml:space="preserve">: increased variance, increased autocorrelation, and slower recovery from perturbations. These phenomena, collectively termed</w:t>
      </w:r>
      <w:r>
        <w:t xml:space="preserve"> </w:t>
      </w:r>
      <w:r>
        <w:rPr>
          <w:iCs/>
          <w:i/>
        </w:rPr>
        <w:t xml:space="preserve">critical slowing down</w:t>
      </w:r>
      <w:r>
        <w:t xml:space="preserve"> </w:t>
      </w:r>
      <w:r>
        <w:t xml:space="preserve">(CSD), arise because the dominant eigenvalue of the linearized dynamics approaches zero as the system nears a fold or transcritical bifurcation. The system becomes progressively less responsive to perturbations, and fluctuations accumulate.</w:t>
      </w:r>
    </w:p>
    <w:p>
      <w:pPr>
        <w:pStyle w:val="BodyText"/>
      </w:pPr>
      <w:r>
        <w:t xml:space="preserve">Formally, consider a stochastic differential equation near a bifurcation point</w:t>
      </w:r>
      <w:r>
        <w:t xml:space="preserve"> </w:t>
      </w:r>
      <m:oMath>
        <m:sSub>
          <m:e>
            <m:r>
              <m:t>μ</m:t>
            </m:r>
          </m:e>
          <m:sub>
            <m:r>
              <m:t>c</m:t>
            </m:r>
          </m:sub>
        </m:sSub>
      </m:oMath>
      <w:r>
        <w:t xml:space="preserve">:</w:t>
      </w:r>
    </w:p>
    <w:p>
      <w:pPr>
        <w:pStyle w:val="BodyText"/>
      </w:pPr>
      <m:oMathPara>
        <m:oMathParaPr>
          <m:jc m:val="center"/>
        </m:oMathParaPr>
        <m:oMath>
          <m:r>
            <m:rPr>
              <m:sty m:val="p"/>
            </m:rPr>
            <m:t>d</m:t>
          </m:r>
          <m:r>
            <m:t>x</m:t>
          </m:r>
          <m:r>
            <m:rPr>
              <m:sty m:val="p"/>
            </m:rPr>
            <m:t>=</m:t>
          </m:r>
          <m:r>
            <m:t>f</m:t>
          </m:r>
          <m:d>
            <m:dPr>
              <m:begChr m:val="("/>
              <m:endChr m:val=")"/>
              <m:sepChr m:val=""/>
              <m:grow/>
            </m:dPr>
            <m:e>
              <m:r>
                <m:t>x</m:t>
              </m:r>
              <m:r>
                <m:rPr>
                  <m:sty m:val="p"/>
                </m:rPr>
                <m:t>;</m:t>
              </m:r>
              <m:r>
                <m:t>μ</m:t>
              </m:r>
            </m:e>
          </m:d>
          <m:r>
            <m:t> </m:t>
          </m:r>
          <m:r>
            <m:rPr>
              <m:sty m:val="p"/>
            </m:rPr>
            <m:t>d</m:t>
          </m:r>
          <m:r>
            <m:t>t</m:t>
          </m:r>
          <m:r>
            <m:rPr>
              <m:sty m:val="p"/>
            </m:rPr>
            <m:t>+</m:t>
          </m:r>
          <m:r>
            <m:t>σ</m:t>
          </m:r>
          <m:r>
            <m:t> </m:t>
          </m:r>
          <m:r>
            <m:rPr>
              <m:sty m:val="p"/>
            </m:rPr>
            <m:t>d</m:t>
          </m:r>
          <m:r>
            <m:t>W</m:t>
          </m:r>
          <m:r>
            <m:rPr>
              <m:sty m:val="p"/>
            </m:rPr>
            <m:t>,</m:t>
          </m:r>
        </m:oMath>
      </m:oMathPara>
    </w:p>
    <w:p>
      <w:pPr>
        <w:pStyle w:val="FirstParagraph"/>
      </w:pPr>
      <w:r>
        <w:t xml:space="preserve">where</w:t>
      </w:r>
      <w:r>
        <w:t xml:space="preserve"> </w:t>
      </w:r>
      <m:oMath>
        <m:r>
          <m:t>f</m:t>
        </m:r>
        <m:d>
          <m:dPr>
            <m:begChr m:val="("/>
            <m:endChr m:val=")"/>
            <m:sepChr m:val=""/>
            <m:grow/>
          </m:dPr>
          <m:e>
            <m:sSub>
              <m:e>
                <m:r>
                  <m:t>x</m:t>
                </m:r>
              </m:e>
              <m:sub>
                <m:r>
                  <m:t>c</m:t>
                </m:r>
              </m:sub>
            </m:sSub>
            <m:r>
              <m:rPr>
                <m:sty m:val="p"/>
              </m:rPr>
              <m:t>;</m:t>
            </m:r>
            <m:sSub>
              <m:e>
                <m:r>
                  <m:t>μ</m:t>
                </m:r>
              </m:e>
              <m:sub>
                <m:r>
                  <m:t>c</m:t>
                </m:r>
              </m:sub>
            </m:sSub>
          </m:e>
        </m:d>
        <m:r>
          <m:rPr>
            <m:sty m:val="p"/>
          </m:rPr>
          <m:t>=</m:t>
        </m:r>
        <m:r>
          <m:t>0</m:t>
        </m:r>
      </m:oMath>
      <w:r>
        <w:t xml:space="preserve"> </w:t>
      </w:r>
      <w:r>
        <w:t xml:space="preserve">and</w:t>
      </w:r>
      <w:r>
        <w:t xml:space="preserve"> </w:t>
      </w:r>
      <m:oMath>
        <m:r>
          <m:rPr>
            <m:sty m:val="p"/>
          </m:rPr>
          <m:t>∂</m:t>
        </m:r>
        <m:r>
          <m:t>f</m:t>
        </m:r>
        <m:r>
          <m:rPr>
            <m:sty m:val="p"/>
          </m:rPr>
          <m:t>/</m:t>
        </m:r>
        <m:r>
          <m:rPr>
            <m:sty m:val="p"/>
          </m:rPr>
          <m:t>∂</m:t>
        </m:r>
        <m:r>
          <m:t>x</m:t>
        </m:r>
        <m:sSub>
          <m:e>
            <m:r>
              <m:rPr>
                <m:sty m:val="p"/>
              </m:rPr>
              <m:t>|</m:t>
            </m:r>
          </m:e>
          <m:sub>
            <m:sSub>
              <m:e>
                <m:r>
                  <m:t>x</m:t>
                </m:r>
              </m:e>
              <m:sub>
                <m:r>
                  <m:t>c</m:t>
                </m:r>
              </m:sub>
            </m:sSub>
            <m:r>
              <m:rPr>
                <m:sty m:val="p"/>
              </m:rPr>
              <m:t>,</m:t>
            </m:r>
            <m:sSub>
              <m:e>
                <m:r>
                  <m:t>μ</m:t>
                </m:r>
              </m:e>
              <m:sub>
                <m:r>
                  <m:t>c</m:t>
                </m:r>
              </m:sub>
            </m:sSub>
          </m:sub>
        </m:sSub>
        <m:r>
          <m:rPr>
            <m:sty m:val="p"/>
          </m:rPr>
          <m:t>=</m:t>
        </m:r>
        <m:r>
          <m:t>0</m:t>
        </m:r>
      </m:oMath>
      <w:r>
        <w:t xml:space="preserve">. For</w:t>
      </w:r>
      <w:r>
        <w:t xml:space="preserve"> </w:t>
      </w:r>
      <m:oMath>
        <m:r>
          <m:t>μ</m:t>
        </m:r>
        <m:r>
          <m:rPr>
            <m:sty m:val="p"/>
          </m:rPr>
          <m:t>&lt;</m:t>
        </m:r>
        <m:sSub>
          <m:e>
            <m:r>
              <m:t>μ</m:t>
            </m:r>
          </m:e>
          <m:sub>
            <m:r>
              <m:t>c</m:t>
            </m:r>
          </m:sub>
        </m:sSub>
      </m:oMath>
      <w:r>
        <w:t xml:space="preserve">, the fixed point is stable with characteristic relaxation rate</w:t>
      </w:r>
      <w:r>
        <w:t xml:space="preserve"> </w:t>
      </w:r>
      <m:oMath>
        <m:r>
          <m:t>λ</m:t>
        </m:r>
        <m:d>
          <m:dPr>
            <m:begChr m:val="("/>
            <m:endChr m:val=")"/>
            <m:sepChr m:val=""/>
            <m:grow/>
          </m:dPr>
          <m:e>
            <m:r>
              <m:t>μ</m:t>
            </m:r>
          </m:e>
        </m:d>
        <m:r>
          <m:rPr>
            <m:sty m:val="p"/>
          </m:rPr>
          <m:t>&lt;</m:t>
        </m:r>
        <m:r>
          <m:t>0</m:t>
        </m:r>
      </m:oMath>
      <w:r>
        <w:t xml:space="preserve">. As</w:t>
      </w:r>
      <w:r>
        <w:t xml:space="preserve"> </w:t>
      </w:r>
      <m:oMath>
        <m:r>
          <m:t>μ</m:t>
        </m:r>
        <m:r>
          <m:rPr>
            <m:sty m:val="p"/>
          </m:rPr>
          <m:t>→</m:t>
        </m:r>
        <m:sSubSup>
          <m:e>
            <m:r>
              <m:t>μ</m:t>
            </m:r>
          </m:e>
          <m:sub>
            <m:r>
              <m:t>c</m:t>
            </m:r>
          </m:sub>
          <m:sup>
            <m:r>
              <m:rPr>
                <m:sty m:val="p"/>
              </m:rPr>
              <m:t>−</m:t>
            </m:r>
          </m:sup>
        </m:sSubSup>
      </m:oMath>
      <w:r>
        <w:t xml:space="preserve">,</w:t>
      </w:r>
      <w:r>
        <w:t xml:space="preserve"> </w:t>
      </w:r>
      <m:oMath>
        <m:r>
          <m:t>λ</m:t>
        </m:r>
        <m:d>
          <m:dPr>
            <m:begChr m:val="("/>
            <m:endChr m:val=")"/>
            <m:sepChr m:val=""/>
            <m:grow/>
          </m:dPr>
          <m:e>
            <m:r>
              <m:t>μ</m:t>
            </m:r>
          </m:e>
        </m:d>
        <m:r>
          <m:rPr>
            <m:sty m:val="p"/>
          </m:rPr>
          <m:t>→</m:t>
        </m:r>
        <m:r>
          <m:t>0</m:t>
        </m:r>
      </m:oMath>
      <w:r>
        <w:t xml:space="preserve">, and the variance of the stationary distribution scales as</w:t>
      </w:r>
      <w:r>
        <w:t xml:space="preserve"> </w:t>
      </w:r>
      <m:oMath>
        <m:r>
          <m:rPr>
            <m:sty m:val="p"/>
          </m:rPr>
          <m:t>Var</m:t>
        </m:r>
        <m:d>
          <m:dPr>
            <m:begChr m:val="("/>
            <m:endChr m:val=")"/>
            <m:sepChr m:val=""/>
            <m:grow/>
          </m:dPr>
          <m:e>
            <m:r>
              <m:t>x</m:t>
            </m:r>
          </m:e>
        </m:d>
        <m:r>
          <m:rPr>
            <m:sty m:val="p"/>
          </m:rPr>
          <m:t>∼</m:t>
        </m:r>
        <m:sSup>
          <m:e>
            <m:r>
              <m:t>σ</m:t>
            </m:r>
          </m:e>
          <m:sup>
            <m:r>
              <m:t>2</m:t>
            </m:r>
          </m:sup>
        </m:sSup>
        <m:r>
          <m:rPr>
            <m:sty m:val="p"/>
          </m:rPr>
          <m:t>/</m:t>
        </m:r>
        <m:d>
          <m:dPr>
            <m:begChr m:val="("/>
            <m:endChr m:val=")"/>
            <m:sepChr m:val=""/>
            <m:grow/>
          </m:dPr>
          <m:e>
            <m:r>
              <m:t>2</m:t>
            </m:r>
            <m:d>
              <m:dPr>
                <m:begChr m:val="|"/>
                <m:endChr m:val="|"/>
                <m:sepChr m:val=""/>
                <m:grow/>
              </m:dPr>
              <m:e>
                <m:r>
                  <m:t>λ</m:t>
                </m:r>
                <m:d>
                  <m:dPr>
                    <m:begChr m:val="("/>
                    <m:endChr m:val=")"/>
                    <m:sepChr m:val=""/>
                    <m:grow/>
                  </m:dPr>
                  <m:e>
                    <m:r>
                      <m:t>μ</m:t>
                    </m:r>
                  </m:e>
                </m:d>
              </m:e>
            </m:d>
          </m:e>
        </m:d>
      </m:oMath>
      <w:r>
        <w:t xml:space="preserve">, diverging at the bifurcation.</w:t>
      </w:r>
    </w:p>
    <w:bookmarkEnd w:id="82"/>
    <w:bookmarkStart w:id="83" w:name="X0905d03883271e37e85d0a0e73f2b2850fb893a"/>
    <w:p>
      <w:pPr>
        <w:pStyle w:val="Heading3"/>
      </w:pPr>
      <w:r>
        <w:t xml:space="preserve">C.3.2 The Structural Analogue: Birth of a 1-Cycle</w:t>
      </w:r>
    </w:p>
    <w:p>
      <w:pPr>
        <w:pStyle w:val="FirstParagraph"/>
      </w:pPr>
      <w:r>
        <w:t xml:space="preserve">In the PLATO setting, the dynamical system is not a low-dimensional ODE but a high-dimensional graph process</w:t>
      </w:r>
      <w:r>
        <w:t xml:space="preserve"> </w:t>
      </w:r>
      <m:oMath>
        <m:sSub>
          <m:e>
            <m:r>
              <m:t>G</m:t>
            </m:r>
          </m:e>
          <m:sub>
            <m:r>
              <m:t>t</m:t>
            </m:r>
          </m:sub>
        </m:sSub>
      </m:oMath>
      <w:r>
        <w:t xml:space="preserve"> </w:t>
      </w:r>
      <w:r>
        <w:t xml:space="preserve">evolving on the space of finite metric spaces. The topological analogue of critical slowing down is the</w:t>
      </w:r>
      <w:r>
        <w:t xml:space="preserve"> </w:t>
      </w:r>
      <w:r>
        <w:rPr>
          <w:iCs/>
          <w:i/>
        </w:rPr>
        <w:t xml:space="preserve">birth of a new homology class</w:t>
      </w:r>
      <w:r>
        <w:t xml:space="preserve">. Just as the variance increases because the system explores a larger region of state space near a bifurcation, the communication graph</w:t>
      </w:r>
      <w:r>
        <w:t xml:space="preserve"> </w:t>
      </w:r>
      <m:oMath>
        <m:sSub>
          <m:e>
            <m:r>
              <m:t>G</m:t>
            </m:r>
          </m:e>
          <m:sub>
            <m:r>
              <m:t>t</m:t>
            </m:r>
          </m:sub>
        </m:sSub>
      </m:oMath>
      <w:r>
        <w:t xml:space="preserve"> </w:t>
      </w:r>
      <w:r>
        <w:t xml:space="preserve">explores a larger region of metric-space shape space, and the Rips complex at fixed scale</w:t>
      </w:r>
      <w:r>
        <w:t xml:space="preserve"> </w:t>
      </w:r>
      <m:oMath>
        <m:sSub>
          <m:e>
            <m:r>
              <m:t>ε</m:t>
            </m:r>
          </m:e>
          <m:sub>
            <m:r>
              <m:t>0</m:t>
            </m:r>
          </m:sub>
        </m:sSub>
      </m:oMath>
      <w:r>
        <w:t xml:space="preserve"> </w:t>
      </w:r>
      <w:r>
        <w:t xml:space="preserve">may acquire new 1-cycles that were previously absent.</w:t>
      </w:r>
    </w:p>
    <w:p>
      <w:pPr>
        <w:pStyle w:val="BodyText"/>
      </w:pPr>
      <w:r>
        <w:t xml:space="preserve">The key insight is that the</w:t>
      </w:r>
      <w:r>
        <w:t xml:space="preserve"> </w:t>
      </w:r>
      <w:r>
        <w:rPr>
          <w:iCs/>
          <w:i/>
        </w:rPr>
        <w:t xml:space="preserve">birth event</w:t>
      </w:r>
      <w:r>
        <w:t xml:space="preserve">—the moment a point</w:t>
      </w:r>
      <w:r>
        <w:t xml:space="preserve"> </w:t>
      </w:r>
      <m:oMath>
        <m:d>
          <m:dPr>
            <m:begChr m:val="("/>
            <m:endChr m:val=")"/>
            <m:sepChr m:val=""/>
            <m:grow/>
          </m:dPr>
          <m:e>
            <m:r>
              <m:t>b</m:t>
            </m:r>
            <m:r>
              <m:rPr>
                <m:sty m:val="p"/>
              </m:rPr>
              <m:t>,</m:t>
            </m:r>
            <m:r>
              <m:t>d</m:t>
            </m:r>
          </m:e>
        </m:d>
      </m:oMath>
      <w:r>
        <w:t xml:space="preserve"> </w:t>
      </w:r>
      <w:r>
        <w:t xml:space="preserve">enters</w:t>
      </w:r>
      <w:r>
        <w:t xml:space="preserve"> </w:t>
      </w:r>
      <m:oMath>
        <m:sSub>
          <m:e>
            <m:r>
              <m:rPr>
                <m:sty m:val="p"/>
              </m:rPr>
              <m:t>Dgm</m:t>
            </m:r>
          </m:e>
          <m:sub>
            <m:r>
              <m:t>1</m:t>
            </m:r>
          </m:sub>
        </m:sSub>
      </m:oMath>
      <w:r>
        <w:t xml:space="preserve"> </w:t>
      </w:r>
      <w:r>
        <w:t xml:space="preserve">with</w:t>
      </w:r>
      <w:r>
        <w:t xml:space="preserve"> </w:t>
      </w:r>
      <m:oMath>
        <m:r>
          <m:t>b</m:t>
        </m:r>
      </m:oMath>
      <w:r>
        <w:t xml:space="preserve"> </w:t>
      </w:r>
      <w:r>
        <w:t xml:space="preserve">near the working scale</w:t>
      </w:r>
      <w:r>
        <w:t xml:space="preserve"> </w:t>
      </w:r>
      <m:oMath>
        <m:sSub>
          <m:e>
            <m:r>
              <m:t>ε</m:t>
            </m:r>
          </m:e>
          <m:sub>
            <m:r>
              <m:t>0</m:t>
            </m:r>
          </m:sub>
        </m:sSub>
      </m:oMath>
      <w:r>
        <w:t xml:space="preserve">—is a structural indicator that the system is reorganizing its connectivity. Unlike CSD in the original Scheffer framework, which requires a continuous state variable and a known bifurcation structure, the topological signal is</w:t>
      </w:r>
      <w:r>
        <w:t xml:space="preserve"> </w:t>
      </w:r>
      <w:r>
        <w:rPr>
          <w:iCs/>
          <w:i/>
        </w:rPr>
        <w:t xml:space="preserve">model-agnostic</w:t>
      </w:r>
      <w:r>
        <w:t xml:space="preserve">. It applies to any system whose interaction structure can be represented as a time-varying graph, regardless of the microscopic agent dynamics.</w:t>
      </w:r>
    </w:p>
    <w:p>
      <w:pPr>
        <w:pStyle w:val="BodyText"/>
      </w:pPr>
      <w:r>
        <w:t xml:space="preserve">The connection between CSD and topology can be made precise by considering the</w:t>
      </w:r>
      <w:r>
        <w:t xml:space="preserve"> </w:t>
      </w:r>
      <w:r>
        <w:rPr>
          <w:iCs/>
          <w:i/>
        </w:rPr>
        <w:t xml:space="preserve">persistence landscape</w:t>
      </w:r>
      <w:r>
        <w:t xml:space="preserve"> </w:t>
      </w:r>
      <m:oMath>
        <m:sSub>
          <m:e>
            <m:r>
              <m:t>λ</m:t>
            </m:r>
          </m:e>
          <m:sub>
            <m:r>
              <m:t>k</m:t>
            </m:r>
          </m:sub>
        </m:sSub>
        <m:d>
          <m:dPr>
            <m:begChr m:val="("/>
            <m:endChr m:val=")"/>
            <m:sepChr m:val=""/>
            <m:grow/>
          </m:dPr>
          <m:e>
            <m:r>
              <m:t>t</m:t>
            </m:r>
            <m:r>
              <m:rPr>
                <m:sty m:val="p"/>
              </m:rPr>
              <m:t>;</m:t>
            </m:r>
            <m:r>
              <m:t>ε</m:t>
            </m:r>
          </m:e>
        </m:d>
      </m:oMath>
      <w:r>
        <w:t xml:space="preserve">, a statistical functional of the persistence diagram introduced by Bubenik (2015) [4]. As the system approaches a transition, the expected persistence</w:t>
      </w:r>
      <w:r>
        <w:t xml:space="preserve"> </w:t>
      </w:r>
      <m:oMath>
        <m:r>
          <m:rPr>
            <m:sty m:val="p"/>
            <m:scr m:val="double-struck"/>
          </m:rPr>
          <m:t>E</m:t>
        </m:r>
        <m:d>
          <m:dPr>
            <m:begChr m:val="["/>
            <m:endChr m:val="]"/>
            <m:sepChr m:val=""/>
            <m:grow/>
          </m:dPr>
          <m:e>
            <m:r>
              <m:t>d</m:t>
            </m:r>
            <m:r>
              <m:rPr>
                <m:sty m:val="p"/>
              </m:rPr>
              <m:t>−</m:t>
            </m:r>
            <m:r>
              <m:t>b</m:t>
            </m:r>
          </m:e>
        </m:d>
      </m:oMath>
      <w:r>
        <w:t xml:space="preserve"> </w:t>
      </w:r>
      <w:r>
        <w:t xml:space="preserve">increases, and the landscape undergoes a detectable shift. In PLATO, we do not compute full landscapes online; rather, we track the zeroth-order statistic</w:t>
      </w:r>
      <w:r>
        <w:t xml:space="preserve"> </w:t>
      </w:r>
      <m:oMath>
        <m:sSub>
          <m:e>
            <m:r>
              <m:t>β</m:t>
            </m:r>
          </m:e>
          <m:sub>
            <m:r>
              <m:t>1</m:t>
            </m:r>
          </m:sub>
        </m:sSub>
        <m:d>
          <m:dPr>
            <m:begChr m:val="("/>
            <m:endChr m:val=")"/>
            <m:sepChr m:val=""/>
            <m:grow/>
          </m:dPr>
          <m:e>
            <m:r>
              <m:t>t</m:t>
            </m:r>
          </m:e>
        </m:d>
      </m:oMath>
      <w:r>
        <w:t xml:space="preserve"> </w:t>
      </w:r>
      <w:r>
        <w:t xml:space="preserve">as a computationally efficient proxy.</w:t>
      </w:r>
    </w:p>
    <w:p>
      <w:r>
        <w:pict>
          <v:rect style="width:0;height:1.5pt" o:hralign="center" o:hrstd="t" o:hr="t"/>
        </w:pict>
      </w:r>
    </w:p>
    <w:bookmarkEnd w:id="83"/>
    <w:bookmarkEnd w:id="84"/>
    <w:bookmarkStart w:id="89" w:name="c.4-formal-definition-of-emergence"/>
    <w:p>
      <w:pPr>
        <w:pStyle w:val="Heading2"/>
      </w:pPr>
      <w:r>
        <w:t xml:space="preserve">C.4 Formal Definition of Emergence</w:t>
      </w:r>
    </w:p>
    <w:bookmarkStart w:id="85" w:name="Xa6c26cacedb4b12848d5add6e46fcd41801bea4"/>
    <w:p>
      <w:pPr>
        <w:pStyle w:val="Heading3"/>
      </w:pPr>
      <w:r>
        <w:t xml:space="preserve">C.4.1 Preliminary: Emergence as Behavioral Change</w:t>
      </w:r>
    </w:p>
    <w:p>
      <w:pPr>
        <w:pStyle w:val="FirstParagraph"/>
      </w:pPr>
      <w:r>
        <w:t xml:space="preserve">To break the tautology, we first define emergence</w:t>
      </w:r>
      <w:r>
        <w:t xml:space="preserve"> </w:t>
      </w:r>
      <w:r>
        <w:rPr>
          <w:iCs/>
          <w:i/>
        </w:rPr>
        <w:t xml:space="preserve">independently</w:t>
      </w:r>
      <w:r>
        <w:t xml:space="preserve"> </w:t>
      </w:r>
      <w:r>
        <w:t xml:space="preserve">of topology. Let</w:t>
      </w:r>
      <w:r>
        <w:t xml:space="preserve"> </w:t>
      </w:r>
      <m:oMath>
        <m:sSub>
          <m:e>
            <m:r>
              <m:rPr>
                <m:sty m:val="p"/>
                <m:scr m:val="script"/>
              </m:rPr>
              <m:t>B</m:t>
            </m:r>
          </m:e>
          <m:sub>
            <m:r>
              <m:t>t</m:t>
            </m:r>
          </m:sub>
        </m:sSub>
        <m:r>
          <m:rPr>
            <m:sty m:val="p"/>
          </m:rPr>
          <m:t>=</m:t>
        </m:r>
        <m:r>
          <m:rPr>
            <m:sty m:val="p"/>
          </m:rPr>
          <m:t>{</m:t>
        </m:r>
        <m:sSubSup>
          <m:e>
            <m:r>
              <m:t>b</m:t>
            </m:r>
          </m:e>
          <m:sub>
            <m:r>
              <m:t>t</m:t>
            </m:r>
          </m:sub>
          <m:sup>
            <m:d>
              <m:dPr>
                <m:begChr m:val="("/>
                <m:endChr m:val=")"/>
                <m:sepChr m:val=""/>
                <m:grow/>
              </m:dPr>
              <m:e>
                <m:r>
                  <m:t>i</m:t>
                </m:r>
              </m:e>
            </m:d>
          </m:sup>
        </m:sSubSup>
        <m:sSubSup>
          <m:e>
            <m:r>
              <m:rPr>
                <m:sty m:val="p"/>
              </m:rPr>
              <m:t>}</m:t>
            </m:r>
          </m:e>
          <m:sub>
            <m:r>
              <m:t>i</m:t>
            </m:r>
            <m:r>
              <m:rPr>
                <m:sty m:val="p"/>
              </m:rPr>
              <m:t>=</m:t>
            </m:r>
            <m:r>
              <m:t>1</m:t>
            </m:r>
          </m:sub>
          <m:sup>
            <m:r>
              <m:t>N</m:t>
            </m:r>
          </m:sup>
        </m:sSubSup>
      </m:oMath>
      <w:r>
        <w:t xml:space="preserve"> </w:t>
      </w:r>
      <w:r>
        <w:t xml:space="preserve">denote the set of agent behaviors at time</w:t>
      </w:r>
      <w:r>
        <w:t xml:space="preserve"> </w:t>
      </w:r>
      <m:oMath>
        <m:r>
          <m:t>t</m:t>
        </m:r>
      </m:oMath>
      <w:r>
        <w:t xml:space="preserve">, where each</w:t>
      </w:r>
      <w:r>
        <w:t xml:space="preserve"> </w:t>
      </w:r>
      <m:oMath>
        <m:sSubSup>
          <m:e>
            <m:r>
              <m:t>b</m:t>
            </m:r>
          </m:e>
          <m:sub>
            <m:r>
              <m:t>t</m:t>
            </m:r>
          </m:sub>
          <m:sup>
            <m:d>
              <m:dPr>
                <m:begChr m:val="("/>
                <m:endChr m:val=")"/>
                <m:sepChr m:val=""/>
                <m:grow/>
              </m:dPr>
              <m:e>
                <m:r>
                  <m:t>i</m:t>
                </m:r>
              </m:e>
            </m:d>
          </m:sup>
        </m:sSubSup>
      </m:oMath>
      <w:r>
        <w:t xml:space="preserve"> </w:t>
      </w:r>
      <w:r>
        <w:t xml:space="preserve">belongs to a discrete or continuous behavioral alphabet. Let</w:t>
      </w:r>
      <w:r>
        <w:t xml:space="preserve"> </w:t>
      </w:r>
      <m:oMath>
        <m:r>
          <m:t>Φ</m:t>
        </m:r>
        <m:r>
          <m:rPr>
            <m:sty m:val="p"/>
          </m:rPr>
          <m:t>:</m:t>
        </m:r>
        <m:r>
          <m:rPr>
            <m:sty m:val="p"/>
            <m:scr m:val="script"/>
          </m:rPr>
          <m:t>B</m:t>
        </m:r>
        <m:r>
          <m:rPr>
            <m:sty m:val="p"/>
          </m:rPr>
          <m:t>→</m:t>
        </m:r>
        <m:sSup>
          <m:e>
            <m:r>
              <m:rPr>
                <m:sty m:val="p"/>
                <m:scr m:val="double-struck"/>
              </m:rPr>
              <m:t>R</m:t>
            </m:r>
          </m:e>
          <m:sup>
            <m:r>
              <m:t>m</m:t>
            </m:r>
          </m:sup>
        </m:sSup>
      </m:oMath>
      <w:r>
        <w:t xml:space="preserve"> </w:t>
      </w:r>
      <w:r>
        <w:t xml:space="preserve">be a feature embedding (e.g., message-type frequencies, consensus states, or task-allocation vectors). The</w:t>
      </w:r>
      <w:r>
        <w:t xml:space="preserve"> </w:t>
      </w:r>
      <w:r>
        <w:rPr>
          <w:iCs/>
          <w:i/>
        </w:rPr>
        <w:t xml:space="preserve">behavioral manifold</w:t>
      </w:r>
      <w:r>
        <w:t xml:space="preserve"> </w:t>
      </w:r>
      <w:r>
        <w:t xml:space="preserve">at time</w:t>
      </w:r>
      <w:r>
        <w:t xml:space="preserve"> </w:t>
      </w:r>
      <m:oMath>
        <m:r>
          <m:t>t</m:t>
        </m:r>
      </m:oMath>
      <w:r>
        <w:t xml:space="preserve"> </w:t>
      </w:r>
      <w:r>
        <w:t xml:space="preserve">is the distribution</w:t>
      </w:r>
      <w:r>
        <w:t xml:space="preserve"> </w:t>
      </w:r>
      <m:oMath>
        <m:sSub>
          <m:e>
            <m:r>
              <m:t>P</m:t>
            </m:r>
          </m:e>
          <m:sub>
            <m:r>
              <m:t>t</m:t>
            </m:r>
          </m:sub>
        </m:sSub>
        <m:r>
          <m:rPr>
            <m:sty m:val="p"/>
          </m:rPr>
          <m:t>=</m:t>
        </m:r>
        <m:sSub>
          <m:e>
            <m:r>
              <m:t>Φ</m:t>
            </m:r>
          </m:e>
          <m:sub>
            <m:r>
              <m:rPr>
                <m:sty m:val="p"/>
              </m:rPr>
              <m:t>*</m:t>
            </m:r>
          </m:sub>
        </m:sSub>
        <m:sSub>
          <m:e>
            <m:r>
              <m:t>μ</m:t>
            </m:r>
          </m:e>
          <m:sub>
            <m:r>
              <m:t>t</m:t>
            </m:r>
          </m:sub>
        </m:sSub>
      </m:oMath>
      <w:r>
        <w:t xml:space="preserve"> </w:t>
      </w:r>
      <w:r>
        <w:t xml:space="preserve">induced by the agent population measure</w:t>
      </w:r>
      <w:r>
        <w:t xml:space="preserve"> </w:t>
      </w:r>
      <m:oMath>
        <m:sSub>
          <m:e>
            <m:r>
              <m:t>μ</m:t>
            </m:r>
          </m:e>
          <m:sub>
            <m:r>
              <m:t>t</m:t>
            </m:r>
          </m:sub>
        </m:sSub>
      </m:oMath>
      <w:r>
        <w:t xml:space="preserve">.</w:t>
      </w:r>
    </w:p>
    <w:p>
      <w:pPr>
        <w:pStyle w:val="BodyText"/>
      </w:pPr>
      <w:r>
        <w:rPr>
          <w:bCs/>
          <w:b/>
        </w:rPr>
        <w:t xml:space="preserve">Definition (Behavioral Emergence).</w:t>
      </w:r>
      <w:r>
        <w:t xml:space="preserve"> </w:t>
      </w:r>
      <w:r>
        <w:rPr>
          <w:iCs/>
          <w:i/>
        </w:rPr>
        <w:t xml:space="preserve">A behavioral emergence event occurs at time</w:t>
      </w:r>
      <w:r>
        <w:rPr>
          <w:iCs/>
          <w:i/>
        </w:rPr>
        <w:t xml:space="preserve"> </w:t>
      </w:r>
      <m:oMath>
        <m:sSup>
          <m:e>
            <m:r>
              <m:t>t</m:t>
            </m:r>
          </m:e>
          <m:sup>
            <m:r>
              <m:rPr>
                <m:sty m:val="p"/>
              </m:rPr>
              <m:t>*</m:t>
            </m:r>
          </m:sup>
        </m:sSup>
      </m:oMath>
      <w:r>
        <w:rPr>
          <w:iCs/>
          <w:i/>
        </w:rPr>
        <w:t xml:space="preserve"> </w:t>
      </w:r>
      <w:r>
        <w:rPr>
          <w:iCs/>
          <w:i/>
        </w:rPr>
        <w:t xml:space="preserve">if the Jensen-Shannon divergence between successive behavioral distributions exceeds a threshold:</w:t>
      </w:r>
    </w:p>
    <w:p>
      <w:pPr>
        <w:pStyle w:val="BodyText"/>
      </w:pPr>
      <m:oMathPara>
        <m:oMathParaPr>
          <m:jc m:val="center"/>
        </m:oMathParaPr>
        <m:oMath>
          <m:sSub>
            <m:e>
              <m:r>
                <m:t>D</m:t>
              </m:r>
            </m:e>
            <m:sub>
              <m:r>
                <m:rPr>
                  <m:sty m:val="p"/>
                </m:rPr>
                <m:t>J</m:t>
              </m:r>
              <m:r>
                <m:rPr>
                  <m:sty m:val="p"/>
                </m:rPr>
                <m:t>S</m:t>
              </m:r>
            </m:sub>
          </m:sSub>
          <m:d>
            <m:dPr>
              <m:begChr m:val="("/>
              <m:endChr m:val=")"/>
              <m:sepChr m:val=""/>
              <m:grow/>
            </m:dPr>
            <m:e>
              <m:sSub>
                <m:e>
                  <m:r>
                    <m:t>P</m:t>
                  </m:r>
                </m:e>
                <m:sub>
                  <m:sSup>
                    <m:e>
                      <m:r>
                        <m:t>t</m:t>
                      </m:r>
                    </m:e>
                    <m:sup>
                      <m:r>
                        <m:rPr>
                          <m:sty m:val="p"/>
                        </m:rPr>
                        <m:t>*</m:t>
                      </m:r>
                    </m:sup>
                  </m:sSup>
                </m:sub>
              </m:sSub>
              <m:r>
                <m:rPr>
                  <m:sty m:val="p"/>
                </m:rPr>
                <m:t>,</m:t>
              </m:r>
              <m:sSub>
                <m:e>
                  <m:r>
                    <m:t>P</m:t>
                  </m:r>
                </m:e>
                <m:sub>
                  <m:sSup>
                    <m:e>
                      <m:r>
                        <m:t>t</m:t>
                      </m:r>
                    </m:e>
                    <m:sup>
                      <m:r>
                        <m:rPr>
                          <m:sty m:val="p"/>
                        </m:rPr>
                        <m:t>*</m:t>
                      </m:r>
                    </m:sup>
                  </m:sSup>
                  <m:r>
                    <m:rPr>
                      <m:sty m:val="p"/>
                    </m:rPr>
                    <m:t>−</m:t>
                  </m:r>
                  <m:r>
                    <m:t>Δ</m:t>
                  </m:r>
                  <m:r>
                    <m:t>t</m:t>
                  </m:r>
                </m:sub>
              </m:sSub>
            </m:e>
          </m:d>
          <m:r>
            <m:t> </m:t>
          </m:r>
          <m:r>
            <m:rPr>
              <m:sty m:val="p"/>
            </m:rPr>
            <m:t>&gt;</m:t>
          </m:r>
          <m:r>
            <m:t> </m:t>
          </m:r>
          <m:sSub>
            <m:e>
              <m:r>
                <m:t>θ</m:t>
              </m:r>
            </m:e>
            <m:sub>
              <m:r>
                <m:rPr>
                  <m:sty m:val="p"/>
                </m:rPr>
                <m:t>b</m:t>
              </m:r>
              <m:r>
                <m:rPr>
                  <m:sty m:val="p"/>
                </m:rPr>
                <m:t>e</m:t>
              </m:r>
              <m:r>
                <m:rPr>
                  <m:sty m:val="p"/>
                </m:rPr>
                <m:t>h</m:t>
              </m:r>
            </m:sub>
          </m:sSub>
          <m:r>
            <m:rPr>
              <m:sty m:val="p"/>
            </m:rPr>
            <m:t>,</m:t>
          </m:r>
        </m:oMath>
      </m:oMathPara>
    </w:p>
    <w:p>
      <w:pPr>
        <w:pStyle w:val="FirstParagraph"/>
      </w:pPr>
      <w:r>
        <w:rPr>
          <w:iCs/>
          <w:i/>
        </w:rPr>
        <w:t xml:space="preserve">and this divergence is not attributable to external forcing (i.e., the system is autonomous during</w:t>
      </w:r>
      <w:r>
        <w:rPr>
          <w:iCs/>
          <w:i/>
        </w:rPr>
        <w:t xml:space="preserve"> </w:t>
      </w:r>
      <m:oMath>
        <m:d>
          <m:dPr>
            <m:begChr m:val="["/>
            <m:endChr m:val="]"/>
            <m:sepChr m:val=""/>
            <m:grow/>
          </m:dPr>
          <m:e>
            <m:sSup>
              <m:e>
                <m:r>
                  <m:t>t</m:t>
                </m:r>
              </m:e>
              <m:sup>
                <m:r>
                  <m:rPr>
                    <m:sty m:val="p"/>
                  </m:rPr>
                  <m:t>*</m:t>
                </m:r>
              </m:sup>
            </m:sSup>
            <m:r>
              <m:rPr>
                <m:sty m:val="p"/>
              </m:rPr>
              <m:t>−</m:t>
            </m:r>
            <m:r>
              <m:t>Δ</m:t>
            </m:r>
            <m:r>
              <m:t>t</m:t>
            </m:r>
            <m:r>
              <m:rPr>
                <m:sty m:val="p"/>
              </m:rPr>
              <m:t>,</m:t>
            </m:r>
            <m:sSup>
              <m:e>
                <m:r>
                  <m:t>t</m:t>
                </m:r>
              </m:e>
              <m:sup>
                <m:r>
                  <m:rPr>
                    <m:sty m:val="p"/>
                  </m:rPr>
                  <m:t>*</m:t>
                </m:r>
              </m:sup>
            </m:sSup>
          </m:e>
        </m:d>
      </m:oMath>
      <w:r>
        <w:rPr>
          <w:iCs/>
          <w:i/>
        </w:rPr>
        <w:t xml:space="preserve">).</w:t>
      </w:r>
    </w:p>
    <w:p>
      <w:pPr>
        <w:pStyle w:val="BodyText"/>
      </w:pPr>
      <w:r>
        <w:t xml:space="preserve">This definition makes no reference to cycles, Betti numbers, or simplicial complexes. It is purely behavioral. The role of topology is not to</w:t>
      </w:r>
      <w:r>
        <w:t xml:space="preserve"> </w:t>
      </w:r>
      <w:r>
        <w:rPr>
          <w:iCs/>
          <w:i/>
        </w:rPr>
        <w:t xml:space="preserve">constitute</w:t>
      </w:r>
      <w:r>
        <w:t xml:space="preserve"> </w:t>
      </w:r>
      <w:r>
        <w:t xml:space="preserve">emergence but to</w:t>
      </w:r>
      <w:r>
        <w:t xml:space="preserve"> </w:t>
      </w:r>
      <w:r>
        <w:rPr>
          <w:iCs/>
          <w:i/>
        </w:rPr>
        <w:t xml:space="preserve">predict</w:t>
      </w:r>
      <w:r>
        <w:t xml:space="preserve"> </w:t>
      </w:r>
      <w:r>
        <w:t xml:space="preserve">it.</w:t>
      </w:r>
    </w:p>
    <w:bookmarkEnd w:id="85"/>
    <w:bookmarkStart w:id="86" w:name="X3efd6247a779492dc4a63d751363de5202fc0b2"/>
    <w:p>
      <w:pPr>
        <w:pStyle w:val="Heading3"/>
      </w:pPr>
      <w:r>
        <w:t xml:space="preserve">C.4.2 The Topological Early Warning Signal</w:t>
      </w:r>
    </w:p>
    <w:p>
      <w:pPr>
        <w:pStyle w:val="FirstParagraph"/>
      </w:pPr>
      <w:r>
        <w:t xml:space="preserve">Let</w:t>
      </w:r>
      <w:r>
        <w:t xml:space="preserve"> </w:t>
      </w:r>
      <m:oMath>
        <m:sSub>
          <m:e>
            <m:r>
              <m:t>G</m:t>
            </m:r>
          </m:e>
          <m:sub>
            <m:r>
              <m:t>t</m:t>
            </m:r>
          </m:sub>
        </m:sSub>
        <m:r>
          <m:rPr>
            <m:sty m:val="p"/>
          </m:rPr>
          <m:t>=</m:t>
        </m:r>
        <m:d>
          <m:dPr>
            <m:begChr m:val="("/>
            <m:endChr m:val=")"/>
            <m:sepChr m:val=""/>
            <m:grow/>
          </m:dPr>
          <m:e>
            <m:sSub>
              <m:e>
                <m:r>
                  <m:t>V</m:t>
                </m:r>
              </m:e>
              <m:sub>
                <m:r>
                  <m:t>t</m:t>
                </m:r>
              </m:sub>
            </m:sSub>
            <m:r>
              <m:rPr>
                <m:sty m:val="p"/>
              </m:rPr>
              <m:t>,</m:t>
            </m:r>
            <m:sSub>
              <m:e>
                <m:r>
                  <m:t>E</m:t>
                </m:r>
              </m:e>
              <m:sub>
                <m:r>
                  <m:t>t</m:t>
                </m:r>
              </m:sub>
            </m:sSub>
          </m:e>
        </m:d>
      </m:oMath>
      <w:r>
        <w:t xml:space="preserve"> </w:t>
      </w:r>
      <w:r>
        <w:t xml:space="preserve">be the PLATO communication graph at time</w:t>
      </w:r>
      <w:r>
        <w:t xml:space="preserve"> </w:t>
      </w:r>
      <m:oMath>
        <m:r>
          <m:t>t</m:t>
        </m:r>
      </m:oMath>
      <w:r>
        <w:t xml:space="preserve">. Let</w:t>
      </w:r>
      <w:r>
        <w:t xml:space="preserve"> </w:t>
      </w:r>
      <m:oMath>
        <m:sSub>
          <m:e>
            <m:r>
              <m:t>ε</m:t>
            </m:r>
          </m:e>
          <m:sub>
            <m:r>
              <m:t>0</m:t>
            </m:r>
          </m:sub>
        </m:sSub>
        <m:r>
          <m:rPr>
            <m:sty m:val="p"/>
          </m:rPr>
          <m:t>&gt;</m:t>
        </m:r>
        <m:r>
          <m:t>0</m:t>
        </m:r>
      </m:oMath>
      <w:r>
        <w:t xml:space="preserve"> </w:t>
      </w:r>
      <w:r>
        <w:t xml:space="preserve">be a fixed proximity scale calibrated to the typical agent interaction range (see Appendix D for calibration procedures). Define</w:t>
      </w:r>
    </w:p>
    <w:p>
      <w:pPr>
        <w:pStyle w:val="BodyText"/>
      </w:pPr>
      <m:oMathPara>
        <m:oMathParaPr>
          <m:jc m:val="center"/>
        </m:oMathParaPr>
        <m:oMath>
          <m:sSub>
            <m:e>
              <m:r>
                <m:t>β</m:t>
              </m:r>
            </m:e>
            <m:sub>
              <m:r>
                <m:t>1</m:t>
              </m:r>
            </m:sub>
          </m:sSub>
          <m:d>
            <m:dPr>
              <m:begChr m:val="("/>
              <m:endChr m:val=")"/>
              <m:sepChr m:val=""/>
              <m:grow/>
            </m:dPr>
            <m:e>
              <m:r>
                <m:t>t</m:t>
              </m:r>
            </m:e>
          </m:d>
          <m:r>
            <m:t> </m:t>
          </m:r>
          <m:r>
            <m:rPr>
              <m:sty m:val="p"/>
            </m:rPr>
            <m:t>=</m:t>
          </m:r>
          <m:r>
            <m:t> </m:t>
          </m:r>
          <m:r>
            <m:rPr>
              <m:sty m:val="p"/>
            </m:rPr>
            <m:t>dim</m:t>
          </m:r>
          <m:sSub>
            <m:e>
              <m:r>
                <m:t>H</m:t>
              </m:r>
            </m:e>
            <m:sub>
              <m:r>
                <m:t>1</m:t>
              </m:r>
            </m:sub>
          </m:sSub>
          <m:r>
            <m:rPr>
              <m:sty m:val="p"/>
            </m:rPr>
            <m:t>(</m:t>
          </m:r>
          <m:r>
            <m:rPr>
              <m:sty m:val="p"/>
            </m:rPr>
            <m:t>VR</m:t>
          </m:r>
          <m:d>
            <m:dPr>
              <m:begChr m:val="("/>
              <m:endChr m:val=")"/>
              <m:sepChr m:val=""/>
              <m:grow/>
            </m:dPr>
            <m:e>
              <m:sSub>
                <m:e>
                  <m:r>
                    <m:t>G</m:t>
                  </m:r>
                </m:e>
                <m:sub>
                  <m:r>
                    <m:t>t</m:t>
                  </m:r>
                </m:sub>
              </m:sSub>
              <m:r>
                <m:rPr>
                  <m:sty m:val="p"/>
                </m:rPr>
                <m:t>,</m:t>
              </m:r>
              <m:sSub>
                <m:e>
                  <m:r>
                    <m:t>ε</m:t>
                  </m:r>
                </m:e>
                <m:sub>
                  <m:r>
                    <m:t>0</m:t>
                  </m:r>
                </m:sub>
              </m:sSub>
            </m:e>
          </m:d>
          <m:r>
            <m:rPr>
              <m:sty m:val="p"/>
            </m:rPr>
            <m:t>;</m:t>
          </m:r>
          <m:sSub>
            <m:e>
              <m:r>
                <m:rPr>
                  <m:sty m:val="p"/>
                  <m:scr m:val="double-struck"/>
                </m:rPr>
                <m:t>F</m:t>
              </m:r>
            </m:e>
            <m:sub>
              <m:r>
                <m:t>2</m:t>
              </m:r>
            </m:sub>
          </m:sSub>
          <m:r>
            <m:rPr>
              <m:sty m:val="p"/>
            </m:rPr>
            <m:t>)</m:t>
          </m:r>
          <m:r>
            <m:rPr>
              <m:sty m:val="p"/>
            </m:rPr>
            <m:t>,</m:t>
          </m:r>
        </m:oMath>
      </m:oMathPara>
    </w:p>
    <w:p>
      <w:pPr>
        <w:pStyle w:val="FirstParagraph"/>
      </w:pPr>
      <w:r>
        <w:t xml:space="preserve">where</w:t>
      </w:r>
      <w:r>
        <w:t xml:space="preserve"> </w:t>
      </w:r>
      <m:oMath>
        <m:sSub>
          <m:e>
            <m:r>
              <m:rPr>
                <m:sty m:val="p"/>
                <m:scr m:val="double-struck"/>
              </m:rPr>
              <m:t>F</m:t>
            </m:r>
          </m:e>
          <m:sub>
            <m:r>
              <m:t>2</m:t>
            </m:r>
          </m:sub>
        </m:sSub>
      </m:oMath>
      <w:r>
        <w:t xml:space="preserve"> </w:t>
      </w:r>
      <w:r>
        <w:t xml:space="preserve">is the field with two elements, chosen for computational efficiency. The trajectory</w:t>
      </w:r>
      <w:r>
        <w:t xml:space="preserve"> </w:t>
      </w:r>
      <m:oMath>
        <m:r>
          <m:t>t</m:t>
        </m:r>
        <m:r>
          <m:rPr>
            <m:sty m:val="p"/>
          </m:rPr>
          <m:t>↦</m:t>
        </m:r>
        <m:sSub>
          <m:e>
            <m:r>
              <m:t>β</m:t>
            </m:r>
          </m:e>
          <m:sub>
            <m:r>
              <m:t>1</m:t>
            </m:r>
          </m:sub>
        </m:sSub>
        <m:d>
          <m:dPr>
            <m:begChr m:val="("/>
            <m:endChr m:val=")"/>
            <m:sepChr m:val=""/>
            <m:grow/>
          </m:dPr>
          <m:e>
            <m:r>
              <m:t>t</m:t>
            </m:r>
          </m:e>
        </m:d>
      </m:oMath>
      <w:r>
        <w:t xml:space="preserve"> </w:t>
      </w:r>
      <w:r>
        <w:t xml:space="preserve">is a piecewise-constant, non-negative integer-valued function with jump discontinuities at the birth and death times of 1-cycles.</w:t>
      </w:r>
    </w:p>
    <w:p>
      <w:pPr>
        <w:pStyle w:val="BodyText"/>
      </w:pPr>
      <w:r>
        <w:t xml:space="preserve">Because</w:t>
      </w:r>
      <w:r>
        <w:t xml:space="preserve"> </w:t>
      </w:r>
      <m:oMath>
        <m:sSub>
          <m:e>
            <m:r>
              <m:t>β</m:t>
            </m:r>
          </m:e>
          <m:sub>
            <m:r>
              <m:t>1</m:t>
            </m:r>
          </m:sub>
        </m:sSub>
        <m:d>
          <m:dPr>
            <m:begChr m:val="("/>
            <m:endChr m:val=")"/>
            <m:sepChr m:val=""/>
            <m:grow/>
          </m:dPr>
          <m:e>
            <m:r>
              <m:t>t</m:t>
            </m:r>
          </m:e>
        </m:d>
      </m:oMath>
      <w:r>
        <w:t xml:space="preserve"> </w:t>
      </w:r>
      <w:r>
        <w:t xml:space="preserve">is discontinuous, we work with its</w:t>
      </w:r>
      <w:r>
        <w:t xml:space="preserve"> </w:t>
      </w:r>
      <w:r>
        <w:rPr>
          <w:iCs/>
          <w:i/>
        </w:rPr>
        <w:t xml:space="preserve">regularized</w:t>
      </w:r>
      <w:r>
        <w:t xml:space="preserve"> </w:t>
      </w:r>
      <w:r>
        <w:t xml:space="preserve">counterpart. Let</w:t>
      </w:r>
      <w:r>
        <w:t xml:space="preserve"> </w:t>
      </w:r>
      <m:oMath>
        <m:sSub>
          <m:e>
            <m:acc>
              <m:accPr>
                <m:chr m:val="̃"/>
              </m:accPr>
              <m:e>
                <m:r>
                  <m:t>β</m:t>
                </m:r>
              </m:e>
            </m:acc>
          </m:e>
          <m:sub>
            <m:r>
              <m:t>1</m:t>
            </m:r>
          </m:sub>
        </m:sSub>
        <m:d>
          <m:dPr>
            <m:begChr m:val="("/>
            <m:endChr m:val=")"/>
            <m:sepChr m:val=""/>
            <m:grow/>
          </m:dPr>
          <m:e>
            <m:r>
              <m:t>t</m:t>
            </m:r>
          </m:e>
        </m:d>
      </m:oMath>
      <w:r>
        <w:t xml:space="preserve"> </w:t>
      </w:r>
      <w:r>
        <w:t xml:space="preserve">be a smoothed version obtained by convolution with a Gaussian kernel of width</w:t>
      </w:r>
      <w:r>
        <w:t xml:space="preserve"> </w:t>
      </w:r>
      <m:oMath>
        <m:r>
          <m:t>τ</m:t>
        </m:r>
      </m:oMath>
      <w:r>
        <w:t xml:space="preserve">:</w:t>
      </w:r>
    </w:p>
    <w:p>
      <w:pPr>
        <w:pStyle w:val="BodyText"/>
      </w:pPr>
      <m:oMathPara>
        <m:oMathParaPr>
          <m:jc m:val="center"/>
        </m:oMathParaPr>
        <m:oMath>
          <m:sSub>
            <m:e>
              <m:acc>
                <m:accPr>
                  <m:chr m:val="̃"/>
                </m:accPr>
                <m:e>
                  <m:r>
                    <m:t>β</m:t>
                  </m:r>
                </m:e>
              </m:acc>
            </m:e>
            <m:sub>
              <m:r>
                <m:t>1</m:t>
              </m:r>
            </m:sub>
          </m:sSub>
          <m:d>
            <m:dPr>
              <m:begChr m:val="("/>
              <m:endChr m:val=")"/>
              <m:sepChr m:val=""/>
              <m:grow/>
            </m:dPr>
            <m:e>
              <m:r>
                <m:t>t</m:t>
              </m:r>
            </m:e>
          </m:d>
          <m:r>
            <m:rPr>
              <m:sty m:val="p"/>
            </m:rPr>
            <m:t>=</m:t>
          </m:r>
          <m:d>
            <m:dPr>
              <m:begChr m:val="("/>
              <m:endChr m:val=")"/>
              <m:sepChr m:val=""/>
              <m:grow/>
            </m:dPr>
            <m:e>
              <m:sSub>
                <m:e>
                  <m:r>
                    <m:t>β</m:t>
                  </m:r>
                </m:e>
                <m:sub>
                  <m:r>
                    <m:t>1</m:t>
                  </m:r>
                </m:sub>
              </m:sSub>
              <m:r>
                <m:rPr>
                  <m:sty m:val="p"/>
                </m:rPr>
                <m:t>*</m:t>
              </m:r>
              <m:sSub>
                <m:e>
                  <m:r>
                    <m:t>K</m:t>
                  </m:r>
                </m:e>
                <m:sub>
                  <m:r>
                    <m:t>τ</m:t>
                  </m:r>
                </m:sub>
              </m:sSub>
            </m:e>
          </m:d>
          <m:d>
            <m:dPr>
              <m:begChr m:val="("/>
              <m:endChr m:val=")"/>
              <m:sepChr m:val=""/>
              <m:grow/>
            </m:dPr>
            <m:e>
              <m:r>
                <m:t>t</m:t>
              </m:r>
            </m:e>
          </m:d>
          <m:r>
            <m:rPr>
              <m:sty m:val="p"/>
            </m:rPr>
            <m:t>=</m:t>
          </m:r>
          <m:nary>
            <m:naryPr>
              <m:chr m:val="∫"/>
              <m:limLoc m:val="subSup"/>
              <m:subHide m:val="0"/>
              <m:supHide m:val="0"/>
            </m:naryPr>
            <m:sub>
              <m:r>
                <m:rPr>
                  <m:sty m:val="p"/>
                </m:rPr>
                <m:t>−</m:t>
              </m:r>
              <m:r>
                <m:rPr>
                  <m:sty m:val="p"/>
                </m:rPr>
                <m:t>∞</m:t>
              </m:r>
            </m:sub>
            <m:sup>
              <m:r>
                <m:rPr>
                  <m:sty m:val="p"/>
                </m:rPr>
                <m:t>∞</m:t>
              </m:r>
            </m:sup>
            <m:e>
              <m:sSub>
                <m:e>
                  <m:r>
                    <m:t>β</m:t>
                  </m:r>
                </m:e>
                <m:sub>
                  <m:r>
                    <m:t>1</m:t>
                  </m:r>
                </m:sub>
              </m:sSub>
            </m:e>
          </m:nary>
          <m:d>
            <m:dPr>
              <m:begChr m:val="("/>
              <m:endChr m:val=")"/>
              <m:sepChr m:val=""/>
              <m:grow/>
            </m:dPr>
            <m:e>
              <m:r>
                <m:t>s</m:t>
              </m:r>
            </m:e>
          </m:d>
          <m:r>
            <m:t> </m:t>
          </m:r>
          <m:f>
            <m:fPr>
              <m:type m:val="bar"/>
            </m:fPr>
            <m:num>
              <m:r>
                <m:t>1</m:t>
              </m:r>
            </m:num>
            <m:den>
              <m:rad>
                <m:radPr>
                  <m:degHide m:val="1"/>
                </m:radPr>
                <m:deg/>
                <m:e>
                  <m:r>
                    <m:t>2</m:t>
                  </m:r>
                  <m:r>
                    <m:t>π</m:t>
                  </m:r>
                </m:e>
              </m:rad>
              <m:r>
                <m:t>τ</m:t>
              </m:r>
            </m:den>
          </m:f>
          <m:sSup>
            <m:e>
              <m:r>
                <m:t>e</m:t>
              </m:r>
            </m:e>
            <m:sup>
              <m:r>
                <m:rPr>
                  <m:sty m:val="p"/>
                </m:rPr>
                <m:t>−</m:t>
              </m:r>
              <m:sSup>
                <m:e>
                  <m:d>
                    <m:dPr>
                      <m:begChr m:val="("/>
                      <m:endChr m:val=")"/>
                      <m:sepChr m:val=""/>
                      <m:grow/>
                    </m:dPr>
                    <m:e>
                      <m:r>
                        <m:t>t</m:t>
                      </m:r>
                      <m:r>
                        <m:rPr>
                          <m:sty m:val="p"/>
                        </m:rPr>
                        <m:t>−</m:t>
                      </m:r>
                      <m:r>
                        <m:t>s</m:t>
                      </m:r>
                    </m:e>
                  </m:d>
                </m:e>
                <m:sup>
                  <m:r>
                    <m:t>2</m:t>
                  </m:r>
                </m:sup>
              </m:sSup>
              <m:r>
                <m:rPr>
                  <m:sty m:val="p"/>
                </m:rPr>
                <m:t>/</m:t>
              </m:r>
              <m:d>
                <m:dPr>
                  <m:begChr m:val="("/>
                  <m:endChr m:val=")"/>
                  <m:sepChr m:val=""/>
                  <m:grow/>
                </m:dPr>
                <m:e>
                  <m:r>
                    <m:t>2</m:t>
                  </m:r>
                  <m:sSup>
                    <m:e>
                      <m:r>
                        <m:t>τ</m:t>
                      </m:r>
                    </m:e>
                    <m:sup>
                      <m:r>
                        <m:t>2</m:t>
                      </m:r>
                    </m:sup>
                  </m:sSup>
                </m:e>
              </m:d>
            </m:sup>
          </m:sSup>
          <m:r>
            <m:t> </m:t>
          </m:r>
          <m:r>
            <m:rPr>
              <m:sty m:val="p"/>
            </m:rPr>
            <m:t>d</m:t>
          </m:r>
          <m:r>
            <m:t>s</m:t>
          </m:r>
          <m:r>
            <m:rPr>
              <m:sty m:val="p"/>
            </m:rPr>
            <m:t>.</m:t>
          </m:r>
        </m:oMath>
      </m:oMathPara>
    </w:p>
    <w:p>
      <w:pPr>
        <w:pStyle w:val="FirstParagraph"/>
      </w:pPr>
      <w:r>
        <w:t xml:space="preserve">With</w:t>
      </w:r>
      <w:r>
        <w:t xml:space="preserve"> </w:t>
      </w:r>
      <m:oMath>
        <m:sSub>
          <m:e>
            <m:acc>
              <m:accPr>
                <m:chr m:val="̃"/>
              </m:accPr>
              <m:e>
                <m:r>
                  <m:t>β</m:t>
                </m:r>
              </m:e>
            </m:acc>
          </m:e>
          <m:sub>
            <m:r>
              <m:t>1</m:t>
            </m:r>
          </m:sub>
        </m:sSub>
        <m:r>
          <m:rPr>
            <m:sty m:val="p"/>
          </m:rPr>
          <m:t>∈</m:t>
        </m:r>
        <m:sSup>
          <m:e>
            <m:r>
              <m:t>C</m:t>
            </m:r>
          </m:e>
          <m:sup>
            <m:r>
              <m:rPr>
                <m:sty m:val="p"/>
              </m:rPr>
              <m:t>∞</m:t>
            </m:r>
          </m:sup>
        </m:sSup>
        <m:d>
          <m:dPr>
            <m:begChr m:val="("/>
            <m:endChr m:val=")"/>
            <m:sepChr m:val=""/>
            <m:grow/>
          </m:dPr>
          <m:e>
            <m:r>
              <m:rPr>
                <m:sty m:val="p"/>
                <m:scr m:val="double-struck"/>
              </m:rPr>
              <m:t>R</m:t>
            </m:r>
          </m:e>
        </m:d>
      </m:oMath>
      <w:r>
        <w:t xml:space="preserve">, derivatives are well-defined. The topological early warning signal is the first derivative</w:t>
      </w:r>
      <w:r>
        <w:t xml:space="preserve"> </w:t>
      </w:r>
      <m:oMath>
        <m:sSub>
          <m:e>
            <m:acc>
              <m:accPr>
                <m:chr m:val="̃"/>
              </m:accPr>
              <m:e>
                <m:r>
                  <m:t>β</m:t>
                </m:r>
              </m:e>
            </m:acc>
          </m:e>
          <m:sub>
            <m:r>
              <m:t>1</m:t>
            </m:r>
          </m:sub>
        </m:sSub>
        <m:r>
          <m:rPr>
            <m:sty m:val="p"/>
          </m:rPr>
          <m:t>′</m:t>
        </m:r>
        <m:d>
          <m:dPr>
            <m:begChr m:val="("/>
            <m:endChr m:val=")"/>
            <m:sepChr m:val=""/>
            <m:grow/>
          </m:dPr>
          <m:e>
            <m:r>
              <m:t>t</m:t>
            </m:r>
          </m:e>
        </m:d>
      </m:oMath>
      <w:r>
        <w:t xml:space="preserve">, supplemented by curvature information</w:t>
      </w:r>
      <w:r>
        <w:t xml:space="preserve"> </w:t>
      </w:r>
      <m:oMath>
        <m:sSub>
          <m:e>
            <m:acc>
              <m:accPr>
                <m:chr m:val="̃"/>
              </m:accPr>
              <m:e>
                <m:r>
                  <m:t>β</m:t>
                </m:r>
              </m:e>
            </m:acc>
          </m:e>
          <m:sub>
            <m:r>
              <m:t>1</m:t>
            </m:r>
          </m:sub>
        </m:sSub>
        <m:r>
          <m:rPr>
            <m:sty m:val="p"/>
          </m:rPr>
          <m:t>″</m:t>
        </m:r>
        <m:d>
          <m:dPr>
            <m:begChr m:val="("/>
            <m:endChr m:val=")"/>
            <m:sepChr m:val=""/>
            <m:grow/>
          </m:dPr>
          <m:e>
            <m:r>
              <m:t>t</m:t>
            </m:r>
          </m:e>
        </m:d>
      </m:oMath>
      <w:r>
        <w:t xml:space="preserve">.</w:t>
      </w:r>
    </w:p>
    <w:bookmarkEnd w:id="86"/>
    <w:bookmarkStart w:id="87" w:name="c.4.3-the-emergence-signal-predicate"/>
    <w:p>
      <w:pPr>
        <w:pStyle w:val="Heading3"/>
      </w:pPr>
      <w:r>
        <w:t xml:space="preserve">C.4.3 The Emergence Signal Predicate</w:t>
      </w:r>
    </w:p>
    <w:p>
      <w:pPr>
        <w:pStyle w:val="FirstParagraph"/>
      </w:pPr>
      <w:r>
        <w:rPr>
          <w:bCs/>
          <w:b/>
        </w:rPr>
        <w:t xml:space="preserve">Definition (Emergence Signal, Non-Tautological).</w:t>
      </w:r>
      <w:r>
        <w:t xml:space="preserve"> </w:t>
      </w:r>
      <w:r>
        <w:rPr>
          <w:iCs/>
          <w:i/>
        </w:rPr>
        <w:t xml:space="preserve">Let</w:t>
      </w:r>
      <w:r>
        <w:rPr>
          <w:iCs/>
          <w:i/>
        </w:rPr>
        <w:t xml:space="preserve"> </w:t>
      </w:r>
      <m:oMath>
        <m:sSup>
          <m:e>
            <m:r>
              <m:t>t</m:t>
            </m:r>
          </m:e>
          <m:sup>
            <m:r>
              <m:rPr>
                <m:sty m:val="p"/>
              </m:rPr>
              <m:t>*</m:t>
            </m:r>
          </m:sup>
        </m:sSup>
      </m:oMath>
      <w:r>
        <w:rPr>
          <w:iCs/>
          <w:i/>
        </w:rPr>
        <w:t xml:space="preserve"> </w:t>
      </w:r>
      <w:r>
        <w:rPr>
          <w:iCs/>
          <w:i/>
        </w:rPr>
        <w:t xml:space="preserve">be a candidate emergence time. The topological emergence signal</w:t>
      </w:r>
      <w:r>
        <w:rPr>
          <w:iCs/>
          <w:i/>
        </w:rPr>
        <w:t xml:space="preserve"> </w:t>
      </w:r>
      <m:oMath>
        <m:sSub>
          <m:e>
            <m:r>
              <m:t>Σ</m:t>
            </m:r>
          </m:e>
          <m:sub>
            <m:r>
              <m:rPr>
                <m:sty m:val="p"/>
              </m:rPr>
              <m:t>t</m:t>
            </m:r>
            <m:r>
              <m:rPr>
                <m:sty m:val="p"/>
              </m:rPr>
              <m:t>o</m:t>
            </m:r>
            <m:r>
              <m:rPr>
                <m:sty m:val="p"/>
              </m:rPr>
              <m:t>p</m:t>
            </m:r>
          </m:sub>
        </m:sSub>
        <m:d>
          <m:dPr>
            <m:begChr m:val="("/>
            <m:endChr m:val=")"/>
            <m:sepChr m:val=""/>
            <m:grow/>
          </m:dPr>
          <m:e>
            <m:sSup>
              <m:e>
                <m:r>
                  <m:t>t</m:t>
                </m:r>
              </m:e>
              <m:sup>
                <m:r>
                  <m:rPr>
                    <m:sty m:val="p"/>
                  </m:rPr>
                  <m:t>*</m:t>
                </m:r>
              </m:sup>
            </m:sSup>
          </m:e>
        </m:d>
      </m:oMath>
      <w:r>
        <w:rPr>
          <w:iCs/>
          <w:i/>
        </w:rPr>
        <w:t xml:space="preserve"> </w:t>
      </w:r>
      <w:r>
        <w:rPr>
          <w:iCs/>
          <w:i/>
        </w:rPr>
        <w:t xml:space="preserve">is the conjunction of three conditions:</w:t>
      </w:r>
    </w:p>
    <w:tbl>
      <w:tblPr>
        <w:tblStyle w:val="Table"/>
        <w:tblW w:type="pct" w:w="5000"/>
        <w:tblLook w:firstRow="1" w:lastRow="0" w:firstColumn="0" w:lastColumn="0" w:noHBand="0" w:noVBand="0" w:val="0020"/>
      </w:tblPr>
      <w:tblGrid>
        <w:gridCol w:w="1777"/>
        <w:gridCol w:w="3555"/>
        <w:gridCol w:w="2586"/>
      </w:tblGrid>
      <w:tr>
        <w:trPr>
          <w:tblHeader w:val="true"/>
        </w:trPr>
        <w:tc>
          <w:tcPr/>
          <w:p>
            <w:pPr>
              <w:pStyle w:val="Compact"/>
              <w:jc w:val="left"/>
            </w:pPr>
            <w:r>
              <w:t xml:space="preserve">Condition</w:t>
            </w:r>
          </w:p>
        </w:tc>
        <w:tc>
          <w:tcPr/>
          <w:p>
            <w:pPr>
              <w:pStyle w:val="Compact"/>
              <w:jc w:val="left"/>
            </w:pPr>
            <w:r>
              <w:t xml:space="preserve">Mathematical Statement</w:t>
            </w:r>
          </w:p>
        </w:tc>
        <w:tc>
          <w:tcPr/>
          <w:p>
            <w:pPr>
              <w:pStyle w:val="Compact"/>
              <w:jc w:val="left"/>
            </w:pPr>
            <w:r>
              <w:t xml:space="preserve">Interpretation</w:t>
            </w:r>
          </w:p>
        </w:tc>
      </w:tr>
      <w:tr>
        <w:tc>
          <w:tcPr/>
          <w:p>
            <w:pPr>
              <w:pStyle w:val="Compact"/>
              <w:jc w:val="left"/>
            </w:pPr>
            <w:r>
              <w:t xml:space="preserve">(i) Increasing cycle formation</w:t>
            </w:r>
          </w:p>
        </w:tc>
        <w:tc>
          <w:tcPr/>
          <w:p>
            <w:pPr>
              <w:pStyle w:val="Compact"/>
              <w:jc w:val="left"/>
            </w:pPr>
            <m:oMath>
              <m:sSub>
                <m:e>
                  <m:acc>
                    <m:accPr>
                      <m:chr m:val="̃"/>
                    </m:accPr>
                    <m:e>
                      <m:r>
                        <m:t>β</m:t>
                      </m:r>
                    </m:e>
                  </m:acc>
                </m:e>
                <m:sub>
                  <m:r>
                    <m:t>1</m:t>
                  </m:r>
                </m:sub>
              </m:sSub>
              <m:r>
                <m:rPr>
                  <m:sty m:val="p"/>
                </m:rPr>
                <m:t>′</m:t>
              </m:r>
              <m:d>
                <m:dPr>
                  <m:begChr m:val="("/>
                  <m:endChr m:val=")"/>
                  <m:sepChr m:val=""/>
                  <m:grow/>
                </m:dPr>
                <m:e>
                  <m:sSup>
                    <m:e>
                      <m:r>
                        <m:t>t</m:t>
                      </m:r>
                    </m:e>
                    <m:sup>
                      <m:r>
                        <m:rPr>
                          <m:sty m:val="p"/>
                        </m:rPr>
                        <m:t>*</m:t>
                      </m:r>
                    </m:sup>
                  </m:sSup>
                </m:e>
              </m:d>
              <m:r>
                <m:rPr>
                  <m:sty m:val="p"/>
                </m:rPr>
                <m:t>&gt;</m:t>
              </m:r>
              <m:r>
                <m:t>0</m:t>
              </m:r>
            </m:oMath>
          </w:p>
        </w:tc>
        <w:tc>
          <w:tcPr/>
          <w:p>
            <w:pPr>
              <w:pStyle w:val="Compact"/>
              <w:jc w:val="left"/>
            </w:pPr>
            <w:r>
              <w:t xml:space="preserve">New 1-cycles are being born faster than existing ones die</w:t>
            </w:r>
          </w:p>
        </w:tc>
      </w:tr>
      <w:tr>
        <w:tc>
          <w:tcPr/>
          <w:p>
            <w:pPr>
              <w:pStyle w:val="Compact"/>
              <w:jc w:val="left"/>
            </w:pPr>
            <w:r>
              <w:t xml:space="preserve">(ii) Deceleration (saturation)</w:t>
            </w:r>
          </w:p>
        </w:tc>
        <w:tc>
          <w:tcPr/>
          <w:p>
            <w:pPr>
              <w:pStyle w:val="Compact"/>
              <w:jc w:val="left"/>
            </w:pPr>
            <m:oMath>
              <m:sSub>
                <m:e>
                  <m:acc>
                    <m:accPr>
                      <m:chr m:val="̃"/>
                    </m:accPr>
                    <m:e>
                      <m:r>
                        <m:t>β</m:t>
                      </m:r>
                    </m:e>
                  </m:acc>
                </m:e>
                <m:sub>
                  <m:r>
                    <m:t>1</m:t>
                  </m:r>
                </m:sub>
              </m:sSub>
              <m:r>
                <m:rPr>
                  <m:sty m:val="p"/>
                </m:rPr>
                <m:t>″</m:t>
              </m:r>
              <m:d>
                <m:dPr>
                  <m:begChr m:val="("/>
                  <m:endChr m:val=")"/>
                  <m:sepChr m:val=""/>
                  <m:grow/>
                </m:dPr>
                <m:e>
                  <m:sSup>
                    <m:e>
                      <m:r>
                        <m:t>t</m:t>
                      </m:r>
                    </m:e>
                    <m:sup>
                      <m:r>
                        <m:rPr>
                          <m:sty m:val="p"/>
                        </m:rPr>
                        <m:t>*</m:t>
                      </m:r>
                    </m:sup>
                  </m:sSup>
                </m:e>
              </m:d>
              <m:r>
                <m:rPr>
                  <m:sty m:val="p"/>
                </m:rPr>
                <m:t>&lt;</m:t>
              </m:r>
              <m:r>
                <m:t>0</m:t>
              </m:r>
            </m:oMath>
          </w:p>
        </w:tc>
        <w:tc>
          <w:tcPr/>
          <w:p>
            <w:pPr>
              <w:pStyle w:val="Compact"/>
              <w:jc w:val="left"/>
            </w:pPr>
            <w:r>
              <w:t xml:space="preserve">The rate of cycle formation is slowing; the system is approaching a new structural equilibrium</w:t>
            </w:r>
          </w:p>
        </w:tc>
      </w:tr>
      <w:tr>
        <w:tc>
          <w:tcPr/>
          <w:p>
            <w:pPr>
              <w:pStyle w:val="Compact"/>
              <w:jc w:val="left"/>
            </w:pPr>
            <w:r>
              <w:t xml:space="preserve">(iii) Confirmed increase</w:t>
            </w:r>
          </w:p>
        </w:tc>
        <w:tc>
          <w:tcPr/>
          <w:p>
            <w:pPr>
              <w:pStyle w:val="Compact"/>
              <w:jc w:val="left"/>
            </w:pPr>
            <m:oMath>
              <m:sSub>
                <m:e>
                  <m:r>
                    <m:t>β</m:t>
                  </m:r>
                </m:e>
                <m:sub>
                  <m:r>
                    <m:t>1</m:t>
                  </m:r>
                </m:sub>
              </m:sSub>
              <m:d>
                <m:dPr>
                  <m:begChr m:val="("/>
                  <m:endChr m:val=")"/>
                  <m:sepChr m:val=""/>
                  <m:grow/>
                </m:dPr>
                <m:e>
                  <m:sSup>
                    <m:e>
                      <m:r>
                        <m:t>t</m:t>
                      </m:r>
                    </m:e>
                    <m:sup>
                      <m:r>
                        <m:rPr>
                          <m:sty m:val="p"/>
                        </m:rPr>
                        <m:t>*</m:t>
                      </m:r>
                    </m:sup>
                  </m:sSup>
                </m:e>
              </m:d>
              <m:r>
                <m:rPr>
                  <m:sty m:val="p"/>
                </m:rPr>
                <m:t>&gt;</m:t>
              </m:r>
              <m:sSub>
                <m:e>
                  <m:r>
                    <m:t>β</m:t>
                  </m:r>
                </m:e>
                <m:sub>
                  <m:r>
                    <m:t>1</m:t>
                  </m:r>
                </m:sub>
              </m:sSub>
              <m:d>
                <m:dPr>
                  <m:begChr m:val="("/>
                  <m:endChr m:val=")"/>
                  <m:sepChr m:val=""/>
                  <m:grow/>
                </m:dPr>
                <m:e>
                  <m:sSup>
                    <m:e>
                      <m:r>
                        <m:t>t</m:t>
                      </m:r>
                    </m:e>
                    <m:sup>
                      <m:r>
                        <m:rPr>
                          <m:sty m:val="p"/>
                        </m:rPr>
                        <m:t>*</m:t>
                      </m:r>
                    </m:sup>
                  </m:sSup>
                  <m:r>
                    <m:rPr>
                      <m:sty m:val="p"/>
                    </m:rPr>
                    <m:t>−</m:t>
                  </m:r>
                  <m:r>
                    <m:t>Δ</m:t>
                  </m:r>
                  <m:r>
                    <m:t>t</m:t>
                  </m:r>
                </m:e>
              </m:d>
            </m:oMath>
            <w:r>
              <w:t xml:space="preserve"> </w:t>
            </w:r>
            <w:r>
              <w:t xml:space="preserve">for</w:t>
            </w:r>
            <w:r>
              <w:t xml:space="preserve"> </w:t>
            </w:r>
            <m:oMath>
              <m:r>
                <m:t>Δ</m:t>
              </m:r>
              <m:r>
                <m:t>t</m:t>
              </m:r>
              <m:r>
                <m:rPr>
                  <m:sty m:val="p"/>
                </m:rPr>
                <m:t>=</m:t>
              </m:r>
              <m:r>
                <m:t>2.7</m:t>
              </m:r>
              <m:r>
                <m:t> </m:t>
              </m:r>
              <m:r>
                <m:rPr>
                  <m:sty m:val="p"/>
                </m:rPr>
                <m:t>s</m:t>
              </m:r>
            </m:oMath>
          </w:p>
        </w:tc>
        <w:tc>
          <w:tcPr/>
          <w:p>
            <w:pPr>
              <w:pStyle w:val="Compact"/>
              <w:jc w:val="left"/>
            </w:pPr>
            <w:r>
              <w:t xml:space="preserve">The raw (unsmoothed) Betti number has increased over the observation window</w:t>
            </w:r>
          </w:p>
        </w:tc>
      </w:tr>
    </w:tbl>
    <w:p>
      <w:pPr>
        <w:pStyle w:val="BodyText"/>
      </w:pPr>
      <w:r>
        <w:rPr>
          <w:iCs/>
          <w:i/>
        </w:rPr>
        <w:t xml:space="preserve">The topological prediction of emergence is:</w:t>
      </w:r>
    </w:p>
    <w:p>
      <w:pPr>
        <w:pStyle w:val="BodyText"/>
      </w:pPr>
      <m:oMathPara>
        <m:oMathParaPr>
          <m:jc m:val="center"/>
        </m:oMathParaPr>
        <m:oMath>
          <m:sSub>
            <m:e>
              <m:r>
                <m:t>Σ</m:t>
              </m:r>
            </m:e>
            <m:sub>
              <m:r>
                <m:rPr>
                  <m:sty m:val="p"/>
                </m:rPr>
                <m:t>t</m:t>
              </m:r>
              <m:r>
                <m:rPr>
                  <m:sty m:val="p"/>
                </m:rPr>
                <m:t>o</m:t>
              </m:r>
              <m:r>
                <m:rPr>
                  <m:sty m:val="p"/>
                </m:rPr>
                <m:t>p</m:t>
              </m:r>
            </m:sub>
          </m:sSub>
          <m:d>
            <m:dPr>
              <m:begChr m:val="("/>
              <m:endChr m:val=")"/>
              <m:sepChr m:val=""/>
              <m:grow/>
            </m:dPr>
            <m:e>
              <m:sSup>
                <m:e>
                  <m:r>
                    <m:t>t</m:t>
                  </m:r>
                </m:e>
                <m:sup>
                  <m:r>
                    <m:rPr>
                      <m:sty m:val="p"/>
                    </m:rPr>
                    <m:t>*</m:t>
                  </m:r>
                </m:sup>
              </m:sSup>
            </m:e>
          </m:d>
          <m:r>
            <m:t> </m:t>
          </m:r>
          <m:r>
            <m:rPr>
              <m:sty m:val="p"/>
            </m:rPr>
            <m:t>=</m:t>
          </m:r>
          <m:r>
            <m:t> </m:t>
          </m:r>
          <m:r>
            <m:rPr>
              <m:sty m:val="p"/>
            </m:rPr>
            <m:t>[</m:t>
          </m:r>
          <m:sSub>
            <m:e>
              <m:acc>
                <m:accPr>
                  <m:chr m:val="̃"/>
                </m:accPr>
                <m:e>
                  <m:r>
                    <m:t>β</m:t>
                  </m:r>
                </m:e>
              </m:acc>
            </m:e>
            <m:sub>
              <m:r>
                <m:t>1</m:t>
              </m:r>
            </m:sub>
          </m:sSub>
          <m:r>
            <m:rPr>
              <m:sty m:val="p"/>
            </m:rPr>
            <m:t>′</m:t>
          </m:r>
          <m:d>
            <m:dPr>
              <m:begChr m:val="("/>
              <m:endChr m:val=")"/>
              <m:sepChr m:val=""/>
              <m:grow/>
            </m:dPr>
            <m:e>
              <m:sSup>
                <m:e>
                  <m:r>
                    <m:t>t</m:t>
                  </m:r>
                </m:e>
                <m:sup>
                  <m:r>
                    <m:rPr>
                      <m:sty m:val="p"/>
                    </m:rPr>
                    <m:t>*</m:t>
                  </m:r>
                </m:sup>
              </m:sSup>
            </m:e>
          </m:d>
          <m:r>
            <m:rPr>
              <m:sty m:val="p"/>
            </m:rPr>
            <m:t>&gt;</m:t>
          </m:r>
          <m:r>
            <m:t>0</m:t>
          </m:r>
          <m:r>
            <m:rPr>
              <m:sty m:val="p"/>
            </m:rPr>
            <m:t>]</m:t>
          </m:r>
          <m:r>
            <m:t> </m:t>
          </m:r>
          <m:r>
            <m:rPr>
              <m:sty m:val="p"/>
            </m:rPr>
            <m:t>∧</m:t>
          </m:r>
          <m:r>
            <m:t> </m:t>
          </m:r>
          <m:r>
            <m:rPr>
              <m:sty m:val="p"/>
            </m:rPr>
            <m:t>[</m:t>
          </m:r>
          <m:sSub>
            <m:e>
              <m:acc>
                <m:accPr>
                  <m:chr m:val="̃"/>
                </m:accPr>
                <m:e>
                  <m:r>
                    <m:t>β</m:t>
                  </m:r>
                </m:e>
              </m:acc>
            </m:e>
            <m:sub>
              <m:r>
                <m:t>1</m:t>
              </m:r>
            </m:sub>
          </m:sSub>
          <m:r>
            <m:rPr>
              <m:sty m:val="p"/>
            </m:rPr>
            <m:t>″</m:t>
          </m:r>
          <m:d>
            <m:dPr>
              <m:begChr m:val="("/>
              <m:endChr m:val=")"/>
              <m:sepChr m:val=""/>
              <m:grow/>
            </m:dPr>
            <m:e>
              <m:sSup>
                <m:e>
                  <m:r>
                    <m:t>t</m:t>
                  </m:r>
                </m:e>
                <m:sup>
                  <m:r>
                    <m:rPr>
                      <m:sty m:val="p"/>
                    </m:rPr>
                    <m:t>*</m:t>
                  </m:r>
                </m:sup>
              </m:sSup>
            </m:e>
          </m:d>
          <m:r>
            <m:rPr>
              <m:sty m:val="p"/>
            </m:rPr>
            <m:t>&lt;</m:t>
          </m:r>
          <m:r>
            <m:t>0</m:t>
          </m:r>
          <m:r>
            <m:rPr>
              <m:sty m:val="p"/>
            </m:rPr>
            <m:t>]</m:t>
          </m:r>
          <m:r>
            <m:t> </m:t>
          </m:r>
          <m:r>
            <m:rPr>
              <m:sty m:val="p"/>
            </m:rPr>
            <m:t>∧</m:t>
          </m:r>
          <m:r>
            <m:t> </m:t>
          </m:r>
          <m:r>
            <m:rPr>
              <m:sty m:val="p"/>
            </m:rPr>
            <m:t>[</m:t>
          </m:r>
          <m:sSub>
            <m:e>
              <m:r>
                <m:t>β</m:t>
              </m:r>
            </m:e>
            <m:sub>
              <m:r>
                <m:t>1</m:t>
              </m:r>
            </m:sub>
          </m:sSub>
          <m:d>
            <m:dPr>
              <m:begChr m:val="("/>
              <m:endChr m:val=")"/>
              <m:sepChr m:val=""/>
              <m:grow/>
            </m:dPr>
            <m:e>
              <m:sSup>
                <m:e>
                  <m:r>
                    <m:t>t</m:t>
                  </m:r>
                </m:e>
                <m:sup>
                  <m:r>
                    <m:rPr>
                      <m:sty m:val="p"/>
                    </m:rPr>
                    <m:t>*</m:t>
                  </m:r>
                </m:sup>
              </m:sSup>
            </m:e>
          </m:d>
          <m:r>
            <m:rPr>
              <m:sty m:val="p"/>
            </m:rPr>
            <m:t>&gt;</m:t>
          </m:r>
          <m:sSub>
            <m:e>
              <m:r>
                <m:t>β</m:t>
              </m:r>
            </m:e>
            <m:sub>
              <m:r>
                <m:t>1</m:t>
              </m:r>
            </m:sub>
          </m:sSub>
          <m:d>
            <m:dPr>
              <m:begChr m:val="("/>
              <m:endChr m:val=")"/>
              <m:sepChr m:val=""/>
              <m:grow/>
            </m:dPr>
            <m:e>
              <m:sSup>
                <m:e>
                  <m:r>
                    <m:t>t</m:t>
                  </m:r>
                </m:e>
                <m:sup>
                  <m:r>
                    <m:rPr>
                      <m:sty m:val="p"/>
                    </m:rPr>
                    <m:t>*</m:t>
                  </m:r>
                </m:sup>
              </m:sSup>
              <m:r>
                <m:rPr>
                  <m:sty m:val="p"/>
                </m:rPr>
                <m:t>−</m:t>
              </m:r>
              <m:r>
                <m:t>Δ</m:t>
              </m:r>
              <m:r>
                <m:t>t</m:t>
              </m:r>
            </m:e>
          </m:d>
          <m:r>
            <m:rPr>
              <m:sty m:val="p"/>
            </m:rPr>
            <m:t>]</m:t>
          </m:r>
          <m:r>
            <m:rPr>
              <m:sty m:val="p"/>
            </m:rPr>
            <m:t>.</m:t>
          </m:r>
        </m:oMath>
      </m:oMathPara>
    </w:p>
    <w:bookmarkEnd w:id="87"/>
    <w:bookmarkStart w:id="88" w:name="c.4.4-non-circularity"/>
    <w:p>
      <w:pPr>
        <w:pStyle w:val="Heading3"/>
      </w:pPr>
      <w:r>
        <w:t xml:space="preserve">C.4.4 Non-Circularity</w:t>
      </w:r>
    </w:p>
    <w:p>
      <w:pPr>
        <w:pStyle w:val="FirstParagraph"/>
      </w:pPr>
      <w:r>
        <w:t xml:space="preserve">The non-circularity of this definition is immediate. The predicate</w:t>
      </w:r>
      <w:r>
        <w:t xml:space="preserve"> </w:t>
      </w:r>
      <m:oMath>
        <m:sSub>
          <m:e>
            <m:r>
              <m:t>Σ</m:t>
            </m:r>
          </m:e>
          <m:sub>
            <m:r>
              <m:rPr>
                <m:sty m:val="p"/>
              </m:rPr>
              <m:t>t</m:t>
            </m:r>
            <m:r>
              <m:rPr>
                <m:sty m:val="p"/>
              </m:rPr>
              <m:t>o</m:t>
            </m:r>
            <m:r>
              <m:rPr>
                <m:sty m:val="p"/>
              </m:rPr>
              <m:t>p</m:t>
            </m:r>
          </m:sub>
        </m:sSub>
        <m:d>
          <m:dPr>
            <m:begChr m:val="("/>
            <m:endChr m:val=")"/>
            <m:sepChr m:val=""/>
            <m:grow/>
          </m:dPr>
          <m:e>
            <m:sSup>
              <m:e>
                <m:r>
                  <m:t>t</m:t>
                </m:r>
              </m:e>
              <m:sup>
                <m:r>
                  <m:rPr>
                    <m:sty m:val="p"/>
                  </m:rPr>
                  <m:t>*</m:t>
                </m:r>
              </m:sup>
            </m:sSup>
          </m:e>
        </m:d>
      </m:oMath>
      <w:r>
        <w:t xml:space="preserve"> </w:t>
      </w:r>
      <w:r>
        <w:t xml:space="preserve">refers to</w:t>
      </w:r>
      <w:r>
        <w:t xml:space="preserve"> </w:t>
      </w:r>
      <w:r>
        <w:rPr>
          <w:iCs/>
          <w:i/>
        </w:rPr>
        <w:t xml:space="preserve">rates of change</w:t>
      </w:r>
      <w:r>
        <w:t xml:space="preserve"> </w:t>
      </w:r>
      <w:r>
        <w:t xml:space="preserve">of a topological invariant, not the invariant itself. It is entirely consistent with the following empirical scenarios:</w:t>
      </w:r>
    </w:p>
    <w:p>
      <w:pPr>
        <w:numPr>
          <w:ilvl w:val="0"/>
          <w:numId w:val="1005"/>
        </w:numPr>
      </w:pPr>
      <w:r>
        <w:rPr>
          <w:bCs/>
          <w:b/>
        </w:rPr>
        <w:t xml:space="preserve">Stable nonzero cycles, no emergence.</w:t>
      </w:r>
      <w:r>
        <w:t xml:space="preserve"> </w:t>
      </w:r>
      <w:r>
        <w:t xml:space="preserve">A system with</w:t>
      </w:r>
      <w:r>
        <w:t xml:space="preserve"> </w:t>
      </w:r>
      <m:oMath>
        <m:sSub>
          <m:e>
            <m:r>
              <m:t>β</m:t>
            </m:r>
          </m:e>
          <m:sub>
            <m:r>
              <m:t>1</m:t>
            </m:r>
          </m:sub>
        </m:sSub>
        <m:d>
          <m:dPr>
            <m:begChr m:val="("/>
            <m:endChr m:val=")"/>
            <m:sepChr m:val=""/>
            <m:grow/>
          </m:dPr>
          <m:e>
            <m:r>
              <m:t>t</m:t>
            </m:r>
          </m:e>
        </m:d>
        <m:r>
          <m:rPr>
            <m:sty m:val="p"/>
          </m:rPr>
          <m:t>=</m:t>
        </m:r>
        <m:r>
          <m:t>k</m:t>
        </m:r>
        <m:r>
          <m:rPr>
            <m:sty m:val="p"/>
          </m:rPr>
          <m:t>&gt;</m:t>
        </m:r>
        <m:r>
          <m:t>0</m:t>
        </m:r>
      </m:oMath>
      <w:r>
        <w:t xml:space="preserve"> </w:t>
      </w:r>
      <w:r>
        <w:t xml:space="preserve">constant for all</w:t>
      </w:r>
      <w:r>
        <w:t xml:space="preserve"> </w:t>
      </w:r>
      <m:oMath>
        <m:r>
          <m:t>t</m:t>
        </m:r>
      </m:oMath>
      <w:r>
        <w:t xml:space="preserve"> </w:t>
      </w:r>
      <w:r>
        <w:t xml:space="preserve">in an interval has</w:t>
      </w:r>
      <w:r>
        <w:t xml:space="preserve"> </w:t>
      </w:r>
      <m:oMath>
        <m:sSub>
          <m:e>
            <m:acc>
              <m:accPr>
                <m:chr m:val="̃"/>
              </m:accPr>
              <m:e>
                <m:r>
                  <m:t>β</m:t>
                </m:r>
              </m:e>
            </m:acc>
          </m:e>
          <m:sub>
            <m:r>
              <m:t>1</m:t>
            </m:r>
          </m:sub>
        </m:sSub>
        <m:r>
          <m:rPr>
            <m:sty m:val="p"/>
          </m:rPr>
          <m:t>′</m:t>
        </m:r>
        <m:d>
          <m:dPr>
            <m:begChr m:val="("/>
            <m:endChr m:val=")"/>
            <m:sepChr m:val=""/>
            <m:grow/>
          </m:dPr>
          <m:e>
            <m:r>
              <m:t>t</m:t>
            </m:r>
          </m:e>
        </m:d>
        <m:r>
          <m:rPr>
            <m:sty m:val="p"/>
          </m:rPr>
          <m:t>=</m:t>
        </m:r>
        <m:r>
          <m:t>0</m:t>
        </m:r>
      </m:oMath>
      <w:r>
        <w:t xml:space="preserve">, so</w:t>
      </w:r>
      <w:r>
        <w:t xml:space="preserve"> </w:t>
      </w:r>
      <m:oMath>
        <m:sSub>
          <m:e>
            <m:r>
              <m:t>Σ</m:t>
            </m:r>
          </m:e>
          <m:sub>
            <m:r>
              <m:rPr>
                <m:sty m:val="p"/>
              </m:rPr>
              <m:t>t</m:t>
            </m:r>
            <m:r>
              <m:rPr>
                <m:sty m:val="p"/>
              </m:rPr>
              <m:t>o</m:t>
            </m:r>
            <m:r>
              <m:rPr>
                <m:sty m:val="p"/>
              </m:rPr>
              <m:t>p</m:t>
            </m:r>
          </m:sub>
        </m:sSub>
        <m:r>
          <m:rPr>
            <m:sty m:val="p"/>
          </m:rPr>
          <m:t>=</m:t>
        </m:r>
        <m:r>
          <m:rPr>
            <m:nor/>
            <m:sty m:val="p"/>
          </m:rPr>
          <m:t>false</m:t>
        </m:r>
      </m:oMath>
      <w:r>
        <w:t xml:space="preserve">. The cycles are structurally invariant and carry no predictive signal.</w:t>
      </w:r>
    </w:p>
    <w:p>
      <w:pPr>
        <w:numPr>
          <w:ilvl w:val="0"/>
          <w:numId w:val="1005"/>
        </w:numPr>
      </w:pPr>
      <w:r>
        <w:rPr>
          <w:bCs/>
          <w:b/>
        </w:rPr>
        <w:t xml:space="preserve">Emergence imminent, no cycles yet.</w:t>
      </w:r>
      <w:r>
        <w:t xml:space="preserve"> </w:t>
      </w:r>
      <w:r>
        <w:t xml:space="preserve">A system with</w:t>
      </w:r>
      <w:r>
        <w:t xml:space="preserve"> </w:t>
      </w:r>
      <m:oMath>
        <m:sSub>
          <m:e>
            <m:r>
              <m:t>β</m:t>
            </m:r>
          </m:e>
          <m:sub>
            <m:r>
              <m:t>1</m:t>
            </m:r>
          </m:sub>
        </m:sSub>
        <m:d>
          <m:dPr>
            <m:begChr m:val="("/>
            <m:endChr m:val=")"/>
            <m:sepChr m:val=""/>
            <m:grow/>
          </m:dPr>
          <m:e>
            <m:r>
              <m:t>t</m:t>
            </m:r>
          </m:e>
        </m:d>
        <m:r>
          <m:rPr>
            <m:sty m:val="p"/>
          </m:rPr>
          <m:t>=</m:t>
        </m:r>
        <m:r>
          <m:t>0</m:t>
        </m:r>
      </m:oMath>
      <w:r>
        <w:t xml:space="preserve"> </w:t>
      </w:r>
      <w:r>
        <w:t xml:space="preserve">but</w:t>
      </w:r>
      <w:r>
        <w:t xml:space="preserve"> </w:t>
      </w:r>
      <m:oMath>
        <m:sSub>
          <m:e>
            <m:acc>
              <m:accPr>
                <m:chr m:val="̃"/>
              </m:accPr>
              <m:e>
                <m:r>
                  <m:t>β</m:t>
                </m:r>
              </m:e>
            </m:acc>
          </m:e>
          <m:sub>
            <m:r>
              <m:t>1</m:t>
            </m:r>
          </m:sub>
        </m:sSub>
        <m:r>
          <m:rPr>
            <m:sty m:val="p"/>
          </m:rPr>
          <m:t>′</m:t>
        </m:r>
        <m:d>
          <m:dPr>
            <m:begChr m:val="("/>
            <m:endChr m:val=")"/>
            <m:sepChr m:val=""/>
            <m:grow/>
          </m:dPr>
          <m:e>
            <m:r>
              <m:t>t</m:t>
            </m:r>
          </m:e>
        </m:d>
        <m:r>
          <m:rPr>
            <m:sty m:val="p"/>
          </m:rPr>
          <m:t>&gt;</m:t>
        </m:r>
        <m:r>
          <m:t>0</m:t>
        </m:r>
      </m:oMath>
      <w:r>
        <w:t xml:space="preserve"> </w:t>
      </w:r>
      <w:r>
        <w:t xml:space="preserve">and</w:t>
      </w:r>
      <w:r>
        <w:t xml:space="preserve"> </w:t>
      </w:r>
      <m:oMath>
        <m:sSub>
          <m:e>
            <m:acc>
              <m:accPr>
                <m:chr m:val="̃"/>
              </m:accPr>
              <m:e>
                <m:r>
                  <m:t>β</m:t>
                </m:r>
              </m:e>
            </m:acc>
          </m:e>
          <m:sub>
            <m:r>
              <m:t>1</m:t>
            </m:r>
          </m:sub>
        </m:sSub>
        <m:r>
          <m:rPr>
            <m:sty m:val="p"/>
          </m:rPr>
          <m:t>″</m:t>
        </m:r>
        <m:d>
          <m:dPr>
            <m:begChr m:val="("/>
            <m:endChr m:val=")"/>
            <m:sepChr m:val=""/>
            <m:grow/>
          </m:dPr>
          <m:e>
            <m:r>
              <m:t>t</m:t>
            </m:r>
          </m:e>
        </m:d>
        <m:r>
          <m:rPr>
            <m:sty m:val="p"/>
          </m:rPr>
          <m:t>&lt;</m:t>
        </m:r>
        <m:r>
          <m:t>0</m:t>
        </m:r>
      </m:oMath>
      <w:r>
        <w:t xml:space="preserve"> </w:t>
      </w:r>
      <w:r>
        <w:t xml:space="preserve">yields</w:t>
      </w:r>
      <w:r>
        <w:t xml:space="preserve"> </w:t>
      </w:r>
      <m:oMath>
        <m:sSub>
          <m:e>
            <m:r>
              <m:t>Σ</m:t>
            </m:r>
          </m:e>
          <m:sub>
            <m:r>
              <m:rPr>
                <m:sty m:val="p"/>
              </m:rPr>
              <m:t>t</m:t>
            </m:r>
            <m:r>
              <m:rPr>
                <m:sty m:val="p"/>
              </m:rPr>
              <m:t>o</m:t>
            </m:r>
            <m:r>
              <m:rPr>
                <m:sty m:val="p"/>
              </m:rPr>
              <m:t>p</m:t>
            </m:r>
          </m:sub>
        </m:sSub>
        <m:r>
          <m:rPr>
            <m:sty m:val="p"/>
          </m:rPr>
          <m:t>=</m:t>
        </m:r>
        <m:r>
          <m:rPr>
            <m:nor/>
            <m:sty m:val="p"/>
          </m:rPr>
          <m:t>true</m:t>
        </m:r>
      </m:oMath>
      <w:r>
        <w:t xml:space="preserve"> </w:t>
      </w:r>
      <w:r>
        <w:t xml:space="preserve">(provided condition (iii) holds with the inequality relaxed to a threshold crossing). This is the pre-emergence regime: topological structure is forming in advance of its own existence as a nonzero Betti number.</w:t>
      </w:r>
    </w:p>
    <w:p>
      <w:pPr>
        <w:numPr>
          <w:ilvl w:val="0"/>
          <w:numId w:val="1005"/>
        </w:numPr>
      </w:pPr>
      <w:r>
        <w:rPr>
          <w:bCs/>
          <w:b/>
        </w:rPr>
        <w:t xml:space="preserve">Behavioral emergence without topological signal.</w:t>
      </w:r>
      <w:r>
        <w:t xml:space="preserve"> </w:t>
      </w:r>
      <w:r>
        <w:t xml:space="preserve">If</w:t>
      </w:r>
      <w:r>
        <w:t xml:space="preserve"> </w:t>
      </w:r>
      <m:oMath>
        <m:sSub>
          <m:e>
            <m:r>
              <m:t>D</m:t>
            </m:r>
          </m:e>
          <m:sub>
            <m:r>
              <m:rPr>
                <m:sty m:val="p"/>
              </m:rPr>
              <m:t>J</m:t>
            </m:r>
            <m:r>
              <m:rPr>
                <m:sty m:val="p"/>
              </m:rPr>
              <m:t>S</m:t>
            </m:r>
          </m:sub>
        </m:sSub>
        <m:d>
          <m:dPr>
            <m:begChr m:val="("/>
            <m:endChr m:val=")"/>
            <m:sepChr m:val=""/>
            <m:grow/>
          </m:dPr>
          <m:e>
            <m:sSub>
              <m:e>
                <m:r>
                  <m:t>P</m:t>
                </m:r>
              </m:e>
              <m:sub>
                <m:sSup>
                  <m:e>
                    <m:r>
                      <m:t>t</m:t>
                    </m:r>
                  </m:e>
                  <m:sup>
                    <m:r>
                      <m:rPr>
                        <m:sty m:val="p"/>
                      </m:rPr>
                      <m:t>*</m:t>
                    </m:r>
                  </m:sup>
                </m:sSup>
              </m:sub>
            </m:sSub>
            <m:r>
              <m:rPr>
                <m:sty m:val="p"/>
              </m:rPr>
              <m:t>,</m:t>
            </m:r>
            <m:sSub>
              <m:e>
                <m:r>
                  <m:t>P</m:t>
                </m:r>
              </m:e>
              <m:sub>
                <m:sSup>
                  <m:e>
                    <m:r>
                      <m:t>t</m:t>
                    </m:r>
                  </m:e>
                  <m:sup>
                    <m:r>
                      <m:rPr>
                        <m:sty m:val="p"/>
                      </m:rPr>
                      <m:t>*</m:t>
                    </m:r>
                  </m:sup>
                </m:sSup>
                <m:r>
                  <m:rPr>
                    <m:sty m:val="p"/>
                  </m:rPr>
                  <m:t>−</m:t>
                </m:r>
                <m:r>
                  <m:t>Δ</m:t>
                </m:r>
                <m:r>
                  <m:t>t</m:t>
                </m:r>
              </m:sub>
            </m:sSub>
          </m:e>
        </m:d>
        <m:r>
          <m:rPr>
            <m:sty m:val="p"/>
          </m:rPr>
          <m:t>&gt;</m:t>
        </m:r>
        <m:sSub>
          <m:e>
            <m:r>
              <m:t>θ</m:t>
            </m:r>
          </m:e>
          <m:sub>
            <m:r>
              <m:rPr>
                <m:sty m:val="p"/>
              </m:rPr>
              <m:t>b</m:t>
            </m:r>
            <m:r>
              <m:rPr>
                <m:sty m:val="p"/>
              </m:rPr>
              <m:t>e</m:t>
            </m:r>
            <m:r>
              <m:rPr>
                <m:sty m:val="p"/>
              </m:rPr>
              <m:t>h</m:t>
            </m:r>
          </m:sub>
        </m:sSub>
      </m:oMath>
      <w:r>
        <w:t xml:space="preserve"> </w:t>
      </w:r>
      <w:r>
        <w:t xml:space="preserve">but</w:t>
      </w:r>
      <w:r>
        <w:t xml:space="preserve"> </w:t>
      </w:r>
      <m:oMath>
        <m:sSub>
          <m:e>
            <m:r>
              <m:t>Σ</m:t>
            </m:r>
          </m:e>
          <m:sub>
            <m:r>
              <m:rPr>
                <m:sty m:val="p"/>
              </m:rPr>
              <m:t>t</m:t>
            </m:r>
            <m:r>
              <m:rPr>
                <m:sty m:val="p"/>
              </m:rPr>
              <m:t>o</m:t>
            </m:r>
            <m:r>
              <m:rPr>
                <m:sty m:val="p"/>
              </m:rPr>
              <m:t>p</m:t>
            </m:r>
          </m:sub>
        </m:sSub>
        <m:d>
          <m:dPr>
            <m:begChr m:val="("/>
            <m:endChr m:val=")"/>
            <m:sepChr m:val=""/>
            <m:grow/>
          </m:dPr>
          <m:e>
            <m:sSup>
              <m:e>
                <m:r>
                  <m:t>t</m:t>
                </m:r>
              </m:e>
              <m:sup>
                <m:r>
                  <m:rPr>
                    <m:sty m:val="p"/>
                  </m:rPr>
                  <m:t>*</m:t>
                </m:r>
              </m:sup>
            </m:sSup>
          </m:e>
        </m:d>
        <m:r>
          <m:rPr>
            <m:sty m:val="p"/>
          </m:rPr>
          <m:t>=</m:t>
        </m:r>
        <m:r>
          <m:rPr>
            <m:nor/>
            <m:sty m:val="p"/>
          </m:rPr>
          <m:t>false</m:t>
        </m:r>
      </m:oMath>
      <w:r>
        <w:t xml:space="preserve">, then the topological detector has missed the event (a false negative). The behavioral definition still holds; the topological signal is a predictor, not a criterion.</w:t>
      </w:r>
    </w:p>
    <w:p>
      <w:pPr>
        <w:pStyle w:val="FirstParagraph"/>
      </w:pPr>
      <w:r>
        <w:t xml:space="preserve">The logical independence of emergence (behavioral) and its topological predictor is thereby preserved. The relation between them is empirical and causal, not definitional:</w:t>
      </w:r>
    </w:p>
    <w:p>
      <w:pPr>
        <w:pStyle w:val="BodyText"/>
      </w:pPr>
      <m:oMathPara>
        <m:oMathParaPr>
          <m:jc m:val="center"/>
        </m:oMathParaPr>
        <m:oMath>
          <m:sSub>
            <m:e>
              <m:r>
                <m:t>Σ</m:t>
              </m:r>
            </m:e>
            <m:sub>
              <m:r>
                <m:rPr>
                  <m:sty m:val="p"/>
                </m:rPr>
                <m:t>t</m:t>
              </m:r>
              <m:r>
                <m:rPr>
                  <m:sty m:val="p"/>
                </m:rPr>
                <m:t>o</m:t>
              </m:r>
              <m:r>
                <m:rPr>
                  <m:sty m:val="p"/>
                </m:rPr>
                <m:t>p</m:t>
              </m:r>
            </m:sub>
          </m:sSub>
          <m:d>
            <m:dPr>
              <m:begChr m:val="("/>
              <m:endChr m:val=")"/>
              <m:sepChr m:val=""/>
              <m:grow/>
            </m:dPr>
            <m:e>
              <m:r>
                <m:t>t</m:t>
              </m:r>
            </m:e>
          </m:d>
          <m:r>
            <m:t> </m:t>
          </m:r>
          <m:r>
            <m:rPr>
              <m:sty m:val="p"/>
            </m:rPr>
            <m:t>⇒</m:t>
          </m:r>
          <m:r>
            <m:t> </m:t>
          </m:r>
          <m:r>
            <m:rPr>
              <m:nor/>
              <m:sty m:val="p"/>
            </m:rPr>
            <m:t>Emergence</m:t>
          </m:r>
          <m:d>
            <m:dPr>
              <m:begChr m:val="("/>
              <m:endChr m:val=")"/>
              <m:sepChr m:val=""/>
              <m:grow/>
            </m:dPr>
            <m:e>
              <m:r>
                <m:t>t</m:t>
              </m:r>
              <m:r>
                <m:rPr>
                  <m:sty m:val="p"/>
                </m:rPr>
                <m:t>+</m:t>
              </m:r>
              <m:r>
                <m:t>δ</m:t>
              </m:r>
            </m:e>
          </m:d>
          <m:r>
            <m:t> </m:t>
          </m:r>
          <m:r>
            <m:rPr>
              <m:nor/>
              <m:sty m:val="p"/>
            </m:rPr>
            <m:t>(with high probability, for some lag </m:t>
          </m:r>
          <m:r>
            <m:t>δ</m:t>
          </m:r>
          <m:r>
            <m:rPr>
              <m:sty m:val="p"/>
            </m:rPr>
            <m:t>&gt;</m:t>
          </m:r>
          <m:r>
            <m:t>0</m:t>
          </m:r>
          <m:r>
            <m:rPr>
              <m:nor/>
              <m:sty m:val="p"/>
            </m:rPr>
            <m:t>)</m:t>
          </m:r>
          <m:r>
            <m:rPr>
              <m:sty m:val="p"/>
            </m:rPr>
            <m:t>.</m:t>
          </m:r>
        </m:oMath>
      </m:oMathPara>
    </w:p>
    <w:p>
      <w:r>
        <w:pict>
          <v:rect style="width:0;height:1.5pt" o:hralign="center" o:hrstd="t" o:hr="t"/>
        </w:pict>
      </w:r>
    </w:p>
    <w:bookmarkEnd w:id="88"/>
    <w:bookmarkEnd w:id="89"/>
    <w:bookmarkStart w:id="93" w:name="c.5-the-2.7-second-window"/>
    <w:p>
      <w:pPr>
        <w:pStyle w:val="Heading2"/>
      </w:pPr>
      <w:r>
        <w:t xml:space="preserve">C.5 The 2.7-Second Window</w:t>
      </w:r>
    </w:p>
    <w:bookmarkStart w:id="90" w:name="c.5.1-empirical-origin"/>
    <w:p>
      <w:pPr>
        <w:pStyle w:val="Heading3"/>
      </w:pPr>
      <w:r>
        <w:t xml:space="preserve">C.5.1 Empirical Origin</w:t>
      </w:r>
    </w:p>
    <w:p>
      <w:pPr>
        <w:pStyle w:val="FirstParagraph"/>
      </w:pPr>
      <w:r>
        <w:t xml:space="preserve">The 2.7-second observation window</w:t>
      </w:r>
      <w:r>
        <w:t xml:space="preserve"> </w:t>
      </w:r>
      <m:oMath>
        <m:r>
          <m:t>Δ</m:t>
        </m:r>
        <m:r>
          <m:t>t</m:t>
        </m:r>
      </m:oMath>
      <w:r>
        <w:t xml:space="preserve"> </w:t>
      </w:r>
      <w:r>
        <w:t xml:space="preserve">in condition (iii) is not derived from topological first principles. It is an</w:t>
      </w:r>
      <w:r>
        <w:t xml:space="preserve"> </w:t>
      </w:r>
      <w:r>
        <w:rPr>
          <w:iCs/>
          <w:i/>
        </w:rPr>
        <w:t xml:space="preserve">empirical</w:t>
      </w:r>
      <w:r>
        <w:t xml:space="preserve"> </w:t>
      </w:r>
      <w:r>
        <w:t xml:space="preserve">parameter determined from the PLATO 127-line cohomology implementation (</w:t>
      </w:r>
      <w:r>
        <w:rPr>
          <w:rStyle w:val="VerbatimChar"/>
        </w:rPr>
        <w:t xml:space="preserve">cohomology.rs</w:t>
      </w:r>
      <w:r>
        <w:t xml:space="preserve">) as the median lag between topological signal onset and behavioral manifestation across 10,000 simulated multi-agent episodes.</w:t>
      </w:r>
    </w:p>
    <w:p>
      <w:pPr>
        <w:pStyle w:val="BodyText"/>
      </w:pPr>
      <w:r>
        <w:t xml:space="preserve">The procedure for determining</w:t>
      </w:r>
      <w:r>
        <w:t xml:space="preserve"> </w:t>
      </w:r>
      <m:oMath>
        <m:r>
          <m:t>Δ</m:t>
        </m:r>
        <m:r>
          <m:t>t</m:t>
        </m:r>
      </m:oMath>
      <w:r>
        <w:t xml:space="preserve"> </w:t>
      </w:r>
      <w:r>
        <w:t xml:space="preserve">is as follows. For each episode</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let</w:t>
      </w:r>
      <w:r>
        <w:t xml:space="preserve"> </w:t>
      </w:r>
      <m:oMath>
        <m:sSubSup>
          <m:e>
            <m:r>
              <m:t>τ</m:t>
            </m:r>
          </m:e>
          <m:sub>
            <m:r>
              <m:rPr>
                <m:sty m:val="p"/>
              </m:rPr>
              <m:t>t</m:t>
            </m:r>
            <m:r>
              <m:rPr>
                <m:sty m:val="p"/>
              </m:rPr>
              <m:t>o</m:t>
            </m:r>
            <m:r>
              <m:rPr>
                <m:sty m:val="p"/>
              </m:rPr>
              <m:t>p</m:t>
            </m:r>
          </m:sub>
          <m:sup>
            <m:d>
              <m:dPr>
                <m:begChr m:val="("/>
                <m:endChr m:val=")"/>
                <m:sepChr m:val=""/>
                <m:grow/>
              </m:dPr>
              <m:e>
                <m:r>
                  <m:t>i</m:t>
                </m:r>
              </m:e>
            </m:d>
          </m:sup>
        </m:sSubSup>
      </m:oMath>
      <w:r>
        <w:t xml:space="preserve"> </w:t>
      </w:r>
      <w:r>
        <w:t xml:space="preserve">be the first time at which</w:t>
      </w:r>
      <w:r>
        <w:t xml:space="preserve"> </w:t>
      </w:r>
      <m:oMath>
        <m:sSub>
          <m:e>
            <m:acc>
              <m:accPr>
                <m:chr m:val="̃"/>
              </m:accPr>
              <m:e>
                <m:r>
                  <m:t>β</m:t>
                </m:r>
              </m:e>
            </m:acc>
          </m:e>
          <m:sub>
            <m:r>
              <m:t>1</m:t>
            </m:r>
          </m:sub>
        </m:sSub>
        <m:r>
          <m:rPr>
            <m:sty m:val="p"/>
          </m:rPr>
          <m:t>′</m:t>
        </m:r>
        <m:d>
          <m:dPr>
            <m:begChr m:val="("/>
            <m:endChr m:val=")"/>
            <m:sepChr m:val=""/>
            <m:grow/>
          </m:dPr>
          <m:e>
            <m:r>
              <m:t>t</m:t>
            </m:r>
          </m:e>
        </m:d>
        <m:r>
          <m:rPr>
            <m:sty m:val="p"/>
          </m:rPr>
          <m:t>&gt;</m:t>
        </m:r>
        <m:sSub>
          <m:e>
            <m:r>
              <m:t>θ</m:t>
            </m:r>
          </m:e>
          <m:sub>
            <m:r>
              <m:rPr>
                <m:sty m:val="p"/>
              </m:rPr>
              <m:t>d</m:t>
            </m:r>
            <m:r>
              <m:rPr>
                <m:sty m:val="p"/>
              </m:rPr>
              <m:t>e</m:t>
            </m:r>
            <m:r>
              <m:rPr>
                <m:sty m:val="p"/>
              </m:rPr>
              <m:t>r</m:t>
            </m:r>
            <m:r>
              <m:rPr>
                <m:sty m:val="p"/>
              </m:rPr>
              <m:t>i</m:t>
            </m:r>
            <m:r>
              <m:rPr>
                <m:sty m:val="p"/>
              </m:rPr>
              <m:t>v</m:t>
            </m:r>
          </m:sub>
        </m:sSub>
      </m:oMath>
      <w:r>
        <w:t xml:space="preserve"> </w:t>
      </w:r>
      <w:r>
        <w:t xml:space="preserve">(with</w:t>
      </w:r>
      <w:r>
        <w:t xml:space="preserve"> </w:t>
      </w:r>
      <m:oMath>
        <m:sSub>
          <m:e>
            <m:r>
              <m:t>θ</m:t>
            </m:r>
          </m:e>
          <m:sub>
            <m:r>
              <m:rPr>
                <m:sty m:val="p"/>
              </m:rPr>
              <m:t>d</m:t>
            </m:r>
            <m:r>
              <m:rPr>
                <m:sty m:val="p"/>
              </m:rPr>
              <m:t>e</m:t>
            </m:r>
            <m:r>
              <m:rPr>
                <m:sty m:val="p"/>
              </m:rPr>
              <m:t>r</m:t>
            </m:r>
            <m:r>
              <m:rPr>
                <m:sty m:val="p"/>
              </m:rPr>
              <m:t>i</m:t>
            </m:r>
            <m:r>
              <m:rPr>
                <m:sty m:val="p"/>
              </m:rPr>
              <m:t>v</m:t>
            </m:r>
          </m:sub>
        </m:sSub>
      </m:oMath>
      <w:r>
        <w:t xml:space="preserve"> </w:t>
      </w:r>
      <w:r>
        <w:t xml:space="preserve">a threshold on the derivative), and let</w:t>
      </w:r>
      <w:r>
        <w:t xml:space="preserve"> </w:t>
      </w:r>
      <m:oMath>
        <m:sSubSup>
          <m:e>
            <m:r>
              <m:t>τ</m:t>
            </m:r>
          </m:e>
          <m:sub>
            <m:r>
              <m:rPr>
                <m:sty m:val="p"/>
              </m:rPr>
              <m:t>b</m:t>
            </m:r>
            <m:r>
              <m:rPr>
                <m:sty m:val="p"/>
              </m:rPr>
              <m:t>e</m:t>
            </m:r>
            <m:r>
              <m:rPr>
                <m:sty m:val="p"/>
              </m:rPr>
              <m:t>h</m:t>
            </m:r>
          </m:sub>
          <m:sup>
            <m:d>
              <m:dPr>
                <m:begChr m:val="("/>
                <m:endChr m:val=")"/>
                <m:sepChr m:val=""/>
                <m:grow/>
              </m:dPr>
              <m:e>
                <m:r>
                  <m:t>i</m:t>
                </m:r>
              </m:e>
            </m:d>
          </m:sup>
        </m:sSubSup>
      </m:oMath>
      <w:r>
        <w:t xml:space="preserve"> </w:t>
      </w:r>
      <w:r>
        <w:t xml:space="preserve">be the first time at which</w:t>
      </w:r>
      <w:r>
        <w:t xml:space="preserve"> </w:t>
      </w:r>
      <m:oMath>
        <m:sSub>
          <m:e>
            <m:r>
              <m:t>D</m:t>
            </m:r>
          </m:e>
          <m:sub>
            <m:r>
              <m:rPr>
                <m:sty m:val="p"/>
              </m:rPr>
              <m:t>J</m:t>
            </m:r>
            <m:r>
              <m:rPr>
                <m:sty m:val="p"/>
              </m:rPr>
              <m:t>S</m:t>
            </m:r>
          </m:sub>
        </m:sSub>
        <m:d>
          <m:dPr>
            <m:begChr m:val="("/>
            <m:endChr m:val=")"/>
            <m:sepChr m:val=""/>
            <m:grow/>
          </m:dPr>
          <m:e>
            <m:sSub>
              <m:e>
                <m:r>
                  <m:t>P</m:t>
                </m:r>
              </m:e>
              <m:sub>
                <m:r>
                  <m:t>t</m:t>
                </m:r>
              </m:sub>
            </m:sSub>
            <m:r>
              <m:rPr>
                <m:sty m:val="p"/>
              </m:rPr>
              <m:t>,</m:t>
            </m:r>
            <m:sSub>
              <m:e>
                <m:r>
                  <m:t>P</m:t>
                </m:r>
              </m:e>
              <m:sub>
                <m:r>
                  <m:t>t</m:t>
                </m:r>
                <m:r>
                  <m:rPr>
                    <m:sty m:val="p"/>
                  </m:rPr>
                  <m:t>−</m:t>
                </m:r>
                <m:r>
                  <m:t>Δ</m:t>
                </m:r>
                <m:r>
                  <m:t>t</m:t>
                </m:r>
              </m:sub>
            </m:sSub>
          </m:e>
        </m:d>
        <m:r>
          <m:rPr>
            <m:sty m:val="p"/>
          </m:rPr>
          <m:t>&gt;</m:t>
        </m:r>
        <m:sSub>
          <m:e>
            <m:r>
              <m:t>θ</m:t>
            </m:r>
          </m:e>
          <m:sub>
            <m:r>
              <m:rPr>
                <m:sty m:val="p"/>
              </m:rPr>
              <m:t>b</m:t>
            </m:r>
            <m:r>
              <m:rPr>
                <m:sty m:val="p"/>
              </m:rPr>
              <m:t>e</m:t>
            </m:r>
            <m:r>
              <m:rPr>
                <m:sty m:val="p"/>
              </m:rPr>
              <m:t>h</m:t>
            </m:r>
          </m:sub>
        </m:sSub>
      </m:oMath>
      <w:r>
        <w:t xml:space="preserve">. The lag is</w:t>
      </w:r>
      <w:r>
        <w:t xml:space="preserve"> </w:t>
      </w:r>
      <m:oMath>
        <m:sSup>
          <m:e>
            <m:r>
              <m:t>δ</m:t>
            </m:r>
          </m:e>
          <m:sup>
            <m:d>
              <m:dPr>
                <m:begChr m:val="("/>
                <m:endChr m:val=")"/>
                <m:sepChr m:val=""/>
                <m:grow/>
              </m:dPr>
              <m:e>
                <m:r>
                  <m:t>i</m:t>
                </m:r>
              </m:e>
            </m:d>
          </m:sup>
        </m:sSup>
        <m:r>
          <m:rPr>
            <m:sty m:val="p"/>
          </m:rPr>
          <m:t>=</m:t>
        </m:r>
        <m:sSubSup>
          <m:e>
            <m:r>
              <m:t>τ</m:t>
            </m:r>
          </m:e>
          <m:sub>
            <m:r>
              <m:rPr>
                <m:sty m:val="p"/>
              </m:rPr>
              <m:t>b</m:t>
            </m:r>
            <m:r>
              <m:rPr>
                <m:sty m:val="p"/>
              </m:rPr>
              <m:t>e</m:t>
            </m:r>
            <m:r>
              <m:rPr>
                <m:sty m:val="p"/>
              </m:rPr>
              <m:t>h</m:t>
            </m:r>
          </m:sub>
          <m:sup>
            <m:d>
              <m:dPr>
                <m:begChr m:val="("/>
                <m:endChr m:val=")"/>
                <m:sepChr m:val=""/>
                <m:grow/>
              </m:dPr>
              <m:e>
                <m:r>
                  <m:t>i</m:t>
                </m:r>
              </m:e>
            </m:d>
          </m:sup>
        </m:sSubSup>
        <m:r>
          <m:rPr>
            <m:sty m:val="p"/>
          </m:rPr>
          <m:t>−</m:t>
        </m:r>
        <m:sSubSup>
          <m:e>
            <m:r>
              <m:t>τ</m:t>
            </m:r>
          </m:e>
          <m:sub>
            <m:r>
              <m:rPr>
                <m:sty m:val="p"/>
              </m:rPr>
              <m:t>t</m:t>
            </m:r>
            <m:r>
              <m:rPr>
                <m:sty m:val="p"/>
              </m:rPr>
              <m:t>o</m:t>
            </m:r>
            <m:r>
              <m:rPr>
                <m:sty m:val="p"/>
              </m:rPr>
              <m:t>p</m:t>
            </m:r>
          </m:sub>
          <m:sup>
            <m:d>
              <m:dPr>
                <m:begChr m:val="("/>
                <m:endChr m:val=")"/>
                <m:sepChr m:val=""/>
                <m:grow/>
              </m:dPr>
              <m:e>
                <m:r>
                  <m:t>i</m:t>
                </m:r>
              </m:e>
            </m:d>
          </m:sup>
        </m:sSubSup>
      </m:oMath>
      <w:r>
        <w:t xml:space="preserve">. Across the episode ensemble, the empirical distribution of</w:t>
      </w:r>
      <w:r>
        <w:t xml:space="preserve"> </w:t>
      </w:r>
      <m:oMath>
        <m:sSup>
          <m:e>
            <m:r>
              <m:t>δ</m:t>
            </m:r>
          </m:e>
          <m:sup>
            <m:d>
              <m:dPr>
                <m:begChr m:val="("/>
                <m:endChr m:val=")"/>
                <m:sepChr m:val=""/>
                <m:grow/>
              </m:dPr>
              <m:e>
                <m:r>
                  <m:t>i</m:t>
                </m:r>
              </m:e>
            </m:d>
          </m:sup>
        </m:sSup>
      </m:oMath>
      <w:r>
        <w:t xml:space="preserve"> </w:t>
      </w:r>
      <w:r>
        <w:t xml:space="preserve">has median</w:t>
      </w:r>
      <w:r>
        <w:t xml:space="preserve"> </w:t>
      </w:r>
      <m:oMath>
        <m:r>
          <m:t>2.72</m:t>
        </m:r>
        <m:r>
          <m:t> </m:t>
        </m:r>
        <m:r>
          <m:rPr>
            <m:sty m:val="p"/>
          </m:rPr>
          <m:t>s</m:t>
        </m:r>
      </m:oMath>
      <w:r>
        <w:t xml:space="preserve"> </w:t>
      </w:r>
      <w:r>
        <w:t xml:space="preserve">and interquartile range</w:t>
      </w:r>
      <w:r>
        <w:t xml:space="preserve"> </w:t>
      </w:r>
      <m:oMath>
        <m:d>
          <m:dPr>
            <m:begChr m:val="["/>
            <m:endChr m:val="]"/>
            <m:sepChr m:val=""/>
            <m:grow/>
          </m:dPr>
          <m:e>
            <m:r>
              <m:t>1.8</m:t>
            </m:r>
            <m:r>
              <m:t> </m:t>
            </m:r>
            <m:r>
              <m:rPr>
                <m:sty m:val="p"/>
              </m:rPr>
              <m:t>s</m:t>
            </m:r>
            <m:r>
              <m:rPr>
                <m:sty m:val="p"/>
              </m:rPr>
              <m:t>,</m:t>
            </m:r>
            <m:r>
              <m:t>4.1</m:t>
            </m:r>
            <m:r>
              <m:t> </m:t>
            </m:r>
            <m:r>
              <m:rPr>
                <m:sty m:val="p"/>
              </m:rPr>
              <m:t>s</m:t>
            </m:r>
          </m:e>
        </m:d>
      </m:oMath>
      <w:r>
        <w:t xml:space="preserve">. The value</w:t>
      </w:r>
      <w:r>
        <w:t xml:space="preserve"> </w:t>
      </w:r>
      <m:oMath>
        <m:r>
          <m:t>Δ</m:t>
        </m:r>
        <m:r>
          <m:t>t</m:t>
        </m:r>
        <m:r>
          <m:rPr>
            <m:sty m:val="p"/>
          </m:rPr>
          <m:t>=</m:t>
        </m:r>
        <m:r>
          <m:t>2.7</m:t>
        </m:r>
        <m:r>
          <m:t> </m:t>
        </m:r>
        <m:r>
          <m:rPr>
            <m:sty m:val="p"/>
          </m:rPr>
          <m:t>s</m:t>
        </m:r>
      </m:oMath>
      <w:r>
        <w:t xml:space="preserve"> </w:t>
      </w:r>
      <w:r>
        <w:t xml:space="preserve">is the rounded median.</w:t>
      </w:r>
    </w:p>
    <w:bookmarkEnd w:id="90"/>
    <w:bookmarkStart w:id="91" w:name="X8d629c65b0592fd54a0b3deba3b53be69c0b655"/>
    <w:p>
      <w:pPr>
        <w:pStyle w:val="Heading3"/>
      </w:pPr>
      <w:r>
        <w:t xml:space="preserve">C.5.2 Interpretation via Critical Slowing Down</w:t>
      </w:r>
    </w:p>
    <w:p>
      <w:pPr>
        <w:pStyle w:val="FirstParagraph"/>
      </w:pPr>
      <w:r>
        <w:t xml:space="preserve">The 2.7-second lag is interpretable within the Scheffer CSD framework. The topological signal</w:t>
      </w:r>
      <w:r>
        <w:t xml:space="preserve"> </w:t>
      </w:r>
      <m:oMath>
        <m:sSub>
          <m:e>
            <m:acc>
              <m:accPr>
                <m:chr m:val="̃"/>
              </m:accPr>
              <m:e>
                <m:r>
                  <m:t>β</m:t>
                </m:r>
              </m:e>
            </m:acc>
          </m:e>
          <m:sub>
            <m:r>
              <m:t>1</m:t>
            </m:r>
          </m:sub>
        </m:sSub>
        <m:r>
          <m:rPr>
            <m:sty m:val="p"/>
          </m:rPr>
          <m:t>′</m:t>
        </m:r>
        <m:d>
          <m:dPr>
            <m:begChr m:val="("/>
            <m:endChr m:val=")"/>
            <m:sepChr m:val=""/>
            <m:grow/>
          </m:dPr>
          <m:e>
            <m:r>
              <m:t>t</m:t>
            </m:r>
          </m:e>
        </m:d>
        <m:r>
          <m:rPr>
            <m:sty m:val="p"/>
          </m:rPr>
          <m:t>&gt;</m:t>
        </m:r>
        <m:r>
          <m:t>0</m:t>
        </m:r>
      </m:oMath>
      <w:r>
        <w:t xml:space="preserve"> </w:t>
      </w:r>
      <w:r>
        <w:t xml:space="preserve">detects the</w:t>
      </w:r>
      <w:r>
        <w:t xml:space="preserve"> </w:t>
      </w:r>
      <w:r>
        <w:rPr>
          <w:iCs/>
          <w:i/>
        </w:rPr>
        <w:t xml:space="preserve">structural</w:t>
      </w:r>
      <w:r>
        <w:t xml:space="preserve"> </w:t>
      </w:r>
      <w:r>
        <w:t xml:space="preserve">reorganization of the communication graph—agents beginning to form feedback loops and closed coordination cycles. The behavioral signal</w:t>
      </w:r>
      <w:r>
        <w:t xml:space="preserve"> </w:t>
      </w:r>
      <m:oMath>
        <m:sSub>
          <m:e>
            <m:r>
              <m:t>D</m:t>
            </m:r>
          </m:e>
          <m:sub>
            <m:r>
              <m:rPr>
                <m:sty m:val="p"/>
              </m:rPr>
              <m:t>J</m:t>
            </m:r>
            <m:r>
              <m:rPr>
                <m:sty m:val="p"/>
              </m:rPr>
              <m:t>S</m:t>
            </m:r>
          </m:sub>
        </m:sSub>
        <m:r>
          <m:rPr>
            <m:sty m:val="p"/>
          </m:rPr>
          <m:t>&gt;</m:t>
        </m:r>
        <m:sSub>
          <m:e>
            <m:r>
              <m:t>θ</m:t>
            </m:r>
          </m:e>
          <m:sub>
            <m:r>
              <m:rPr>
                <m:sty m:val="p"/>
              </m:rPr>
              <m:t>b</m:t>
            </m:r>
            <m:r>
              <m:rPr>
                <m:sty m:val="p"/>
              </m:rPr>
              <m:t>e</m:t>
            </m:r>
            <m:r>
              <m:rPr>
                <m:sty m:val="p"/>
              </m:rPr>
              <m:t>h</m:t>
            </m:r>
          </m:sub>
        </m:sSub>
      </m:oMath>
      <w:r>
        <w:t xml:space="preserve"> </w:t>
      </w:r>
      <w:r>
        <w:t xml:space="preserve">detects the</w:t>
      </w:r>
      <w:r>
        <w:t xml:space="preserve"> </w:t>
      </w:r>
      <w:r>
        <w:rPr>
          <w:iCs/>
          <w:i/>
        </w:rPr>
        <w:t xml:space="preserve">observable</w:t>
      </w:r>
      <w:r>
        <w:t xml:space="preserve"> </w:t>
      </w:r>
      <w:r>
        <w:t xml:space="preserve">consequence of this reorganization—new consensus states, novel task allocations, or emergent division of labor.</w:t>
      </w:r>
    </w:p>
    <w:p>
      <w:pPr>
        <w:pStyle w:val="BodyText"/>
      </w:pPr>
      <w:r>
        <w:t xml:space="preserve">The lag between structure and behavior is the time required for (a) information to propagate around the newly formed cycles, (b) agents to update their local policies in response to altered message statistics, and (c) the population to converge to a new collective attractor. In graph-theoretic terms, if the newly born 1-cycle has length</w:t>
      </w:r>
      <w:r>
        <w:t xml:space="preserve"> </w:t>
      </w:r>
      <m:oMath>
        <m:r>
          <m:rPr>
            <m:sty m:val="p"/>
          </m:rPr>
          <m:t>ℓ</m:t>
        </m:r>
      </m:oMath>
      <w:r>
        <w:t xml:space="preserve"> </w:t>
      </w:r>
      <w:r>
        <w:t xml:space="preserve">(in hops) and the per-hop message latency is</w:t>
      </w:r>
      <w:r>
        <w:t xml:space="preserve"> </w:t>
      </w:r>
      <m:oMath>
        <m:acc>
          <m:accPr>
            <m:chr m:val="‾"/>
          </m:accPr>
          <m:e>
            <m:r>
              <m:t>τ</m:t>
            </m:r>
          </m:e>
        </m:acc>
      </m:oMath>
      <w:r>
        <w:t xml:space="preserve">, the minimum structural-to-behavioral lag is</w:t>
      </w:r>
      <w:r>
        <w:t xml:space="preserve"> </w:t>
      </w:r>
      <m:oMath>
        <m:r>
          <m:rPr>
            <m:sty m:val="p"/>
          </m:rPr>
          <m:t>ℓ</m:t>
        </m:r>
        <m:r>
          <m:rPr>
            <m:sty m:val="p"/>
          </m:rPr>
          <m:t>⋅</m:t>
        </m:r>
        <m:acc>
          <m:accPr>
            <m:chr m:val="‾"/>
          </m:accPr>
          <m:e>
            <m:r>
              <m:t>τ</m:t>
            </m:r>
          </m:e>
        </m:acc>
      </m:oMath>
      <w:r>
        <w:t xml:space="preserve">. For the PLATO default topology (</w:t>
      </w:r>
      <m:oMath>
        <m:r>
          <m:rPr>
            <m:sty m:val="p"/>
          </m:rPr>
          <m:t>ℓ</m:t>
        </m:r>
        <m:r>
          <m:rPr>
            <m:sty m:val="p"/>
          </m:rPr>
          <m:t>≈</m:t>
        </m:r>
        <m:r>
          <m:t>4</m:t>
        </m:r>
      </m:oMath>
      <w:r>
        <w:t xml:space="preserve">,</w:t>
      </w:r>
      <w:r>
        <w:t xml:space="preserve"> </w:t>
      </w:r>
      <m:oMath>
        <m:acc>
          <m:accPr>
            <m:chr m:val="‾"/>
          </m:accPr>
          <m:e>
            <m:r>
              <m:t>τ</m:t>
            </m:r>
          </m:e>
        </m:acc>
        <m:r>
          <m:rPr>
            <m:sty m:val="p"/>
          </m:rPr>
          <m:t>≈</m:t>
        </m:r>
        <m:r>
          <m:t>0.6</m:t>
        </m:r>
        <m:r>
          <m:t> </m:t>
        </m:r>
        <m:r>
          <m:rPr>
            <m:sty m:val="p"/>
          </m:rPr>
          <m:t>s</m:t>
        </m:r>
      </m:oMath>
      <w:r>
        <w:t xml:space="preserve">), this yields</w:t>
      </w:r>
      <w:r>
        <w:t xml:space="preserve"> </w:t>
      </w:r>
      <m:oMath>
        <m:r>
          <m:rPr>
            <m:sty m:val="p"/>
          </m:rPr>
          <m:t>≈</m:t>
        </m:r>
        <m:r>
          <m:t>2.4</m:t>
        </m:r>
        <m:r>
          <m:t> </m:t>
        </m:r>
        <m:r>
          <m:rPr>
            <m:sty m:val="p"/>
          </m:rPr>
          <m:t>s</m:t>
        </m:r>
      </m:oMath>
      <w:r>
        <w:t xml:space="preserve">, consistent with the observed 2.7-second median.</w:t>
      </w:r>
    </w:p>
    <w:bookmarkEnd w:id="91"/>
    <w:bookmarkStart w:id="92" w:name="c.5.3-implementation-note"/>
    <w:p>
      <w:pPr>
        <w:pStyle w:val="Heading3"/>
      </w:pPr>
      <w:r>
        <w:t xml:space="preserve">C.5.3 Implementation Note</w:t>
      </w:r>
    </w:p>
    <w:p>
      <w:pPr>
        <w:pStyle w:val="FirstParagraph"/>
      </w:pPr>
      <w:r>
        <w:t xml:space="preserve">In the 127-line</w:t>
      </w:r>
      <w:r>
        <w:t xml:space="preserve"> </w:t>
      </w:r>
      <w:r>
        <w:rPr>
          <w:rStyle w:val="VerbatimChar"/>
        </w:rPr>
        <w:t xml:space="preserve">cohomology.rs</w:t>
      </w:r>
      <w:r>
        <w:t xml:space="preserve"> </w:t>
      </w:r>
      <w:r>
        <w:t xml:space="preserve">implementation, condition (iii) is enforced by a sliding-window ring buffer of Betti number samples at 10 Hz. The comparison</w:t>
      </w:r>
      <w:r>
        <w:t xml:space="preserve"> </w:t>
      </w:r>
      <m:oMath>
        <m:sSub>
          <m:e>
            <m:r>
              <m:t>β</m:t>
            </m:r>
          </m:e>
          <m:sub>
            <m:r>
              <m:t>1</m:t>
            </m:r>
          </m:sub>
        </m:sSub>
        <m:d>
          <m:dPr>
            <m:begChr m:val="("/>
            <m:endChr m:val=")"/>
            <m:sepChr m:val=""/>
            <m:grow/>
          </m:dPr>
          <m:e>
            <m:r>
              <m:t>t</m:t>
            </m:r>
          </m:e>
        </m:d>
        <m:r>
          <m:rPr>
            <m:sty m:val="p"/>
          </m:rPr>
          <m:t>&gt;</m:t>
        </m:r>
        <m:sSub>
          <m:e>
            <m:r>
              <m:t>β</m:t>
            </m:r>
          </m:e>
          <m:sub>
            <m:r>
              <m:t>1</m:t>
            </m:r>
          </m:sub>
        </m:sSub>
        <m:d>
          <m:dPr>
            <m:begChr m:val="("/>
            <m:endChr m:val=")"/>
            <m:sepChr m:val=""/>
            <m:grow/>
          </m:dPr>
          <m:e>
            <m:r>
              <m:t>t</m:t>
            </m:r>
            <m:r>
              <m:rPr>
                <m:sty m:val="p"/>
              </m:rPr>
              <m:t>−</m:t>
            </m:r>
            <m:r>
              <m:t>Δ</m:t>
            </m:r>
            <m:r>
              <m:t>t</m:t>
            </m:r>
          </m:e>
        </m:d>
      </m:oMath>
      <w:r>
        <w:t xml:space="preserve"> </w:t>
      </w:r>
      <w:r>
        <w:t xml:space="preserve">is evaluated as</w:t>
      </w:r>
      <w:r>
        <w:t xml:space="preserve"> </w:t>
      </w:r>
      <m:oMath>
        <m:sSub>
          <m:e>
            <m:r>
              <m:t>β</m:t>
            </m:r>
          </m:e>
          <m:sub>
            <m:r>
              <m:t>1</m:t>
            </m:r>
          </m:sub>
        </m:sSub>
        <m:d>
          <m:dPr>
            <m:begChr m:val="["/>
            <m:endChr m:val="]"/>
            <m:sepChr m:val=""/>
            <m:grow/>
          </m:dPr>
          <m:e>
            <m:r>
              <m:t>n</m:t>
            </m:r>
          </m:e>
        </m:d>
        <m:r>
          <m:rPr>
            <m:sty m:val="p"/>
          </m:rPr>
          <m:t>&gt;</m:t>
        </m:r>
        <m:sSub>
          <m:e>
            <m:r>
              <m:t>β</m:t>
            </m:r>
          </m:e>
          <m:sub>
            <m:r>
              <m:t>1</m:t>
            </m:r>
          </m:sub>
        </m:sSub>
        <m:d>
          <m:dPr>
            <m:begChr m:val="["/>
            <m:endChr m:val="]"/>
            <m:sepChr m:val=""/>
            <m:grow/>
          </m:dPr>
          <m:e>
            <m:r>
              <m:t>n</m:t>
            </m:r>
            <m:r>
              <m:rPr>
                <m:sty m:val="p"/>
              </m:rPr>
              <m:t>−</m:t>
            </m:r>
            <m:r>
              <m:t>27</m:t>
            </m:r>
          </m:e>
        </m:d>
      </m:oMath>
      <w:r>
        <w:t xml:space="preserve">, where</w:t>
      </w:r>
      <w:r>
        <w:t xml:space="preserve"> </w:t>
      </w:r>
      <m:oMath>
        <m:r>
          <m:t>n</m:t>
        </m:r>
      </m:oMath>
      <w:r>
        <w:t xml:space="preserve"> </w:t>
      </w:r>
      <w:r>
        <w:t xml:space="preserve">indexes the current sample. The Gaussian smoothing for conditions (i) and (ii) uses</w:t>
      </w:r>
      <w:r>
        <w:t xml:space="preserve"> </w:t>
      </w:r>
      <m:oMath>
        <m:r>
          <m:t>τ</m:t>
        </m:r>
        <m:r>
          <m:rPr>
            <m:sty m:val="p"/>
          </m:rPr>
          <m:t>=</m:t>
        </m:r>
        <m:r>
          <m:t>0.5</m:t>
        </m:r>
        <m:r>
          <m:t> </m:t>
        </m:r>
        <m:r>
          <m:rPr>
            <m:sty m:val="p"/>
          </m:rPr>
          <m:t>s</m:t>
        </m:r>
      </m:oMath>
      <w:r>
        <w:t xml:space="preserve">, yielding a numerically stable derivative estimate via central differencing on the smoothed signal.</w:t>
      </w:r>
    </w:p>
    <w:p>
      <w:r>
        <w:pict>
          <v:rect style="width:0;height:1.5pt" o:hralign="center" o:hrstd="t" o:hr="t"/>
        </w:pict>
      </w:r>
    </w:p>
    <w:bookmarkEnd w:id="92"/>
    <w:bookmarkEnd w:id="93"/>
    <w:bookmarkStart w:id="96" w:name="Xcfa3949fe42657e8d05af00144281d476092cdc"/>
    <w:p>
      <w:pPr>
        <w:pStyle w:val="Heading2"/>
      </w:pPr>
      <w:r>
        <w:t xml:space="preserve">C.6 Comparison to Machine Learning Classifiers</w:t>
      </w:r>
    </w:p>
    <w:bookmarkStart w:id="94" w:name="c.6.1-the-categorical-gap"/>
    <w:p>
      <w:pPr>
        <w:pStyle w:val="Heading3"/>
      </w:pPr>
      <w:r>
        <w:t xml:space="preserve">C.6.1 The Categorical Gap</w:t>
      </w:r>
    </w:p>
    <w:p>
      <w:pPr>
        <w:pStyle w:val="FirstParagraph"/>
      </w:pPr>
      <w:r>
        <w:t xml:space="preserve">The PLATO system includes a complementary ML-based emergence detector (</w:t>
      </w:r>
      <w:r>
        <w:rPr>
          <w:rStyle w:val="VerbatimChar"/>
        </w:rPr>
        <w:t xml:space="preserve">ml_classifier.rs</w:t>
      </w:r>
      <w:r>
        <w:t xml:space="preserve">) trained on hand-labeled episodes. This classifier operates on the behavioral feature vector</w:t>
      </w:r>
      <w:r>
        <w:t xml:space="preserve"> </w:t>
      </w:r>
      <m:oMath>
        <m:sSub>
          <m:e>
            <m:r>
              <m:t>Φ</m:t>
            </m:r>
          </m:e>
          <m:sub>
            <m:r>
              <m:t>t</m:t>
            </m:r>
          </m:sub>
        </m:sSub>
        <m:r>
          <m:rPr>
            <m:sty m:val="p"/>
          </m:rPr>
          <m:t>∈</m:t>
        </m:r>
        <m:sSup>
          <m:e>
            <m:r>
              <m:rPr>
                <m:sty m:val="p"/>
                <m:scr m:val="double-struck"/>
              </m:rPr>
              <m:t>R</m:t>
            </m:r>
          </m:e>
          <m:sup>
            <m:r>
              <m:t>m</m:t>
            </m:r>
          </m:sup>
        </m:sSup>
      </m:oMath>
      <w:r>
        <w:t xml:space="preserve"> </w:t>
      </w:r>
      <w:r>
        <w:t xml:space="preserve">and outputs a probability</w:t>
      </w:r>
      <w:r>
        <w:t xml:space="preserve"> </w:t>
      </w:r>
      <m:oMath>
        <m:sSub>
          <m:e>
            <m:r>
              <m:t>p</m:t>
            </m:r>
          </m:e>
          <m:sub>
            <m:r>
              <m:rPr>
                <m:sty m:val="p"/>
              </m:rPr>
              <m:t>M</m:t>
            </m:r>
            <m:r>
              <m:rPr>
                <m:sty m:val="p"/>
              </m:rPr>
              <m:t>L</m:t>
            </m:r>
          </m:sub>
        </m:sSub>
        <m:d>
          <m:dPr>
            <m:begChr m:val="("/>
            <m:endChr m:val=")"/>
            <m:sepChr m:val=""/>
            <m:grow/>
          </m:dPr>
          <m:e>
            <m:r>
              <m:t>t</m:t>
            </m:r>
          </m:e>
        </m:d>
        <m:r>
          <m:rPr>
            <m:sty m:val="p"/>
          </m:rPr>
          <m:t>=</m:t>
        </m:r>
        <m:r>
          <m:t>σ</m:t>
        </m:r>
        <m:d>
          <m:dPr>
            <m:begChr m:val="("/>
            <m:endChr m:val=")"/>
            <m:sepChr m:val=""/>
            <m:grow/>
          </m:dPr>
          <m:e>
            <m:r>
              <m:t>W</m:t>
            </m:r>
            <m:sSub>
              <m:e>
                <m:r>
                  <m:t>Φ</m:t>
                </m:r>
              </m:e>
              <m:sub>
                <m:r>
                  <m:t>t</m:t>
                </m:r>
              </m:sub>
            </m:sSub>
            <m:r>
              <m:rPr>
                <m:sty m:val="p"/>
              </m:rPr>
              <m:t>+</m:t>
            </m:r>
            <m:r>
              <m:t>b</m:t>
            </m:r>
          </m:e>
        </m:d>
      </m:oMath>
      <w:r>
        <w:t xml:space="preserve">, where</w:t>
      </w:r>
      <w:r>
        <w:t xml:space="preserve"> </w:t>
      </w:r>
      <m:oMath>
        <m:r>
          <m:t>σ</m:t>
        </m:r>
      </m:oMath>
      <w:r>
        <w:t xml:space="preserve"> </w:t>
      </w:r>
      <w:r>
        <w:t xml:space="preserve">is the logistic function. On held-out test data, the classifier achieves</w:t>
      </w:r>
      <w:r>
        <w:t xml:space="preserve"> </w:t>
      </w:r>
      <m:oMath>
        <m:r>
          <m:t>62</m:t>
        </m:r>
        <m:r>
          <m:rPr>
            <m:sty m:val="p"/>
          </m:rPr>
          <m:t>%</m:t>
        </m:r>
      </m:oMath>
      <w:r>
        <w:t xml:space="preserve"> </w:t>
      </w:r>
      <w:r>
        <w:t xml:space="preserve">accuracy at predicting behavioral emergence within</w:t>
      </w:r>
      <w:r>
        <w:t xml:space="preserve"> </w:t>
      </w:r>
      <m:oMath>
        <m:r>
          <m:rPr>
            <m:sty m:val="p"/>
          </m:rPr>
          <m:t>±</m:t>
        </m:r>
        <m:r>
          <m:t>1</m:t>
        </m:r>
        <m:r>
          <m:t> </m:t>
        </m:r>
        <m:r>
          <m:rPr>
            <m:sty m:val="p"/>
          </m:rPr>
          <m:t>s</m:t>
        </m:r>
      </m:oMath>
      <w:r>
        <w:t xml:space="preserve"> </w:t>
      </w:r>
      <w:r>
        <w:t xml:space="preserve">of the annotated event.</w:t>
      </w:r>
    </w:p>
    <w:p>
      <w:pPr>
        <w:pStyle w:val="BodyText"/>
      </w:pPr>
      <w:r>
        <w:t xml:space="preserve">The topological predictor</w:t>
      </w:r>
      <w:r>
        <w:t xml:space="preserve"> </w:t>
      </w:r>
      <m:oMath>
        <m:sSub>
          <m:e>
            <m:r>
              <m:t>Σ</m:t>
            </m:r>
          </m:e>
          <m:sub>
            <m:r>
              <m:rPr>
                <m:sty m:val="p"/>
              </m:rPr>
              <m:t>t</m:t>
            </m:r>
            <m:r>
              <m:rPr>
                <m:sty m:val="p"/>
              </m:rPr>
              <m:t>o</m:t>
            </m:r>
            <m:r>
              <m:rPr>
                <m:sty m:val="p"/>
              </m:rPr>
              <m:t>p</m:t>
            </m:r>
          </m:sub>
        </m:sSub>
        <m:d>
          <m:dPr>
            <m:begChr m:val="("/>
            <m:endChr m:val=")"/>
            <m:sepChr m:val=""/>
            <m:grow/>
          </m:dPr>
          <m:e>
            <m:r>
              <m:t>t</m:t>
            </m:r>
          </m:e>
        </m:d>
      </m:oMath>
      <w:r>
        <w:t xml:space="preserve"> </w:t>
      </w:r>
      <w:r>
        <w:t xml:space="preserve">and the ML classifier address fundamentally different questions:</w:t>
      </w:r>
    </w:p>
    <w:tbl>
      <w:tblPr>
        <w:tblStyle w:val="Table"/>
        <w:tblW w:type="pct" w:w="5000"/>
        <w:tblLook w:firstRow="1" w:lastRow="0" w:firstColumn="0" w:lastColumn="0" w:noHBand="0" w:noVBand="0" w:val="0020"/>
      </w:tblPr>
      <w:tblGrid>
        <w:gridCol w:w="1440"/>
        <w:gridCol w:w="2520"/>
        <w:gridCol w:w="3960"/>
      </w:tblGrid>
      <w:tr>
        <w:trPr>
          <w:tblHeader w:val="true"/>
        </w:trPr>
        <w:tc>
          <w:tcPr/>
          <w:p>
            <w:pPr>
              <w:pStyle w:val="Compact"/>
              <w:jc w:val="left"/>
            </w:pPr>
            <w:r>
              <w:t xml:space="preserve">Aspect</w:t>
            </w:r>
          </w:p>
        </w:tc>
        <w:tc>
          <w:tcPr/>
          <w:p>
            <w:pPr>
              <w:pStyle w:val="Compact"/>
              <w:jc w:val="left"/>
            </w:pPr>
            <w:r>
              <w:t xml:space="preserve">ML Classifier</w:t>
            </w:r>
          </w:p>
        </w:tc>
        <w:tc>
          <w:tcPr/>
          <w:p>
            <w:pPr>
              <w:pStyle w:val="Compact"/>
              <w:jc w:val="left"/>
            </w:pPr>
            <w:r>
              <w:t xml:space="preserve">Topological Predictor</w:t>
            </w:r>
          </w:p>
        </w:tc>
      </w:tr>
      <w:tr>
        <w:tc>
          <w:tcPr/>
          <w:p>
            <w:pPr>
              <w:pStyle w:val="Compact"/>
              <w:jc w:val="left"/>
            </w:pPr>
            <w:r>
              <w:t xml:space="preserve">Input</w:t>
            </w:r>
          </w:p>
        </w:tc>
        <w:tc>
          <w:tcPr/>
          <w:p>
            <w:pPr>
              <w:pStyle w:val="Compact"/>
              <w:jc w:val="left"/>
            </w:pPr>
            <w:r>
              <w:t xml:space="preserve">Behavioral features</w:t>
            </w:r>
            <w:r>
              <w:t xml:space="preserve"> </w:t>
            </w:r>
            <m:oMath>
              <m:sSub>
                <m:e>
                  <m:r>
                    <m:t>Φ</m:t>
                  </m:r>
                </m:e>
                <m:sub>
                  <m:r>
                    <m:t>t</m:t>
                  </m:r>
                </m:sub>
              </m:sSub>
            </m:oMath>
          </w:p>
        </w:tc>
        <w:tc>
          <w:tcPr/>
          <w:p>
            <w:pPr>
              <w:pStyle w:val="Compact"/>
              <w:jc w:val="left"/>
            </w:pPr>
            <w:r>
              <w:t xml:space="preserve">Communication graph</w:t>
            </w:r>
            <w:r>
              <w:t xml:space="preserve"> </w:t>
            </w:r>
            <m:oMath>
              <m:sSub>
                <m:e>
                  <m:r>
                    <m:t>G</m:t>
                  </m:r>
                </m:e>
                <m:sub>
                  <m:r>
                    <m:t>t</m:t>
                  </m:r>
                </m:sub>
              </m:sSub>
            </m:oMath>
          </w:p>
        </w:tc>
      </w:tr>
      <w:tr>
        <w:tc>
          <w:tcPr/>
          <w:p>
            <w:pPr>
              <w:pStyle w:val="Compact"/>
              <w:jc w:val="left"/>
            </w:pPr>
            <w:r>
              <w:t xml:space="preserve">Target</w:t>
            </w:r>
          </w:p>
        </w:tc>
        <w:tc>
          <w:tcPr/>
          <w:p>
            <w:pPr>
              <w:pStyle w:val="Compact"/>
              <w:jc w:val="left"/>
            </w:pPr>
            <w:r>
              <w:t xml:space="preserve">Behavioral emergence at time</w:t>
            </w:r>
            <w:r>
              <w:t xml:space="preserve"> </w:t>
            </w:r>
            <m:oMath>
              <m:r>
                <m:t>t</m:t>
              </m:r>
            </m:oMath>
          </w:p>
        </w:tc>
        <w:tc>
          <w:tcPr/>
          <w:p>
            <w:pPr>
              <w:pStyle w:val="Compact"/>
              <w:jc w:val="left"/>
            </w:pPr>
            <w:r>
              <w:t xml:space="preserve">Structural precondition for future emergence</w:t>
            </w:r>
          </w:p>
        </w:tc>
      </w:tr>
      <w:tr>
        <w:tc>
          <w:tcPr/>
          <w:p>
            <w:pPr>
              <w:pStyle w:val="Compact"/>
              <w:jc w:val="left"/>
            </w:pPr>
            <w:r>
              <w:t xml:space="preserve">Accuracy</w:t>
            </w:r>
          </w:p>
        </w:tc>
        <w:tc>
          <w:tcPr/>
          <w:p>
            <w:pPr>
              <w:pStyle w:val="Compact"/>
              <w:jc w:val="left"/>
            </w:pPr>
            <m:oMath>
              <m:r>
                <m:t>62</m:t>
              </m:r>
              <m:r>
                <m:rPr>
                  <m:sty m:val="p"/>
                </m:rPr>
                <m:t>%</m:t>
              </m:r>
            </m:oMath>
            <w:r>
              <w:t xml:space="preserve"> </w:t>
            </w:r>
            <w:r>
              <w:t xml:space="preserve">(behavioral detection)</w:t>
            </w:r>
          </w:p>
        </w:tc>
        <w:tc>
          <w:tcPr/>
          <w:p>
            <w:pPr>
              <w:pStyle w:val="Compact"/>
              <w:jc w:val="left"/>
            </w:pPr>
            <m:oMath>
              <m:r>
                <m:t>100</m:t>
              </m:r>
              <m:r>
                <m:rPr>
                  <m:sty m:val="p"/>
                </m:rPr>
                <m:t>%</m:t>
              </m:r>
            </m:oMath>
            <w:r>
              <w:t xml:space="preserve"> </w:t>
            </w:r>
            <w:r>
              <w:t xml:space="preserve">(structural detection when</w:t>
            </w:r>
            <w:r>
              <w:t xml:space="preserve"> </w:t>
            </w:r>
            <m:oMath>
              <m:sSub>
                <m:e>
                  <m:acc>
                    <m:accPr>
                      <m:chr m:val="̃"/>
                    </m:accPr>
                    <m:e>
                      <m:r>
                        <m:t>β</m:t>
                      </m:r>
                    </m:e>
                  </m:acc>
                </m:e>
                <m:sub>
                  <m:r>
                    <m:t>1</m:t>
                  </m:r>
                </m:sub>
              </m:sSub>
              <m:r>
                <m:rPr>
                  <m:sty m:val="p"/>
                </m:rPr>
                <m:t>′</m:t>
              </m:r>
              <m:d>
                <m:dPr>
                  <m:begChr m:val="("/>
                  <m:endChr m:val=")"/>
                  <m:sepChr m:val=""/>
                  <m:grow/>
                </m:dPr>
                <m:e>
                  <m:r>
                    <m:t>t</m:t>
                  </m:r>
                </m:e>
              </m:d>
              <m:r>
                <m:rPr>
                  <m:sty m:val="p"/>
                </m:rPr>
                <m:t>&gt;</m:t>
              </m:r>
              <m:r>
                <m:t>0</m:t>
              </m:r>
            </m:oMath>
            <w:r>
              <w:t xml:space="preserve">)</w:t>
            </w:r>
          </w:p>
        </w:tc>
      </w:tr>
      <w:tr>
        <w:tc>
          <w:tcPr/>
          <w:p>
            <w:pPr>
              <w:pStyle w:val="Compact"/>
              <w:jc w:val="left"/>
            </w:pPr>
            <w:r>
              <w:t xml:space="preserve">Temporal role</w:t>
            </w:r>
          </w:p>
        </w:tc>
        <w:tc>
          <w:tcPr/>
          <w:p>
            <w:pPr>
              <w:pStyle w:val="Compact"/>
              <w:jc w:val="left"/>
            </w:pPr>
            <w:r>
              <w:t xml:space="preserve">Contemporaneous</w:t>
            </w:r>
          </w:p>
        </w:tc>
        <w:tc>
          <w:tcPr/>
          <w:p>
            <w:pPr>
              <w:pStyle w:val="Compact"/>
              <w:jc w:val="left"/>
            </w:pPr>
            <w:r>
              <w:t xml:space="preserve">Predictive (2.7s lead time)</w:t>
            </w:r>
          </w:p>
        </w:tc>
      </w:tr>
      <w:tr>
        <w:tc>
          <w:tcPr/>
          <w:p>
            <w:pPr>
              <w:pStyle w:val="Compact"/>
              <w:jc w:val="left"/>
            </w:pPr>
            <w:r>
              <w:t xml:space="preserve">Generalization</w:t>
            </w:r>
          </w:p>
        </w:tc>
        <w:tc>
          <w:tcPr/>
          <w:p>
            <w:pPr>
              <w:pStyle w:val="Compact"/>
              <w:jc w:val="left"/>
            </w:pPr>
            <w:r>
              <w:t xml:space="preserve">Requires retraining on new domains</w:t>
            </w:r>
          </w:p>
        </w:tc>
        <w:tc>
          <w:tcPr/>
          <w:p>
            <w:pPr>
              <w:pStyle w:val="Compact"/>
              <w:jc w:val="left"/>
            </w:pPr>
            <w:r>
              <w:t xml:space="preserve">Domain-agnostic (graph structure only)</w:t>
            </w:r>
          </w:p>
        </w:tc>
      </w:tr>
    </w:tbl>
    <w:p>
      <w:pPr>
        <w:pStyle w:val="BodyText"/>
      </w:pPr>
      <w:r>
        <w:t xml:space="preserve">The categorical gap is crucial: ML detects</w:t>
      </w:r>
      <w:r>
        <w:t xml:space="preserve"> </w:t>
      </w:r>
      <w:r>
        <w:rPr>
          <w:iCs/>
          <w:i/>
        </w:rPr>
        <w:t xml:space="preserve">that</w:t>
      </w:r>
      <w:r>
        <w:t xml:space="preserve"> </w:t>
      </w:r>
      <w:r>
        <w:t xml:space="preserve">emergence is occurring (or has just occurred) by recognizing patterns in behavioral observables; topology detects</w:t>
      </w:r>
      <w:r>
        <w:t xml:space="preserve"> </w:t>
      </w:r>
      <w:r>
        <w:rPr>
          <w:iCs/>
          <w:i/>
        </w:rPr>
        <w:t xml:space="preserve">that the conditions for emergence are forming</w:t>
      </w:r>
      <w:r>
        <w:t xml:space="preserve"> </w:t>
      </w:r>
      <w:r>
        <w:t xml:space="preserve">by recognizing patterns in the interaction structure. The two detectors are not competitors but complementary subsystems in a tiered early warning architecture.</w:t>
      </w:r>
    </w:p>
    <w:bookmarkEnd w:id="94"/>
    <w:bookmarkStart w:id="95" w:name="X8b648a87477d0289b73ce21ac76ea37a5aec2b5"/>
    <w:p>
      <w:pPr>
        <w:pStyle w:val="Heading3"/>
      </w:pPr>
      <w:r>
        <w:t xml:space="preserve">C.6.2 Why 100% Structural Detection Is Not Trivial</w:t>
      </w:r>
    </w:p>
    <w:p>
      <w:pPr>
        <w:pStyle w:val="FirstParagraph"/>
      </w:pPr>
      <w:r>
        <w:t xml:space="preserve">The claim that the topological predictor achieves</w:t>
      </w:r>
      <w:r>
        <w:t xml:space="preserve"> </w:t>
      </w:r>
      <m:oMath>
        <m:r>
          <m:t>100</m:t>
        </m:r>
        <m:r>
          <m:rPr>
            <m:sty m:val="p"/>
          </m:rPr>
          <m:t>%</m:t>
        </m:r>
      </m:oMath>
      <w:r>
        <w:t xml:space="preserve"> </w:t>
      </w:r>
      <w:r>
        <w:t xml:space="preserve">detection when</w:t>
      </w:r>
      <w:r>
        <w:t xml:space="preserve"> </w:t>
      </w:r>
      <m:oMath>
        <m:sSub>
          <m:e>
            <m:acc>
              <m:accPr>
                <m:chr m:val="̃"/>
              </m:accPr>
              <m:e>
                <m:r>
                  <m:t>β</m:t>
                </m:r>
              </m:e>
            </m:acc>
          </m:e>
          <m:sub>
            <m:r>
              <m:t>1</m:t>
            </m:r>
          </m:sub>
        </m:sSub>
        <m:r>
          <m:rPr>
            <m:sty m:val="p"/>
          </m:rPr>
          <m:t>′</m:t>
        </m:r>
        <m:d>
          <m:dPr>
            <m:begChr m:val="("/>
            <m:endChr m:val=")"/>
            <m:sepChr m:val=""/>
            <m:grow/>
          </m:dPr>
          <m:e>
            <m:r>
              <m:t>t</m:t>
            </m:r>
          </m:e>
        </m:d>
        <m:r>
          <m:rPr>
            <m:sty m:val="p"/>
          </m:rPr>
          <m:t>&gt;</m:t>
        </m:r>
        <m:r>
          <m:t>0</m:t>
        </m:r>
      </m:oMath>
      <w:r>
        <w:t xml:space="preserve"> </w:t>
      </w:r>
      <w:r>
        <w:t xml:space="preserve">requires qualification. The derivative condition is a</w:t>
      </w:r>
      <w:r>
        <w:t xml:space="preserve"> </w:t>
      </w:r>
      <w:r>
        <w:rPr>
          <w:iCs/>
          <w:i/>
        </w:rPr>
        <w:t xml:space="preserve">sufficient</w:t>
      </w:r>
      <w:r>
        <w:t xml:space="preserve"> </w:t>
      </w:r>
      <w:r>
        <w:t xml:space="preserve">signal, not a necessary one. There may exist emergence events that are not preceded by increasing 1-cycle formation—perhaps because emergence in those cases is driven by tree-like (acyclic) coordination structures, or because the relevant topological signal lies in higher homology (</w:t>
      </w:r>
      <m:oMath>
        <m:sSub>
          <m:e>
            <m:r>
              <m:t>β</m:t>
            </m:r>
          </m:e>
          <m:sub>
            <m:r>
              <m:t>2</m:t>
            </m:r>
          </m:sub>
        </m:sSub>
      </m:oMath>
      <w:r>
        <w:t xml:space="preserve">,</w:t>
      </w:r>
      <w:r>
        <w:t xml:space="preserve"> </w:t>
      </w:r>
      <m:oMath>
        <m:sSub>
          <m:e>
            <m:r>
              <m:t>β</m:t>
            </m:r>
          </m:e>
          <m:sub>
            <m:r>
              <m:t>3</m:t>
            </m:r>
          </m:sub>
        </m:sSub>
      </m:oMath>
      <w:r>
        <w:t xml:space="preserve">) or in the</w:t>
      </w:r>
      <w:r>
        <w:t xml:space="preserve"> </w:t>
      </w:r>
      <w:r>
        <w:rPr>
          <w:iCs/>
          <w:i/>
        </w:rPr>
        <w:t xml:space="preserve">persistence</w:t>
      </w:r>
      <w:r>
        <w:t xml:space="preserve"> </w:t>
      </w:r>
      <w:r>
        <w:t xml:space="preserve">of features rather than their</w:t>
      </w:r>
      <w:r>
        <w:t xml:space="preserve"> </w:t>
      </w:r>
      <w:r>
        <w:rPr>
          <w:iCs/>
          <w:i/>
        </w:rPr>
        <w:t xml:space="preserve">number</w:t>
      </w:r>
      <w:r>
        <w:t xml:space="preserve">.</w:t>
      </w:r>
    </w:p>
    <w:p>
      <w:pPr>
        <w:pStyle w:val="BodyText"/>
      </w:pPr>
      <w:r>
        <w:t xml:space="preserve">However, within the regime where PLATO operates—multi-agent systems with peer-to-peer message passing and decentralized consensus—the birth of 1-cycles is a</w:t>
      </w:r>
      <w:r>
        <w:t xml:space="preserve"> </w:t>
      </w:r>
      <w:r>
        <w:rPr>
          <w:iCs/>
          <w:i/>
        </w:rPr>
        <w:t xml:space="preserve">generic</w:t>
      </w:r>
      <w:r>
        <w:t xml:space="preserve"> </w:t>
      </w:r>
      <w:r>
        <w:t xml:space="preserve">precursor to collective reorganization. The 100% figure refers to the empirical observation that, across all episodes in which emergence was later confirmed behaviorally, the derivative condition</w:t>
      </w:r>
      <w:r>
        <w:t xml:space="preserve"> </w:t>
      </w:r>
      <m:oMath>
        <m:sSub>
          <m:e>
            <m:acc>
              <m:accPr>
                <m:chr m:val="̃"/>
              </m:accPr>
              <m:e>
                <m:r>
                  <m:t>β</m:t>
                </m:r>
              </m:e>
            </m:acc>
          </m:e>
          <m:sub>
            <m:r>
              <m:t>1</m:t>
            </m:r>
          </m:sub>
        </m:sSub>
        <m:r>
          <m:rPr>
            <m:sty m:val="p"/>
          </m:rPr>
          <m:t>′</m:t>
        </m:r>
        <m:d>
          <m:dPr>
            <m:begChr m:val="("/>
            <m:endChr m:val=")"/>
            <m:sepChr m:val=""/>
            <m:grow/>
          </m:dPr>
          <m:e>
            <m:r>
              <m:t>t</m:t>
            </m:r>
          </m:e>
        </m:d>
        <m:r>
          <m:rPr>
            <m:sty m:val="p"/>
          </m:rPr>
          <m:t>&gt;</m:t>
        </m:r>
        <m:r>
          <m:t>0</m:t>
        </m:r>
      </m:oMath>
      <w:r>
        <w:t xml:space="preserve"> </w:t>
      </w:r>
      <w:r>
        <w:t xml:space="preserve">fired at least 2.7 seconds in advance. It is a conditional completeness result:</w:t>
      </w:r>
    </w:p>
    <w:p>
      <w:pPr>
        <w:pStyle w:val="BodyText"/>
      </w:pPr>
      <m:oMathPara>
        <m:oMathParaPr>
          <m:jc m:val="center"/>
        </m:oMathParaPr>
        <m:oMath>
          <m:r>
            <m:rPr>
              <m:nor/>
              <m:sty m:val="p"/>
            </m:rPr>
            <m:t>Emergence</m:t>
          </m:r>
          <m:d>
            <m:dPr>
              <m:begChr m:val="("/>
              <m:endChr m:val=")"/>
              <m:sepChr m:val=""/>
              <m:grow/>
            </m:dPr>
            <m:e>
              <m:r>
                <m:t>t</m:t>
              </m:r>
              <m:r>
                <m:rPr>
                  <m:sty m:val="p"/>
                </m:rPr>
                <m:t>+</m:t>
              </m:r>
              <m:r>
                <m:t>δ</m:t>
              </m:r>
            </m:e>
          </m:d>
          <m:r>
            <m:t> </m:t>
          </m:r>
          <m:r>
            <m:rPr>
              <m:sty m:val="p"/>
            </m:rPr>
            <m:t>∧</m:t>
          </m:r>
          <m:r>
            <m:t> </m:t>
          </m:r>
          <m:r>
            <m:rPr>
              <m:nor/>
              <m:sty m:val="p"/>
            </m:rPr>
            <m:t>PLATO-regime</m:t>
          </m:r>
          <m:d>
            <m:dPr>
              <m:begChr m:val="("/>
              <m:endChr m:val=")"/>
              <m:sepChr m:val=""/>
              <m:grow/>
            </m:dPr>
            <m:e>
              <m:r>
                <m:t>t</m:t>
              </m:r>
            </m:e>
          </m:d>
          <m:r>
            <m:t> </m:t>
          </m:r>
          <m:r>
            <m:rPr>
              <m:sty m:val="p"/>
            </m:rPr>
            <m:t>⇒</m:t>
          </m:r>
          <m:r>
            <m:t> </m:t>
          </m:r>
          <m:r>
            <m:rPr>
              <m:sty m:val="p"/>
            </m:rPr>
            <m:t>∃</m:t>
          </m:r>
          <m:r>
            <m:t> </m:t>
          </m:r>
          <m:r>
            <m:t>s</m:t>
          </m:r>
          <m:r>
            <m:rPr>
              <m:sty m:val="p"/>
            </m:rPr>
            <m:t>∈</m:t>
          </m:r>
          <m:d>
            <m:dPr>
              <m:begChr m:val="["/>
              <m:endChr m:val="]"/>
              <m:sepChr m:val=""/>
              <m:grow/>
            </m:dPr>
            <m:e>
              <m:r>
                <m:t>t</m:t>
              </m:r>
              <m:r>
                <m:rPr>
                  <m:sty m:val="p"/>
                </m:rPr>
                <m:t>−</m:t>
              </m:r>
              <m:r>
                <m:t>Δ</m:t>
              </m:r>
              <m:r>
                <m:t>t</m:t>
              </m:r>
              <m:r>
                <m:rPr>
                  <m:sty m:val="p"/>
                </m:rPr>
                <m:t>,</m:t>
              </m:r>
              <m:r>
                <m:t>t</m:t>
              </m:r>
            </m:e>
          </m:d>
          <m:r>
            <m:rPr>
              <m:sty m:val="p"/>
            </m:rPr>
            <m:t>:</m:t>
          </m:r>
          <m:sSub>
            <m:e>
              <m:r>
                <m:t>Σ</m:t>
              </m:r>
            </m:e>
            <m:sub>
              <m:r>
                <m:rPr>
                  <m:sty m:val="p"/>
                </m:rPr>
                <m:t>t</m:t>
              </m:r>
              <m:r>
                <m:rPr>
                  <m:sty m:val="p"/>
                </m:rPr>
                <m:t>o</m:t>
              </m:r>
              <m:r>
                <m:rPr>
                  <m:sty m:val="p"/>
                </m:rPr>
                <m:t>p</m:t>
              </m:r>
            </m:sub>
          </m:sSub>
          <m:d>
            <m:dPr>
              <m:begChr m:val="("/>
              <m:endChr m:val=")"/>
              <m:sepChr m:val=""/>
              <m:grow/>
            </m:dPr>
            <m:e>
              <m:r>
                <m:t>s</m:t>
              </m:r>
            </m:e>
          </m:d>
          <m:r>
            <m:rPr>
              <m:sty m:val="p"/>
            </m:rPr>
            <m:t>=</m:t>
          </m:r>
          <m:r>
            <m:rPr>
              <m:nor/>
              <m:sty m:val="p"/>
            </m:rPr>
            <m:t>true</m:t>
          </m:r>
          <m:r>
            <m:rPr>
              <m:sty m:val="p"/>
            </m:rPr>
            <m:t>.</m:t>
          </m:r>
        </m:oMath>
      </m:oMathPara>
    </w:p>
    <w:p>
      <w:r>
        <w:pict>
          <v:rect style="width:0;height:1.5pt" o:hralign="center" o:hrstd="t" o:hr="t"/>
        </w:pict>
      </w:r>
    </w:p>
    <w:bookmarkEnd w:id="95"/>
    <w:bookmarkEnd w:id="96"/>
    <w:bookmarkStart w:id="97" w:name="c.7-conclusion"/>
    <w:p>
      <w:pPr>
        <w:pStyle w:val="Heading2"/>
      </w:pPr>
      <w:r>
        <w:t xml:space="preserve">C.7 Conclusion</w:t>
      </w:r>
    </w:p>
    <w:p>
      <w:pPr>
        <w:pStyle w:val="FirstParagraph"/>
      </w:pPr>
      <w:r>
        <w:t xml:space="preserve">This appendix has resolved the tautology problem in the PLATO emergence definition by replacing the static predicate</w:t>
      </w:r>
      <w:r>
        <w:t xml:space="preserve"> </w:t>
      </w:r>
      <m:oMath>
        <m:sSub>
          <m:e>
            <m:r>
              <m:t>β</m:t>
            </m:r>
          </m:e>
          <m:sub>
            <m:r>
              <m:t>1</m:t>
            </m:r>
          </m:sub>
        </m:sSub>
        <m:r>
          <m:rPr>
            <m:sty m:val="p"/>
          </m:rPr>
          <m:t>&gt;</m:t>
        </m:r>
        <m:r>
          <m:t>0</m:t>
        </m:r>
      </m:oMath>
      <w:r>
        <w:t xml:space="preserve"> </w:t>
      </w:r>
      <w:r>
        <w:t xml:space="preserve">with a dynamic, derivative-based condition. The key results are:</w:t>
      </w:r>
    </w:p>
    <w:p>
      <w:pPr>
        <w:numPr>
          <w:ilvl w:val="0"/>
          <w:numId w:val="1006"/>
        </w:numPr>
      </w:pPr>
      <w:r>
        <w:rPr>
          <w:bCs/>
          <w:b/>
        </w:rPr>
        <w:t xml:space="preserve">Logical separation.</w:t>
      </w:r>
      <w:r>
        <w:t xml:space="preserve"> </w:t>
      </w:r>
      <w:r>
        <w:t xml:space="preserve">Emergence is defined behaviorally via Jensen-Shannon divergence of agent activity distributions. The topological signal</w:t>
      </w:r>
      <w:r>
        <w:t xml:space="preserve"> </w:t>
      </w:r>
      <m:oMath>
        <m:sSub>
          <m:e>
            <m:r>
              <m:t>Σ</m:t>
            </m:r>
          </m:e>
          <m:sub>
            <m:r>
              <m:rPr>
                <m:sty m:val="p"/>
              </m:rPr>
              <m:t>t</m:t>
            </m:r>
            <m:r>
              <m:rPr>
                <m:sty m:val="p"/>
              </m:rPr>
              <m:t>o</m:t>
            </m:r>
            <m:r>
              <m:rPr>
                <m:sty m:val="p"/>
              </m:rPr>
              <m:t>p</m:t>
            </m:r>
          </m:sub>
        </m:sSub>
        <m:d>
          <m:dPr>
            <m:begChr m:val="("/>
            <m:endChr m:val=")"/>
            <m:sepChr m:val=""/>
            <m:grow/>
          </m:dPr>
          <m:e>
            <m:r>
              <m:t>t</m:t>
            </m:r>
          </m:e>
        </m:d>
      </m:oMath>
      <w:r>
        <w:t xml:space="preserve"> </w:t>
      </w:r>
      <w:r>
        <w:t xml:space="preserve">is an independent predictor, not the definitional criterion.</w:t>
      </w:r>
    </w:p>
    <w:p>
      <w:pPr>
        <w:numPr>
          <w:ilvl w:val="0"/>
          <w:numId w:val="1006"/>
        </w:numPr>
      </w:pPr>
      <w:r>
        <w:rPr>
          <w:bCs/>
          <w:b/>
        </w:rPr>
        <w:t xml:space="preserve">Mathematical foundation.</w:t>
      </w:r>
      <w:r>
        <w:t xml:space="preserve"> </w:t>
      </w:r>
      <w:r>
        <w:t xml:space="preserve">The stability theorem of Cohen-Steiner, Edelsbrunner, and Harer guarantees that the birth-death dynamics of 1-cycles are robust descriptors of the communication graph, justifying their use as early warning signals.</w:t>
      </w:r>
    </w:p>
    <w:p>
      <w:pPr>
        <w:numPr>
          <w:ilvl w:val="0"/>
          <w:numId w:val="1006"/>
        </w:numPr>
      </w:pPr>
      <w:r>
        <w:rPr>
          <w:bCs/>
          <w:b/>
        </w:rPr>
        <w:t xml:space="preserve">Critical slowing down analogue.</w:t>
      </w:r>
      <w:r>
        <w:t xml:space="preserve"> </w:t>
      </w:r>
      <w:r>
        <w:t xml:space="preserve">The derivative</w:t>
      </w:r>
      <w:r>
        <w:t xml:space="preserve"> </w:t>
      </w:r>
      <m:oMath>
        <m:sSub>
          <m:e>
            <m:acc>
              <m:accPr>
                <m:chr m:val="̃"/>
              </m:accPr>
              <m:e>
                <m:r>
                  <m:t>β</m:t>
                </m:r>
              </m:e>
            </m:acc>
          </m:e>
          <m:sub>
            <m:r>
              <m:t>1</m:t>
            </m:r>
          </m:sub>
        </m:sSub>
        <m:r>
          <m:rPr>
            <m:sty m:val="p"/>
          </m:rPr>
          <m:t>′</m:t>
        </m:r>
        <m:d>
          <m:dPr>
            <m:begChr m:val="("/>
            <m:endChr m:val=")"/>
            <m:sepChr m:val=""/>
            <m:grow/>
          </m:dPr>
          <m:e>
            <m:r>
              <m:t>t</m:t>
            </m:r>
          </m:e>
        </m:d>
        <m:r>
          <m:rPr>
            <m:sty m:val="p"/>
          </m:rPr>
          <m:t>&gt;</m:t>
        </m:r>
        <m:r>
          <m:t>0</m:t>
        </m:r>
      </m:oMath>
      <w:r>
        <w:t xml:space="preserve"> </w:t>
      </w:r>
      <w:r>
        <w:t xml:space="preserve">is the topological counterpart of variance increase in classical CSD theory: both signal that the system is exploring new regions of its state/structure space.</w:t>
      </w:r>
    </w:p>
    <w:p>
      <w:pPr>
        <w:numPr>
          <w:ilvl w:val="0"/>
          <w:numId w:val="1006"/>
        </w:numPr>
      </w:pPr>
      <w:r>
        <w:rPr>
          <w:bCs/>
          <w:b/>
        </w:rPr>
        <w:t xml:space="preserve">Empirical parameterization.</w:t>
      </w:r>
      <w:r>
        <w:t xml:space="preserve"> </w:t>
      </w:r>
      <w:r>
        <w:t xml:space="preserve">The 2.7-second lag is not a free parameter but an empirically measured median structural-to-behavioral latency, consistent with graph-theoretic propagation bounds.</w:t>
      </w:r>
    </w:p>
    <w:p>
      <w:pPr>
        <w:numPr>
          <w:ilvl w:val="0"/>
          <w:numId w:val="1006"/>
        </w:numPr>
      </w:pPr>
      <w:r>
        <w:rPr>
          <w:bCs/>
          <w:b/>
        </w:rPr>
        <w:t xml:space="preserve">Complementarity with ML.</w:t>
      </w:r>
      <w:r>
        <w:t xml:space="preserve"> </w:t>
      </w:r>
      <w:r>
        <w:t xml:space="preserve">The topological predictor provides structural precondition detection with lead time; the ML classifier provides contemporaneous behavioral recognition. Their integration in the PLATO monitor yields a tiered detection architecture that is both theoretically grounded and practically effective.</w:t>
      </w:r>
    </w:p>
    <w:p>
      <w:pPr>
        <w:pStyle w:val="FirstParagraph"/>
      </w:pPr>
      <w:r>
        <w:t xml:space="preserve">The non-tautological definition permits falsification: one can now imagine an experiment in which</w:t>
      </w:r>
      <w:r>
        <w:t xml:space="preserve"> </w:t>
      </w:r>
      <m:oMath>
        <m:sSub>
          <m:e>
            <m:r>
              <m:t>Σ</m:t>
            </m:r>
          </m:e>
          <m:sub>
            <m:r>
              <m:rPr>
                <m:sty m:val="p"/>
              </m:rPr>
              <m:t>t</m:t>
            </m:r>
            <m:r>
              <m:rPr>
                <m:sty m:val="p"/>
              </m:rPr>
              <m:t>o</m:t>
            </m:r>
            <m:r>
              <m:rPr>
                <m:sty m:val="p"/>
              </m:rPr>
              <m:t>p</m:t>
            </m:r>
          </m:sub>
        </m:sSub>
        <m:d>
          <m:dPr>
            <m:begChr m:val="("/>
            <m:endChr m:val=")"/>
            <m:sepChr m:val=""/>
            <m:grow/>
          </m:dPr>
          <m:e>
            <m:r>
              <m:t>t</m:t>
            </m:r>
          </m:e>
        </m:d>
        <m:r>
          <m:rPr>
            <m:sty m:val="p"/>
          </m:rPr>
          <m:t>=</m:t>
        </m:r>
        <m:r>
          <m:rPr>
            <m:nor/>
            <m:sty m:val="p"/>
          </m:rPr>
          <m:t>true</m:t>
        </m:r>
      </m:oMath>
      <w:r>
        <w:t xml:space="preserve"> </w:t>
      </w:r>
      <w:r>
        <w:t xml:space="preserve">but no behavioral emergence follows (a false positive), or in which emergence occurs without any topological precursor (a missed structural signal). Both scenarios are empirically testable, which is precisely what a circular definition could not allow.</w:t>
      </w:r>
    </w:p>
    <w:p>
      <w:r>
        <w:pict>
          <v:rect style="width:0;height:1.5pt" o:hralign="center" o:hrstd="t" o:hr="t"/>
        </w:pict>
      </w:r>
    </w:p>
    <w:bookmarkEnd w:id="97"/>
    <w:bookmarkStart w:id="98" w:name="references-3"/>
    <w:p>
      <w:pPr>
        <w:pStyle w:val="Heading2"/>
      </w:pPr>
      <w:r>
        <w:t xml:space="preserve">References</w:t>
      </w:r>
    </w:p>
    <w:p>
      <w:pPr>
        <w:pStyle w:val="FirstParagraph"/>
      </w:pPr>
      <w:r>
        <w:t xml:space="preserve">[1]</w:t>
      </w:r>
      <w:r>
        <w:t xml:space="preserve"> </w:t>
      </w:r>
      <w:r>
        <w:rPr>
          <w:bCs/>
          <w:b/>
        </w:rPr>
        <w:t xml:space="preserve">D. Cohen-Steiner, H. Edelsbrunner, and J. Harer</w:t>
      </w:r>
      <w:r>
        <w:t xml:space="preserve">,</w:t>
      </w:r>
      <w:r>
        <w:t xml:space="preserve"> </w:t>
      </w:r>
      <w:r>
        <w:t xml:space="preserve">“</w:t>
      </w:r>
      <w:r>
        <w:t xml:space="preserve">Stability of Persistence Diagrams,</w:t>
      </w:r>
      <w:r>
        <w:t xml:space="preserve">”</w:t>
      </w:r>
      <w:r>
        <w:t xml:space="preserve"> </w:t>
      </w:r>
      <w:r>
        <w:rPr>
          <w:iCs/>
          <w:i/>
        </w:rPr>
        <w:t xml:space="preserve">Discrete &amp; Computational Geometry</w:t>
      </w:r>
      <w:r>
        <w:t xml:space="preserve">, vol. 37, no. 1, pp. 103–120, 2007. doi:10.1007/s00454-006-1276-5</w:t>
      </w:r>
    </w:p>
    <w:p>
      <w:pPr>
        <w:pStyle w:val="BodyText"/>
      </w:pPr>
      <w:r>
        <w:t xml:space="preserve">[2]</w:t>
      </w:r>
      <w:r>
        <w:t xml:space="preserve"> </w:t>
      </w:r>
      <w:r>
        <w:rPr>
          <w:bCs/>
          <w:b/>
        </w:rPr>
        <w:t xml:space="preserve">M. Scheffer, J. Bascompte, W. A. Brock, V. Brovkin, S. R. Carpenter, V. Dakos, H. Held, E. H. van Nes, M. Rietkerk, and G. Sugihara</w:t>
      </w:r>
      <w:r>
        <w:t xml:space="preserve">,</w:t>
      </w:r>
      <w:r>
        <w:t xml:space="preserve"> </w:t>
      </w:r>
      <w:r>
        <w:t xml:space="preserve">“</w:t>
      </w:r>
      <w:r>
        <w:t xml:space="preserve">Early-Warning Signals for Critical Transitions,</w:t>
      </w:r>
      <w:r>
        <w:t xml:space="preserve">”</w:t>
      </w:r>
      <w:r>
        <w:t xml:space="preserve"> </w:t>
      </w:r>
      <w:r>
        <w:rPr>
          <w:iCs/>
          <w:i/>
        </w:rPr>
        <w:t xml:space="preserve">Nature</w:t>
      </w:r>
      <w:r>
        <w:t xml:space="preserve">, vol. 461, no. 7260, pp. 53–59, 2009. doi:10.1038/nature08227</w:t>
      </w:r>
    </w:p>
    <w:p>
      <w:pPr>
        <w:pStyle w:val="BodyText"/>
      </w:pPr>
      <w:r>
        <w:t xml:space="preserve">[3]</w:t>
      </w:r>
      <w:r>
        <w:t xml:space="preserve"> </w:t>
      </w:r>
      <w:r>
        <w:rPr>
          <w:bCs/>
          <w:b/>
        </w:rPr>
        <w:t xml:space="preserve">M. Scheffer, S. R. Carpenter, T. M. Lenton, J. Bascompte, W. Brock, V. Dakos, J. van de Koppel, I. A. van de Leemput, S. A. Levin, E. H. van Nes, M. Pascual, and J. Vandermeer</w:t>
      </w:r>
      <w:r>
        <w:t xml:space="preserve">,</w:t>
      </w:r>
      <w:r>
        <w:t xml:space="preserve"> </w:t>
      </w:r>
      <w:r>
        <w:t xml:space="preserve">“</w:t>
      </w:r>
      <w:r>
        <w:t xml:space="preserve">Anticipating Critical Transitions,</w:t>
      </w:r>
      <w:r>
        <w:t xml:space="preserve">”</w:t>
      </w:r>
      <w:r>
        <w:t xml:space="preserve"> </w:t>
      </w:r>
      <w:r>
        <w:rPr>
          <w:iCs/>
          <w:i/>
        </w:rPr>
        <w:t xml:space="preserve">Science</w:t>
      </w:r>
      <w:r>
        <w:t xml:space="preserve">, vol. 338, no. 6105, pp. 344–348, 2012. doi:10.1126/science.1225244</w:t>
      </w:r>
    </w:p>
    <w:p>
      <w:pPr>
        <w:pStyle w:val="BodyText"/>
      </w:pPr>
      <w:r>
        <w:t xml:space="preserve">[4]</w:t>
      </w:r>
      <w:r>
        <w:t xml:space="preserve"> </w:t>
      </w:r>
      <w:r>
        <w:rPr>
          <w:bCs/>
          <w:b/>
        </w:rPr>
        <w:t xml:space="preserve">P. Bubenik</w:t>
      </w:r>
      <w:r>
        <w:t xml:space="preserve">,</w:t>
      </w:r>
      <w:r>
        <w:t xml:space="preserve"> </w:t>
      </w:r>
      <w:r>
        <w:t xml:space="preserve">“</w:t>
      </w:r>
      <w:r>
        <w:t xml:space="preserve">Statistical Topological Data Analysis using Persistence Landscapes,</w:t>
      </w:r>
      <w:r>
        <w:t xml:space="preserve">”</w:t>
      </w:r>
      <w:r>
        <w:t xml:space="preserve"> </w:t>
      </w:r>
      <w:r>
        <w:rPr>
          <w:iCs/>
          <w:i/>
        </w:rPr>
        <w:t xml:space="preserve">Journal of Machine Learning Research</w:t>
      </w:r>
      <w:r>
        <w:t xml:space="preserve">, vol. 16, no. 1, pp. 77–102, 2015.</w:t>
      </w:r>
    </w:p>
    <w:p>
      <w:pPr>
        <w:pStyle w:val="BodyText"/>
      </w:pPr>
      <w:r>
        <w:t xml:space="preserve">[5]</w:t>
      </w:r>
      <w:r>
        <w:t xml:space="preserve"> </w:t>
      </w:r>
      <w:r>
        <w:rPr>
          <w:bCs/>
          <w:b/>
        </w:rPr>
        <w:t xml:space="preserve">G. Carlsson</w:t>
      </w:r>
      <w:r>
        <w:t xml:space="preserve">,</w:t>
      </w:r>
      <w:r>
        <w:t xml:space="preserve"> </w:t>
      </w:r>
      <w:r>
        <w:t xml:space="preserve">“</w:t>
      </w:r>
      <w:r>
        <w:t xml:space="preserve">Topology and Data,</w:t>
      </w:r>
      <w:r>
        <w:t xml:space="preserve">”</w:t>
      </w:r>
      <w:r>
        <w:t xml:space="preserve"> </w:t>
      </w:r>
      <w:r>
        <w:rPr>
          <w:iCs/>
          <w:i/>
        </w:rPr>
        <w:t xml:space="preserve">Bulletin of the American Mathematical Society</w:t>
      </w:r>
      <w:r>
        <w:t xml:space="preserve">, vol. 46, no. 2, pp. 255–308, 2009. doi:10.1090/S0273-0979-09-01249-X</w:t>
      </w:r>
    </w:p>
    <w:p>
      <w:pPr>
        <w:pStyle w:val="BodyText"/>
      </w:pPr>
      <w:r>
        <w:t xml:space="preserve">[6]</w:t>
      </w:r>
      <w:r>
        <w:t xml:space="preserve"> </w:t>
      </w:r>
      <w:r>
        <w:rPr>
          <w:bCs/>
          <w:b/>
        </w:rPr>
        <w:t xml:space="preserve">H. Edelsbrunner and J. Harer</w:t>
      </w:r>
      <w:r>
        <w:t xml:space="preserve">,</w:t>
      </w:r>
      <w:r>
        <w:t xml:space="preserve"> </w:t>
      </w:r>
      <w:r>
        <w:rPr>
          <w:iCs/>
          <w:i/>
        </w:rPr>
        <w:t xml:space="preserve">Computational Topology: An Introduction</w:t>
      </w:r>
      <w:r>
        <w:t xml:space="preserve">, American Mathematical Society, 2010.</w:t>
      </w:r>
      <w:r>
        <w:t xml:space="preserve"> </w:t>
      </w:r>
      <w:r>
        <w:t xml:space="preserve"># APPENDIX D: Formal Complexity Analysis of Zero Holonomy Consensus</w:t>
      </w:r>
    </w:p>
    <w:p>
      <w:r>
        <w:pict>
          <v:rect style="width:0;height:1.5pt" o:hralign="center" o:hrstd="t" o:hr="t"/>
        </w:pict>
      </w:r>
    </w:p>
    <w:bookmarkEnd w:id="98"/>
    <w:bookmarkStart w:id="100" w:name="d.1-introduction-the-complexity-gap"/>
    <w:p>
      <w:pPr>
        <w:pStyle w:val="Heading2"/>
      </w:pPr>
      <w:r>
        <w:t xml:space="preserve">D.1 Introduction: The Complexity Gap</w:t>
      </w:r>
    </w:p>
    <w:p>
      <w:pPr>
        <w:pStyle w:val="FirstParagraph"/>
      </w:pPr>
      <w:r>
        <w:t xml:space="preserve">The body of this dissertation claims that Zero Holonomy Consensus (ZHC) achieves</w:t>
      </w:r>
      <w:r>
        <w:t xml:space="preserve"> </w:t>
      </w:r>
      <m:oMath>
        <m:r>
          <m:t>O</m:t>
        </m:r>
        <m:d>
          <m:dPr>
            <m:begChr m:val="("/>
            <m:endChr m:val=")"/>
            <m:sepChr m:val=""/>
            <m:grow/>
          </m:dPr>
          <m:e>
            <m:r>
              <m:t>1</m:t>
            </m:r>
          </m:e>
        </m:d>
      </m:oMath>
      <w:r>
        <w:rPr>
          <w:bCs/>
          <w:b/>
        </w:rPr>
        <w:t xml:space="preserve"> </w:t>
      </w:r>
      <w:r>
        <w:rPr>
          <w:bCs/>
          <w:b/>
        </w:rPr>
        <w:t xml:space="preserve">per-node message complexity</w:t>
      </w:r>
      <w:r>
        <w:t xml:space="preserve"> </w:t>
      </w:r>
      <w:r>
        <w:t xml:space="preserve">and</w:t>
      </w:r>
      <w:r>
        <w:t xml:space="preserve"> </w:t>
      </w:r>
      <m:oMath>
        <m:r>
          <m:t>38</m:t>
        </m:r>
        <m:r>
          <m:t> </m:t>
        </m:r>
        <m:r>
          <m:rPr>
            <m:nor/>
            <m:sty m:val="p"/>
          </m:rPr>
          <m:t>ms</m:t>
        </m:r>
      </m:oMath>
      <w:r>
        <w:rPr>
          <w:bCs/>
          <w:b/>
        </w:rPr>
        <w:t xml:space="preserve"> </w:t>
      </w:r>
      <w:r>
        <w:rPr>
          <w:bCs/>
          <w:b/>
        </w:rPr>
        <w:t xml:space="preserve">end-to-end latency</w:t>
      </w:r>
      <w:r>
        <w:t xml:space="preserve"> </w:t>
      </w:r>
      <w:r>
        <w:t xml:space="preserve">under practical network conditions. These claims, if taken at face value, place ZHC in a complexity class strictly superior to classical Byzantine Fault Tolerant (BFT) protocols such as PBFT (Castro &amp; Liskov, 1999)</w:t>
      </w:r>
      <w:r>
        <w:t xml:space="preserve"> </w:t>
      </w:r>
      <w:r>
        <w:rPr>
          <w:rStyle w:val="FootnoteReference"/>
        </w:rPr>
        <w:footnoteReference w:id="99"/>
      </w:r>
      <w:r>
        <w:t xml:space="preserve">, which incurs</w:t>
      </w:r>
      <w:r>
        <w:t xml:space="preserve"> </w:t>
      </w:r>
      <m:oMath>
        <m:r>
          <m:t>O</m:t>
        </m:r>
        <m:d>
          <m:dPr>
            <m:begChr m:val="("/>
            <m:endChr m:val=")"/>
            <m:sepChr m:val=""/>
            <m:grow/>
          </m:dPr>
          <m:e>
            <m:sSup>
              <m:e>
                <m:r>
                  <m:t>n</m:t>
                </m:r>
              </m:e>
              <m:sup>
                <m:r>
                  <m:t>2</m:t>
                </m:r>
              </m:sup>
            </m:sSup>
          </m:e>
        </m:d>
      </m:oMath>
      <w:r>
        <w:t xml:space="preserve"> </w:t>
      </w:r>
      <w:r>
        <w:t xml:space="preserve">message complexity per consensus round. Such a claim demands rigorous scrutiny. This appendix subjects the ZHC implementation to formal complexity analysis, identifies the gap between the dissertation’s optimistic assertions and the actual code in</w:t>
      </w:r>
      <w:r>
        <w:t xml:space="preserve"> </w:t>
      </w:r>
      <w:r>
        <w:rPr>
          <w:rStyle w:val="VerbatimChar"/>
        </w:rPr>
        <w:t xml:space="preserve">consensus.rs</w:t>
      </w:r>
      <w:r>
        <w:t xml:space="preserve">, and derives the honest asymptotic bounds under both naive and optimized implementations.</w:t>
      </w:r>
    </w:p>
    <w:p>
      <w:pPr>
        <w:pStyle w:val="BodyText"/>
      </w:pPr>
      <w:r>
        <w:t xml:space="preserve">The central tension is straightforward. The dissertation’s</w:t>
      </w:r>
      <w:r>
        <w:t xml:space="preserve"> </w:t>
      </w:r>
      <m:oMath>
        <m:r>
          <m:t>O</m:t>
        </m:r>
        <m:d>
          <m:dPr>
            <m:begChr m:val="("/>
            <m:endChr m:val=")"/>
            <m:sepChr m:val=""/>
            <m:grow/>
          </m:dPr>
          <m:e>
            <m:r>
              <m:t>1</m:t>
            </m:r>
          </m:e>
        </m:d>
      </m:oMath>
      <w:r>
        <w:t xml:space="preserve"> </w:t>
      </w:r>
      <w:r>
        <w:t xml:space="preserve">per-node claim presupposes that each agent performs a constant amount of work per consensus round: broadcast a single</w:t>
      </w:r>
      <w:r>
        <w:t xml:space="preserve"> </w:t>
      </w:r>
      <m:oMath>
        <m:r>
          <m:t>3</m:t>
        </m:r>
        <m:r>
          <m:rPr>
            <m:sty m:val="p"/>
          </m:rPr>
          <m:t>×</m:t>
        </m:r>
        <m:r>
          <m:t>3</m:t>
        </m:r>
      </m:oMath>
      <w:r>
        <w:t xml:space="preserve"> </w:t>
      </w:r>
      <w:r>
        <w:t xml:space="preserve">rotation matrix, receive</w:t>
      </w:r>
      <w:r>
        <w:t xml:space="preserve"> </w:t>
      </w:r>
      <m:oMath>
        <m:r>
          <m:t>O</m:t>
        </m:r>
        <m:d>
          <m:dPr>
            <m:begChr m:val="("/>
            <m:endChr m:val=")"/>
            <m:sepChr m:val=""/>
            <m:grow/>
          </m:dPr>
          <m:e>
            <m:r>
              <m:rPr>
                <m:sty m:val="p"/>
              </m:rPr>
              <m:t>deg</m:t>
            </m:r>
          </m:e>
        </m:d>
      </m:oMath>
      <w:r>
        <w:t xml:space="preserve"> </w:t>
      </w:r>
      <w:r>
        <w:t xml:space="preserve">matrices from neighbors, and verify cycle consistency. The actual Rust source, however, reveals a critical bottleneck in</w:t>
      </w:r>
      <w:r>
        <w:t xml:space="preserve"> </w:t>
      </w:r>
      <w:r>
        <w:rPr>
          <w:rStyle w:val="VerbatimChar"/>
        </w:rPr>
        <w:t xml:space="preserve">compute_cycle_holonomy</w:t>
      </w:r>
      <w:r>
        <w:t xml:space="preserve">: a</w:t>
      </w:r>
      <w:r>
        <w:t xml:space="preserve"> </w:t>
      </w:r>
      <w:r>
        <w:rPr>
          <w:bCs/>
          <w:b/>
        </w:rPr>
        <w:t xml:space="preserve">linear search</w:t>
      </w:r>
      <w:r>
        <w:t xml:space="preserve"> </w:t>
      </w:r>
      <w:r>
        <w:t xml:space="preserve">over the tile registry for every tile lookup inside every cycle. This transforms the per-node workload from constant to linear in the number of tiles</w:t>
      </w:r>
      <w:r>
        <w:t xml:space="preserve"> </w:t>
      </w:r>
      <m:oMath>
        <m:r>
          <m:t>N</m:t>
        </m:r>
      </m:oMath>
      <w:r>
        <w:t xml:space="preserve">. The gap is not a minor implementation detail; it is the difference between</w:t>
      </w:r>
      <w:r>
        <w:t xml:space="preserve"> </w:t>
      </w:r>
      <m:oMath>
        <m:r>
          <m:t>O</m:t>
        </m:r>
        <m:d>
          <m:dPr>
            <m:begChr m:val="("/>
            <m:endChr m:val=")"/>
            <m:sepChr m:val=""/>
            <m:grow/>
          </m:dPr>
          <m:e>
            <m:r>
              <m:t>C</m:t>
            </m:r>
            <m:r>
              <m:rPr>
                <m:sty m:val="p"/>
              </m:rPr>
              <m:t>⋅</m:t>
            </m:r>
            <m:r>
              <m:t>L</m:t>
            </m:r>
          </m:e>
        </m:d>
      </m:oMath>
      <w:r>
        <w:t xml:space="preserve"> </w:t>
      </w:r>
      <w:r>
        <w:t xml:space="preserve">and</w:t>
      </w:r>
      <w:r>
        <w:t xml:space="preserve"> </w:t>
      </w:r>
      <m:oMath>
        <m:r>
          <m:t>O</m:t>
        </m:r>
        <m:d>
          <m:dPr>
            <m:begChr m:val="("/>
            <m:endChr m:val=")"/>
            <m:sepChr m:val=""/>
            <m:grow/>
          </m:dPr>
          <m:e>
            <m:r>
              <m:t>C</m:t>
            </m:r>
            <m:r>
              <m:rPr>
                <m:sty m:val="p"/>
              </m:rPr>
              <m:t>⋅</m:t>
            </m:r>
            <m:r>
              <m:t>L</m:t>
            </m:r>
            <m:r>
              <m:rPr>
                <m:sty m:val="p"/>
              </m:rPr>
              <m:t>⋅</m:t>
            </m:r>
            <m:r>
              <m:t>N</m:t>
            </m:r>
          </m:e>
        </m:d>
      </m:oMath>
      <w:r>
        <w:t xml:space="preserve">, where</w:t>
      </w:r>
      <w:r>
        <w:t xml:space="preserve"> </w:t>
      </w:r>
      <m:oMath>
        <m:r>
          <m:t>C</m:t>
        </m:r>
      </m:oMath>
      <w:r>
        <w:t xml:space="preserve"> </w:t>
      </w:r>
      <w:r>
        <w:t xml:space="preserve">is the number of consistency cycles and</w:t>
      </w:r>
      <w:r>
        <w:t xml:space="preserve"> </w:t>
      </w:r>
      <m:oMath>
        <m:r>
          <m:t>L</m:t>
        </m:r>
      </m:oMath>
      <w:r>
        <w:t xml:space="preserve"> </w:t>
      </w:r>
      <w:r>
        <w:t xml:space="preserve">is the average cycle length. For a fleet of</w:t>
      </w:r>
      <w:r>
        <w:t xml:space="preserve"> </w:t>
      </w:r>
      <m:oMath>
        <m:r>
          <m:t>N</m:t>
        </m:r>
        <m:r>
          <m:rPr>
            <m:sty m:val="p"/>
          </m:rPr>
          <m:t>=</m:t>
        </m:r>
        <m:r>
          <m:t>100</m:t>
        </m:r>
      </m:oMath>
      <w:r>
        <w:t xml:space="preserve"> </w:t>
      </w:r>
      <w:r>
        <w:t xml:space="preserve">agents with</w:t>
      </w:r>
      <w:r>
        <w:t xml:space="preserve"> </w:t>
      </w:r>
      <m:oMath>
        <m:r>
          <m:t>C</m:t>
        </m:r>
        <m:r>
          <m:rPr>
            <m:sty m:val="p"/>
          </m:rPr>
          <m:t>=</m:t>
        </m:r>
        <m:r>
          <m:t>O</m:t>
        </m:r>
        <m:d>
          <m:dPr>
            <m:begChr m:val="("/>
            <m:endChr m:val=")"/>
            <m:sepChr m:val=""/>
            <m:grow/>
          </m:dPr>
          <m:e>
            <m:r>
              <m:t>N</m:t>
            </m:r>
          </m:e>
        </m:d>
      </m:oMath>
      <w:r>
        <w:t xml:space="preserve"> </w:t>
      </w:r>
      <w:r>
        <w:t xml:space="preserve">cycles of length</w:t>
      </w:r>
      <w:r>
        <w:t xml:space="preserve"> </w:t>
      </w:r>
      <m:oMath>
        <m:r>
          <m:t>L</m:t>
        </m:r>
        <m:r>
          <m:rPr>
            <m:sty m:val="p"/>
          </m:rPr>
          <m:t>=</m:t>
        </m:r>
        <m:r>
          <m:t>O</m:t>
        </m:r>
        <m:d>
          <m:dPr>
            <m:begChr m:val="("/>
            <m:endChr m:val=")"/>
            <m:sepChr m:val=""/>
            <m:grow/>
          </m:dPr>
          <m:e>
            <m:r>
              <m:t>1</m:t>
            </m:r>
          </m:e>
        </m:d>
      </m:oMath>
      <w:r>
        <w:t xml:space="preserve">, this is the difference between</w:t>
      </w:r>
      <w:r>
        <w:t xml:space="preserve"> </w:t>
      </w:r>
      <m:oMath>
        <m:r>
          <m:t>O</m:t>
        </m:r>
        <m:d>
          <m:dPr>
            <m:begChr m:val="("/>
            <m:endChr m:val=")"/>
            <m:sepChr m:val=""/>
            <m:grow/>
          </m:dPr>
          <m:e>
            <m:r>
              <m:t>N</m:t>
            </m:r>
          </m:e>
        </m:d>
      </m:oMath>
      <w:r>
        <w:t xml:space="preserve"> </w:t>
      </w:r>
      <w:r>
        <w:t xml:space="preserve">and</w:t>
      </w:r>
      <w:r>
        <w:t xml:space="preserve"> </w:t>
      </w:r>
      <m:oMath>
        <m:r>
          <m:t>O</m:t>
        </m:r>
        <m:d>
          <m:dPr>
            <m:begChr m:val="("/>
            <m:endChr m:val=")"/>
            <m:sepChr m:val=""/>
            <m:grow/>
          </m:dPr>
          <m:e>
            <m:sSup>
              <m:e>
                <m:r>
                  <m:t>N</m:t>
                </m:r>
              </m:e>
              <m:sup>
                <m:r>
                  <m:t>2</m:t>
                </m:r>
              </m:sup>
            </m:sSup>
          </m:e>
        </m:d>
      </m:oMath>
      <w:r>
        <w:t xml:space="preserve"> </w:t>
      </w:r>
      <w:r>
        <w:t xml:space="preserve">total work.</w:t>
      </w:r>
    </w:p>
    <w:p>
      <w:pPr>
        <w:pStyle w:val="BodyText"/>
      </w:pPr>
      <w:r>
        <w:t xml:space="preserve">This appendix proceeds as follows. Section D.2 presents the naive implementation exactly as it appears in the source, derives its</w:t>
      </w:r>
      <w:r>
        <w:t xml:space="preserve"> </w:t>
      </w:r>
      <m:oMath>
        <m:r>
          <m:t>O</m:t>
        </m:r>
        <m:d>
          <m:dPr>
            <m:begChr m:val="("/>
            <m:endChr m:val=")"/>
            <m:sepChr m:val=""/>
            <m:grow/>
          </m:dPr>
          <m:e>
            <m:r>
              <m:t>C</m:t>
            </m:r>
            <m:r>
              <m:rPr>
                <m:sty m:val="p"/>
              </m:rPr>
              <m:t>⋅</m:t>
            </m:r>
            <m:r>
              <m:t>L</m:t>
            </m:r>
            <m:r>
              <m:rPr>
                <m:sty m:val="p"/>
              </m:rPr>
              <m:t>⋅</m:t>
            </m:r>
            <m:r>
              <m:t>N</m:t>
            </m:r>
          </m:e>
        </m:d>
      </m:oMath>
      <w:r>
        <w:t xml:space="preserve"> </w:t>
      </w:r>
      <w:r>
        <w:t xml:space="preserve">complexity, and identifies the linear tile lookup as the dominant term. Section D.3 introduces the standard</w:t>
      </w:r>
      <w:r>
        <w:t xml:space="preserve"> </w:t>
      </w:r>
      <m:oMath>
        <m:r>
          <m:t>O</m:t>
        </m:r>
        <m:d>
          <m:dPr>
            <m:begChr m:val="("/>
            <m:endChr m:val=")"/>
            <m:sepChr m:val=""/>
            <m:grow/>
          </m:dPr>
          <m:e>
            <m:r>
              <m:t>1</m:t>
            </m:r>
          </m:e>
        </m:d>
      </m:oMath>
      <w:r>
        <w:t xml:space="preserve"> </w:t>
      </w:r>
      <w:r>
        <w:t xml:space="preserve">HashMap optimization, reducing the bound to</w:t>
      </w:r>
      <w:r>
        <w:t xml:space="preserve"> </w:t>
      </w:r>
      <m:oMath>
        <m:r>
          <m:t>O</m:t>
        </m:r>
        <m:d>
          <m:dPr>
            <m:begChr m:val="("/>
            <m:endChr m:val=")"/>
            <m:sepChr m:val=""/>
            <m:grow/>
          </m:dPr>
          <m:e>
            <m:r>
              <m:t>C</m:t>
            </m:r>
            <m:r>
              <m:rPr>
                <m:sty m:val="p"/>
              </m:rPr>
              <m:t>⋅</m:t>
            </m:r>
            <m:r>
              <m:t>L</m:t>
            </m:r>
          </m:e>
        </m:d>
      </m:oMath>
      <w:r>
        <w:t xml:space="preserve"> </w:t>
      </w:r>
      <w:r>
        <w:t xml:space="preserve">and recovering the dissertation’s claimed per-node message complexity. Section D.4 analyzes cycle discovery via</w:t>
      </w:r>
      <w:r>
        <w:t xml:space="preserve"> </w:t>
      </w:r>
      <w:r>
        <w:rPr>
          <w:rStyle w:val="VerbatimChar"/>
        </w:rPr>
        <w:t xml:space="preserve">find_all_cycles()</w:t>
      </w:r>
      <w:r>
        <w:t xml:space="preserve">, showing that worst-case cycle enumeration is exponential in</w:t>
      </w:r>
      <w:r>
        <w:t xml:space="preserve"> </w:t>
      </w:r>
      <m:oMath>
        <m:r>
          <m:t>N</m:t>
        </m:r>
      </m:oMath>
      <w:r>
        <w:t xml:space="preserve">, but becomes</w:t>
      </w:r>
      <w:r>
        <w:t xml:space="preserve"> </w:t>
      </w:r>
      <m:oMath>
        <m:r>
          <m:t>O</m:t>
        </m:r>
        <m:d>
          <m:dPr>
            <m:begChr m:val="("/>
            <m:endChr m:val=")"/>
            <m:sepChr m:val=""/>
            <m:grow/>
          </m:dPr>
          <m:e>
            <m:r>
              <m:t>N</m:t>
            </m:r>
          </m:e>
        </m:d>
      </m:oMath>
      <w:r>
        <w:t xml:space="preserve"> </w:t>
      </w:r>
      <w:r>
        <w:t xml:space="preserve">under the bounded-degree constraint (</w:t>
      </w:r>
      <m:oMath>
        <m:r>
          <m:rPr>
            <m:sty m:val="p"/>
          </m:rPr>
          <m:t>deg</m:t>
        </m:r>
        <m:r>
          <m:rPr>
            <m:sty m:val="p"/>
          </m:rPr>
          <m:t>≤</m:t>
        </m:r>
        <m:r>
          <m:t>12</m:t>
        </m:r>
      </m:oMath>
      <w:r>
        <w:t xml:space="preserve">) imposed by 3D bearing rigidity. Section D.5 provides a formal walkthrough of PBFT’s three-phase commit, establishing the</w:t>
      </w:r>
      <w:r>
        <w:t xml:space="preserve"> </w:t>
      </w:r>
      <m:oMath>
        <m:r>
          <m:t>O</m:t>
        </m:r>
        <m:d>
          <m:dPr>
            <m:begChr m:val="("/>
            <m:endChr m:val=")"/>
            <m:sepChr m:val=""/>
            <m:grow/>
          </m:dPr>
          <m:e>
            <m:sSup>
              <m:e>
                <m:r>
                  <m:t>n</m:t>
                </m:r>
              </m:e>
              <m:sup>
                <m:r>
                  <m:t>2</m:t>
                </m:r>
              </m:sup>
            </m:sSup>
          </m:e>
        </m:d>
      </m:oMath>
      <w:r>
        <w:t xml:space="preserve"> </w:t>
      </w:r>
      <w:r>
        <w:t xml:space="preserve">message lower bound against which ZHC is compared. Section D.6 presents a head-to-head comparison table. Section D.7 decomposes the</w:t>
      </w:r>
      <w:r>
        <w:t xml:space="preserve"> </w:t>
      </w:r>
      <m:oMath>
        <m:r>
          <m:t>38</m:t>
        </m:r>
        <m:r>
          <m:t> </m:t>
        </m:r>
        <m:r>
          <m:rPr>
            <m:nor/>
            <m:sty m:val="p"/>
          </m:rPr>
          <m:t>ms</m:t>
        </m:r>
      </m:oMath>
      <w:r>
        <w:t xml:space="preserve"> </w:t>
      </w:r>
      <w:r>
        <w:t xml:space="preserve">claim into its computational and network components, showing that the bound reflects measured end-to-end latency dominated by network overhead, not by the sub-microsecond matrix arithmetic. Section D.8 concludes with a statement of the honest complexity class to which ZHC belongs.</w:t>
      </w:r>
    </w:p>
    <w:p>
      <w:r>
        <w:pict>
          <v:rect style="width:0;height:1.5pt" o:hralign="center" o:hrstd="t" o:hr="t"/>
        </w:pict>
      </w:r>
    </w:p>
    <w:bookmarkEnd w:id="100"/>
    <w:bookmarkStart w:id="101" w:name="d.2-the-naive-implementation"/>
    <w:p>
      <w:pPr>
        <w:pStyle w:val="Heading2"/>
      </w:pPr>
      <w:r>
        <w:t xml:space="preserve">D.2 The Naive Implementation</w:t>
      </w:r>
    </w:p>
    <w:p>
      <w:pPr>
        <w:pStyle w:val="FirstParagraph"/>
      </w:pPr>
      <w:r>
        <w:t xml:space="preserve">Consider the function</w:t>
      </w:r>
      <w:r>
        <w:t xml:space="preserve"> </w:t>
      </w:r>
      <w:r>
        <w:rPr>
          <w:rStyle w:val="VerbatimChar"/>
        </w:rPr>
        <w:t xml:space="preserve">compute_cycle_holonomy</w:t>
      </w:r>
      <w:r>
        <w:t xml:space="preserve"> </w:t>
      </w:r>
      <w:r>
        <w:t xml:space="preserve">as extracted from</w:t>
      </w:r>
      <w:r>
        <w:t xml:space="preserve"> </w:t>
      </w:r>
      <w:r>
        <w:rPr>
          <w:rStyle w:val="VerbatimChar"/>
        </w:rPr>
        <w:t xml:space="preserve">consensus.rs</w:t>
      </w:r>
      <w:r>
        <w:t xml:space="preserve">:</w:t>
      </w:r>
    </w:p>
    <w:p>
      <w:pPr>
        <w:pStyle w:val="SourceCode"/>
      </w:pPr>
      <w:r>
        <w:rPr>
          <w:rStyle w:val="KeywordTok"/>
        </w:rPr>
        <w:t xml:space="preserve">fn</w:t>
      </w:r>
      <w:r>
        <w:rPr>
          <w:rStyle w:val="NormalTok"/>
        </w:rPr>
        <w:t xml:space="preserve"> compute_cycle_holonomy(</w:t>
      </w:r>
      <w:r>
        <w:rPr>
          <w:rStyle w:val="OperatorTok"/>
        </w:rPr>
        <w:t xml:space="preserve">&amp;</w:t>
      </w:r>
      <w:r>
        <w:rPr>
          <w:rStyle w:val="KeywordTok"/>
        </w:rPr>
        <w:t xml:space="preserve">self</w:t>
      </w:r>
      <w:r>
        <w:rPr>
          <w:rStyle w:val="OperatorTok"/>
        </w:rPr>
        <w:t xml:space="preserve">,</w:t>
      </w:r>
      <w:r>
        <w:rPr>
          <w:rStyle w:val="NormalTok"/>
        </w:rPr>
        <w:t xml:space="preserve"> cycle</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u64</w:t>
      </w:r>
      <w:r>
        <w:rPr>
          <w:rStyle w:val="NormalTok"/>
        </w:rPr>
        <w:t xml:space="preserve">]) </w:t>
      </w:r>
      <w:r>
        <w:rPr>
          <w:rStyle w:val="OperatorTok"/>
        </w:rPr>
        <w:t xml:space="preserve">-&gt;</w:t>
      </w:r>
      <w:r>
        <w:rPr>
          <w:rStyle w:val="NormalTok"/>
        </w:rPr>
        <w:t xml:space="preserve"> HolonomyMatrix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product </w:t>
      </w:r>
      <w:r>
        <w:rPr>
          <w:rStyle w:val="OperatorTok"/>
        </w:rPr>
        <w:t xml:space="preserve">=</w:t>
      </w:r>
      <w:r>
        <w:rPr>
          <w:rStyle w:val="NormalTok"/>
        </w:rPr>
        <w:t xml:space="preserve"> </w:t>
      </w:r>
      <w:r>
        <w:rPr>
          <w:rStyle w:val="PreprocessorTok"/>
        </w:rPr>
        <w:t xml:space="preserve">HolonomyMatrix::</w:t>
      </w:r>
      <w:r>
        <w:rPr>
          <w:rStyle w:val="NormalTok"/>
        </w:rPr>
        <w:t xml:space="preserve">identity()</w:t>
      </w:r>
      <w:r>
        <w:rPr>
          <w:rStyle w:val="OperatorTok"/>
        </w:rPr>
        <w:t xml:space="preserve">;</w:t>
      </w:r>
      <w:r>
        <w:br/>
      </w:r>
      <w:r>
        <w:rPr>
          <w:rStyle w:val="NormalTok"/>
        </w:rPr>
        <w:t xml:space="preserve">    </w:t>
      </w:r>
      <w:r>
        <w:rPr>
          <w:rStyle w:val="ControlFlowTok"/>
        </w:rPr>
        <w:t xml:space="preserve">for</w:t>
      </w:r>
      <w:r>
        <w:rPr>
          <w:rStyle w:val="NormalTok"/>
        </w:rPr>
        <w:t xml:space="preserve"> tile_id </w:t>
      </w:r>
      <w:r>
        <w:rPr>
          <w:rStyle w:val="KeywordTok"/>
        </w:rPr>
        <w:t xml:space="preserve">in</w:t>
      </w:r>
      <w:r>
        <w:rPr>
          <w:rStyle w:val="NormalTok"/>
        </w:rPr>
        <w:t xml:space="preserve"> cycle </w:t>
      </w:r>
      <w:r>
        <w:rPr>
          <w:rStyle w:val="OperatorTok"/>
        </w:rPr>
        <w:t xml:space="preserve">{</w:t>
      </w:r>
      <w:r>
        <w:br/>
      </w:r>
      <w:r>
        <w:rPr>
          <w:rStyle w:val="NormalTok"/>
        </w:rPr>
        <w:t xml:space="preserve">        </w:t>
      </w:r>
      <w:r>
        <w:rPr>
          <w:rStyle w:val="CommentTok"/>
        </w:rPr>
        <w:t xml:space="preserve">// LINEAR SEARCH: O(N) per tile lookup!</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ConstantTok"/>
        </w:rPr>
        <w:t xml:space="preserve">Some</w:t>
      </w:r>
      <w:r>
        <w:rPr>
          <w:rStyle w:val="NormalTok"/>
        </w:rPr>
        <w:t xml:space="preserve">(tile)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tiles</w:t>
      </w:r>
      <w:r>
        <w:rPr>
          <w:rStyle w:val="OperatorTok"/>
        </w:rPr>
        <w:t xml:space="preserve">.</w:t>
      </w:r>
      <w:r>
        <w:rPr>
          <w:rStyle w:val="NormalTok"/>
        </w:rPr>
        <w:t xml:space="preserve">iter()</w:t>
      </w:r>
      <w:r>
        <w:rPr>
          <w:rStyle w:val="OperatorTok"/>
        </w:rPr>
        <w:t xml:space="preserve">.</w:t>
      </w:r>
      <w:r>
        <w:rPr>
          <w:rStyle w:val="NormalTok"/>
        </w:rPr>
        <w:t xml:space="preserve">find(</w:t>
      </w:r>
      <w:r>
        <w:rPr>
          <w:rStyle w:val="OperatorTok"/>
        </w:rPr>
        <w:t xml:space="preserve">|</w:t>
      </w:r>
      <w:r>
        <w:rPr>
          <w:rStyle w:val="NormalTok"/>
        </w:rPr>
        <w:t xml:space="preserve">t</w:t>
      </w:r>
      <w:r>
        <w:rPr>
          <w:rStyle w:val="OperatorTok"/>
        </w:rPr>
        <w:t xml:space="preserve">|</w:t>
      </w:r>
      <w:r>
        <w:rPr>
          <w:rStyle w:val="NormalTok"/>
        </w:rPr>
        <w:t xml:space="preserve"> t</w:t>
      </w:r>
      <w:r>
        <w:rPr>
          <w:rStyle w:val="OperatorTok"/>
        </w:rPr>
        <w:t xml:space="preserve">.</w:t>
      </w:r>
      <w:r>
        <w:rPr>
          <w:rStyle w:val="NormalTok"/>
        </w:rPr>
        <w:t xml:space="preserve">id </w:t>
      </w:r>
      <w:r>
        <w:rPr>
          <w:rStyle w:val="OperatorTok"/>
        </w:rPr>
        <w:t xml:space="preserve">==</w:t>
      </w:r>
      <w:r>
        <w:rPr>
          <w:rStyle w:val="NormalTok"/>
        </w:rPr>
        <w:t xml:space="preserve"> </w:t>
      </w:r>
      <w:r>
        <w:rPr>
          <w:rStyle w:val="OperatorTok"/>
        </w:rPr>
        <w:t xml:space="preserve">*</w:t>
      </w:r>
      <w:r>
        <w:rPr>
          <w:rStyle w:val="NormalTok"/>
        </w:rPr>
        <w:t xml:space="preserve">tile_id) </w:t>
      </w:r>
      <w:r>
        <w:rPr>
          <w:rStyle w:val="OperatorTok"/>
        </w:rPr>
        <w:t xml:space="preserve">{</w:t>
      </w:r>
      <w:r>
        <w:br/>
      </w:r>
      <w:r>
        <w:rPr>
          <w:rStyle w:val="NormalTok"/>
        </w:rPr>
        <w:t xml:space="preserve">            product </w:t>
      </w:r>
      <w:r>
        <w:rPr>
          <w:rStyle w:val="OperatorTok"/>
        </w:rPr>
        <w:t xml:space="preserve">=</w:t>
      </w:r>
      <w:r>
        <w:rPr>
          <w:rStyle w:val="NormalTok"/>
        </w:rPr>
        <w:t xml:space="preserve"> product</w:t>
      </w:r>
      <w:r>
        <w:rPr>
          <w:rStyle w:val="OperatorTok"/>
        </w:rPr>
        <w:t xml:space="preserve">.</w:t>
      </w:r>
      <w:r>
        <w:rPr>
          <w:rStyle w:val="NormalTok"/>
        </w:rPr>
        <w:t xml:space="preserve">multiply(</w:t>
      </w:r>
      <w:r>
        <w:rPr>
          <w:rStyle w:val="OperatorTok"/>
        </w:rPr>
        <w:t xml:space="preserve">&amp;</w:t>
      </w:r>
      <w:r>
        <w:rPr>
          <w:rStyle w:val="NormalTok"/>
        </w:rPr>
        <w:t xml:space="preserve">tile</w:t>
      </w:r>
      <w:r>
        <w:rPr>
          <w:rStyle w:val="OperatorTok"/>
        </w:rPr>
        <w:t xml:space="preserve">.</w:t>
      </w:r>
      <w:r>
        <w:rPr>
          <w:rStyle w:val="NormalTok"/>
        </w:rPr>
        <w:t xml:space="preserve">holonomy)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product</w:t>
      </w:r>
      <w:r>
        <w:br/>
      </w:r>
      <w:r>
        <w:rPr>
          <w:rStyle w:val="OperatorTok"/>
        </w:rPr>
        <w:t xml:space="preserve">}</w:t>
      </w:r>
    </w:p>
    <w:p>
      <w:pPr>
        <w:pStyle w:val="FirstParagraph"/>
      </w:pPr>
      <w:r>
        <w:t xml:space="preserve">Let</w:t>
      </w:r>
      <w:r>
        <w:t xml:space="preserve"> </w:t>
      </w:r>
      <m:oMath>
        <m:r>
          <m:t>N</m:t>
        </m:r>
        <m:r>
          <m:rPr>
            <m:sty m:val="p"/>
          </m:rPr>
          <m:t>=</m:t>
        </m:r>
        <m:d>
          <m:dPr>
            <m:begChr m:val="|"/>
            <m:endChr m:val="|"/>
            <m:sepChr m:val=""/>
            <m:grow/>
          </m:dPr>
          <m:e>
            <m:r>
              <m:rPr>
                <m:nor/>
                <m:sty m:val="p"/>
              </m:rPr>
              <m:t>tiles</m:t>
            </m:r>
          </m:e>
        </m:d>
      </m:oMath>
      <w:r>
        <w:t xml:space="preserve"> </w:t>
      </w:r>
      <w:r>
        <w:t xml:space="preserve">denote the total number of tiles (agents) in the consensus group. Let</w:t>
      </w:r>
      <w:r>
        <w:t xml:space="preserve"> </w:t>
      </w:r>
      <m:oMath>
        <m:r>
          <m:t>C</m:t>
        </m:r>
      </m:oMath>
      <w:r>
        <w:t xml:space="preserve"> </w:t>
      </w:r>
      <w:r>
        <w:t xml:space="preserve">denote the number of cycles enumerated by</w:t>
      </w:r>
      <w:r>
        <w:t xml:space="preserve"> </w:t>
      </w:r>
      <w:r>
        <w:rPr>
          <w:rStyle w:val="VerbatimChar"/>
        </w:rPr>
        <w:t xml:space="preserve">find_all_cycles()</w:t>
      </w:r>
      <w:r>
        <w:t xml:space="preserve">, and let</w:t>
      </w:r>
      <w:r>
        <w:t xml:space="preserve"> </w:t>
      </w:r>
      <m:oMath>
        <m:sSub>
          <m:e>
            <m:r>
              <m:t>L</m:t>
            </m:r>
          </m:e>
          <m:sub>
            <m:r>
              <m:t>i</m:t>
            </m:r>
          </m:sub>
        </m:sSub>
      </m:oMath>
      <w:r>
        <w:t xml:space="preserve"> </w:t>
      </w:r>
      <w:r>
        <w:t xml:space="preserve">denote the length of the</w:t>
      </w:r>
      <w:r>
        <w:t xml:space="preserve"> </w:t>
      </w:r>
      <m:oMath>
        <m:r>
          <m:t>i</m:t>
        </m:r>
      </m:oMath>
      <w:r>
        <w:t xml:space="preserve">-th cycle, with average length</w:t>
      </w:r>
      <w:r>
        <w:t xml:space="preserve"> </w:t>
      </w:r>
      <m:oMath>
        <m:r>
          <m:t>L</m:t>
        </m:r>
        <m:r>
          <m:rPr>
            <m:sty m:val="p"/>
          </m:rPr>
          <m:t>=</m:t>
        </m:r>
        <m:f>
          <m:fPr>
            <m:type m:val="bar"/>
          </m:fPr>
          <m:num>
            <m:r>
              <m:t>1</m:t>
            </m:r>
          </m:num>
          <m:den>
            <m:r>
              <m:t>C</m:t>
            </m:r>
          </m:den>
        </m:f>
        <m:nary>
          <m:naryPr>
            <m:chr m:val="∑"/>
            <m:limLoc m:val="undOvr"/>
            <m:subHide m:val="0"/>
            <m:supHide m:val="0"/>
          </m:naryPr>
          <m:sub>
            <m:r>
              <m:t>i</m:t>
            </m:r>
            <m:r>
              <m:rPr>
                <m:sty m:val="p"/>
              </m:rPr>
              <m:t>=</m:t>
            </m:r>
            <m:r>
              <m:t>1</m:t>
            </m:r>
          </m:sub>
          <m:sup>
            <m:r>
              <m:t>C</m:t>
            </m:r>
          </m:sup>
          <m:e>
            <m:sSub>
              <m:e>
                <m:r>
                  <m:t>L</m:t>
                </m:r>
              </m:e>
              <m:sub>
                <m:r>
                  <m:t>i</m:t>
                </m:r>
              </m:sub>
            </m:sSub>
          </m:e>
        </m:nary>
      </m:oMath>
      <w:r>
        <w:t xml:space="preserve">. The holonomy verification loop invokes</w:t>
      </w:r>
      <w:r>
        <w:t xml:space="preserve"> </w:t>
      </w:r>
      <w:r>
        <w:rPr>
          <w:rStyle w:val="VerbatimChar"/>
        </w:rPr>
        <w:t xml:space="preserve">compute_cycle_holonomy</w:t>
      </w:r>
      <w:r>
        <w:t xml:space="preserve"> </w:t>
      </w:r>
      <w:r>
        <w:t xml:space="preserve">once per cycle. Inside each invocation, the outer loop iterates</w:t>
      </w:r>
      <w:r>
        <w:t xml:space="preserve"> </w:t>
      </w:r>
      <m:oMath>
        <m:sSub>
          <m:e>
            <m:r>
              <m:t>L</m:t>
            </m:r>
          </m:e>
          <m:sub>
            <m:r>
              <m:t>i</m:t>
            </m:r>
          </m:sub>
        </m:sSub>
      </m:oMath>
      <w:r>
        <w:t xml:space="preserve"> </w:t>
      </w:r>
      <w:r>
        <w:t xml:space="preserve">times. For each iteration, the expression:</w:t>
      </w:r>
    </w:p>
    <w:p>
      <w:pPr>
        <w:pStyle w:val="SourceCode"/>
      </w:pPr>
      <w:r>
        <w:rPr>
          <w:rStyle w:val="KeywordTok"/>
        </w:rPr>
        <w:t xml:space="preserve">self</w:t>
      </w:r>
      <w:r>
        <w:rPr>
          <w:rStyle w:val="OperatorTok"/>
        </w:rPr>
        <w:t xml:space="preserve">.</w:t>
      </w:r>
      <w:r>
        <w:rPr>
          <w:rStyle w:val="NormalTok"/>
        </w:rPr>
        <w:t xml:space="preserve">tiles</w:t>
      </w:r>
      <w:r>
        <w:rPr>
          <w:rStyle w:val="OperatorTok"/>
        </w:rPr>
        <w:t xml:space="preserve">.</w:t>
      </w:r>
      <w:r>
        <w:rPr>
          <w:rStyle w:val="NormalTok"/>
        </w:rPr>
        <w:t xml:space="preserve">iter()</w:t>
      </w:r>
      <w:r>
        <w:rPr>
          <w:rStyle w:val="OperatorTok"/>
        </w:rPr>
        <w:t xml:space="preserve">.</w:t>
      </w:r>
      <w:r>
        <w:rPr>
          <w:rStyle w:val="NormalTok"/>
        </w:rPr>
        <w:t xml:space="preserve">find(</w:t>
      </w:r>
      <w:r>
        <w:rPr>
          <w:rStyle w:val="OperatorTok"/>
        </w:rPr>
        <w:t xml:space="preserve">|</w:t>
      </w:r>
      <w:r>
        <w:rPr>
          <w:rStyle w:val="NormalTok"/>
        </w:rPr>
        <w:t xml:space="preserve">t</w:t>
      </w:r>
      <w:r>
        <w:rPr>
          <w:rStyle w:val="OperatorTok"/>
        </w:rPr>
        <w:t xml:space="preserve">|</w:t>
      </w:r>
      <w:r>
        <w:rPr>
          <w:rStyle w:val="NormalTok"/>
        </w:rPr>
        <w:t xml:space="preserve"> t</w:t>
      </w:r>
      <w:r>
        <w:rPr>
          <w:rStyle w:val="OperatorTok"/>
        </w:rPr>
        <w:t xml:space="preserve">.</w:t>
      </w:r>
      <w:r>
        <w:rPr>
          <w:rStyle w:val="NormalTok"/>
        </w:rPr>
        <w:t xml:space="preserve">id </w:t>
      </w:r>
      <w:r>
        <w:rPr>
          <w:rStyle w:val="OperatorTok"/>
        </w:rPr>
        <w:t xml:space="preserve">==</w:t>
      </w:r>
      <w:r>
        <w:rPr>
          <w:rStyle w:val="NormalTok"/>
        </w:rPr>
        <w:t xml:space="preserve"> </w:t>
      </w:r>
      <w:r>
        <w:rPr>
          <w:rStyle w:val="OperatorTok"/>
        </w:rPr>
        <w:t xml:space="preserve">*</w:t>
      </w:r>
      <w:r>
        <w:rPr>
          <w:rStyle w:val="NormalTok"/>
        </w:rPr>
        <w:t xml:space="preserve">tile_id)</w:t>
      </w:r>
    </w:p>
    <w:p>
      <w:pPr>
        <w:pStyle w:val="FirstParagraph"/>
      </w:pPr>
      <w:r>
        <w:t xml:space="preserve">performs a linear scan over the</w:t>
      </w:r>
      <w:r>
        <w:t xml:space="preserve"> </w:t>
      </w:r>
      <w:r>
        <w:rPr>
          <w:rStyle w:val="VerbatimChar"/>
        </w:rPr>
        <w:t xml:space="preserve">Vec&lt;ConsensusTile&gt;</w:t>
      </w:r>
      <w:r>
        <w:t xml:space="preserve"> </w:t>
      </w:r>
      <w:r>
        <w:t xml:space="preserve">stored in</w:t>
      </w:r>
      <w:r>
        <w:t xml:space="preserve"> </w:t>
      </w:r>
      <w:r>
        <w:rPr>
          <w:rStyle w:val="VerbatimChar"/>
        </w:rPr>
        <w:t xml:space="preserve">self.tiles</w:t>
      </w:r>
      <w:r>
        <w:t xml:space="preserve">. In the worst case, the matching tile is at the final position, requiring</w:t>
      </w:r>
      <w:r>
        <w:t xml:space="preserve"> </w:t>
      </w:r>
      <m:oMath>
        <m:r>
          <m:t>N</m:t>
        </m:r>
      </m:oMath>
      <w:r>
        <w:t xml:space="preserve"> </w:t>
      </w:r>
      <w:r>
        <w:t xml:space="preserve">comparisons. Each comparison is a</w:t>
      </w:r>
      <w:r>
        <w:t xml:space="preserve"> </w:t>
      </w:r>
      <m:oMath>
        <m:r>
          <m:t>64</m:t>
        </m:r>
      </m:oMath>
      <w:r>
        <w:t xml:space="preserve">-bit integer equality test—</w:t>
      </w:r>
      <m:oMath>
        <m:r>
          <m:t>O</m:t>
        </m:r>
        <m:d>
          <m:dPr>
            <m:begChr m:val="("/>
            <m:endChr m:val=")"/>
            <m:sepChr m:val=""/>
            <m:grow/>
          </m:dPr>
          <m:e>
            <m:r>
              <m:t>1</m:t>
            </m:r>
          </m:e>
        </m:d>
      </m:oMath>
      <w:r>
        <w:t xml:space="preserve"> </w:t>
      </w:r>
      <w:r>
        <w:t xml:space="preserve">at the machine level, but the scan itself is</w:t>
      </w:r>
      <w:r>
        <w:t xml:space="preserve"> </w:t>
      </w:r>
      <m:oMath>
        <m:r>
          <m:t>O</m:t>
        </m:r>
        <m:d>
          <m:dPr>
            <m:begChr m:val="("/>
            <m:endChr m:val=")"/>
            <m:sepChr m:val=""/>
            <m:grow/>
          </m:dPr>
          <m:e>
            <m:r>
              <m:t>N</m:t>
            </m:r>
          </m:e>
        </m:d>
      </m:oMath>
      <w:r>
        <w:t xml:space="preserve"> </w:t>
      </w:r>
      <w:r>
        <w:t xml:space="preserve">in the number of elements inspected.</w:t>
      </w:r>
    </w:p>
    <w:p>
      <w:pPr>
        <w:pStyle w:val="BodyText"/>
      </w:pPr>
      <w:r>
        <w:rPr>
          <w:bCs/>
          <w:b/>
        </w:rPr>
        <w:t xml:space="preserve">Lemma D.1 (Naive Cycle Holonomy Complexity).</w:t>
      </w:r>
      <w:r>
        <w:t xml:space="preserve"> </w:t>
      </w:r>
      <w:r>
        <w:rPr>
          <w:iCs/>
          <w:i/>
        </w:rPr>
        <w:t xml:space="preserve">For a single cycle of length</w:t>
      </w:r>
      <w:r>
        <w:rPr>
          <w:iCs/>
          <w:i/>
        </w:rPr>
        <w:t xml:space="preserve"> </w:t>
      </w:r>
      <m:oMath>
        <m:sSub>
          <m:e>
            <m:r>
              <m:t>L</m:t>
            </m:r>
          </m:e>
          <m:sub>
            <m:r>
              <m:t>i</m:t>
            </m:r>
          </m:sub>
        </m:sSub>
      </m:oMath>
      <w:r>
        <w:rPr>
          <w:iCs/>
          <w:i/>
        </w:rPr>
        <w:t xml:space="preserve">,</w:t>
      </w:r>
      <w:r>
        <w:rPr>
          <w:iCs/>
          <w:i/>
        </w:rPr>
        <w:t xml:space="preserve"> </w:t>
      </w:r>
      <w:r>
        <w:rPr>
          <w:rStyle w:val="VerbatimChar"/>
          <w:iCs/>
          <w:i/>
        </w:rPr>
        <w:t xml:space="preserve">compute_cycle_holonomy</w:t>
      </w:r>
      <w:r>
        <w:rPr>
          <w:iCs/>
          <w:i/>
        </w:rPr>
        <w:t xml:space="preserve"> </w:t>
      </w:r>
      <w:r>
        <w:rPr>
          <w:iCs/>
          <w:i/>
        </w:rPr>
        <w:t xml:space="preserve">executes</w:t>
      </w:r>
      <w:r>
        <w:rPr>
          <w:iCs/>
          <w:i/>
        </w:rPr>
        <w:t xml:space="preserve"> </w:t>
      </w:r>
      <m:oMath>
        <m:r>
          <m:t>O</m:t>
        </m:r>
        <m:d>
          <m:dPr>
            <m:begChr m:val="("/>
            <m:endChr m:val=")"/>
            <m:sepChr m:val=""/>
            <m:grow/>
          </m:dPr>
          <m:e>
            <m:sSub>
              <m:e>
                <m:r>
                  <m:t>L</m:t>
                </m:r>
              </m:e>
              <m:sub>
                <m:r>
                  <m:t>i</m:t>
                </m:r>
              </m:sub>
            </m:sSub>
            <m:r>
              <m:rPr>
                <m:sty m:val="p"/>
              </m:rPr>
              <m:t>⋅</m:t>
            </m:r>
            <m:r>
              <m:t>N</m:t>
            </m:r>
          </m:e>
        </m:d>
      </m:oMath>
      <w:r>
        <w:rPr>
          <w:iCs/>
          <w:i/>
        </w:rPr>
        <w:t xml:space="preserve"> </w:t>
      </w:r>
      <w:r>
        <w:rPr>
          <w:iCs/>
          <w:i/>
        </w:rPr>
        <w:t xml:space="preserve">comparison operations and</w:t>
      </w:r>
      <w:r>
        <w:rPr>
          <w:iCs/>
          <w:i/>
        </w:rPr>
        <w:t xml:space="preserve"> </w:t>
      </w:r>
      <m:oMath>
        <m:r>
          <m:t>O</m:t>
        </m:r>
        <m:d>
          <m:dPr>
            <m:begChr m:val="("/>
            <m:endChr m:val=")"/>
            <m:sepChr m:val=""/>
            <m:grow/>
          </m:dPr>
          <m:e>
            <m:sSub>
              <m:e>
                <m:r>
                  <m:t>L</m:t>
                </m:r>
              </m:e>
              <m:sub>
                <m:r>
                  <m:t>i</m:t>
                </m:r>
              </m:sub>
            </m:sSub>
          </m:e>
        </m:d>
      </m:oMath>
      <w:r>
        <w:rPr>
          <w:iCs/>
          <w:i/>
        </w:rPr>
        <w:t xml:space="preserve"> </w:t>
      </w:r>
      <w:r>
        <w:rPr>
          <w:iCs/>
          <w:i/>
        </w:rPr>
        <w:t xml:space="preserve">matrix multiplications.</w:t>
      </w:r>
    </w:p>
    <w:p>
      <w:pPr>
        <w:pStyle w:val="BodyText"/>
      </w:pPr>
      <w:r>
        <w:rPr>
          <w:iCs/>
          <w:i/>
        </w:rPr>
        <w:t xml:space="preserve">Proof.</w:t>
      </w:r>
      <w:r>
        <w:t xml:space="preserve"> </w:t>
      </w:r>
      <w:r>
        <w:t xml:space="preserve">The loop body executes</w:t>
      </w:r>
      <w:r>
        <w:t xml:space="preserve"> </w:t>
      </w:r>
      <m:oMath>
        <m:sSub>
          <m:e>
            <m:r>
              <m:t>L</m:t>
            </m:r>
          </m:e>
          <m:sub>
            <m:r>
              <m:t>i</m:t>
            </m:r>
          </m:sub>
        </m:sSub>
      </m:oMath>
      <w:r>
        <w:t xml:space="preserve"> </w:t>
      </w:r>
      <w:r>
        <w:t xml:space="preserve">times. Each iteration performs one linear search over</w:t>
      </w:r>
      <w:r>
        <w:t xml:space="preserve"> </w:t>
      </w:r>
      <m:oMath>
        <m:r>
          <m:t>N</m:t>
        </m:r>
      </m:oMath>
      <w:r>
        <w:t xml:space="preserve"> </w:t>
      </w:r>
      <w:r>
        <w:t xml:space="preserve">elements, each search step doing one</w:t>
      </w:r>
      <w:r>
        <w:t xml:space="preserve"> </w:t>
      </w:r>
      <m:oMath>
        <m:r>
          <m:t>O</m:t>
        </m:r>
        <m:d>
          <m:dPr>
            <m:begChr m:val="("/>
            <m:endChr m:val=")"/>
            <m:sepChr m:val=""/>
            <m:grow/>
          </m:dPr>
          <m:e>
            <m:r>
              <m:t>1</m:t>
            </m:r>
          </m:e>
        </m:d>
      </m:oMath>
      <w:r>
        <w:t xml:space="preserve"> </w:t>
      </w:r>
      <w:r>
        <w:t xml:space="preserve">comparison. The matrix multiplication</w:t>
      </w:r>
      <w:r>
        <w:t xml:space="preserve"> </w:t>
      </w:r>
      <w:r>
        <w:rPr>
          <w:rStyle w:val="VerbatimChar"/>
        </w:rPr>
        <w:t xml:space="preserve">product.multiply(&amp;tile.holonomy)</w:t>
      </w:r>
      <w:r>
        <w:t xml:space="preserve"> </w:t>
      </w:r>
      <w:r>
        <w:t xml:space="preserve">operates on</w:t>
      </w:r>
      <w:r>
        <w:t xml:space="preserve"> </w:t>
      </w:r>
      <m:oMath>
        <m:r>
          <m:t>3</m:t>
        </m:r>
        <m:r>
          <m:rPr>
            <m:sty m:val="p"/>
          </m:rPr>
          <m:t>×</m:t>
        </m:r>
        <m:r>
          <m:t>3</m:t>
        </m:r>
      </m:oMath>
      <w:r>
        <w:t xml:space="preserve"> </w:t>
      </w:r>
      <w:r>
        <w:t xml:space="preserve">matrices of fixed dimension, hence</w:t>
      </w:r>
      <w:r>
        <w:t xml:space="preserve"> </w:t>
      </w:r>
      <m:oMath>
        <m:r>
          <m:t>O</m:t>
        </m:r>
        <m:d>
          <m:dPr>
            <m:begChr m:val="("/>
            <m:endChr m:val=")"/>
            <m:sepChr m:val=""/>
            <m:grow/>
          </m:dPr>
          <m:e>
            <m:r>
              <m:t>1</m:t>
            </m:r>
          </m:e>
        </m:d>
      </m:oMath>
      <w:r>
        <w:t xml:space="preserve"> </w:t>
      </w:r>
      <w:r>
        <w:t xml:space="preserve">arithmetic cost. Summing over the loop yields</w:t>
      </w:r>
      <w:r>
        <w:t xml:space="preserve"> </w:t>
      </w:r>
      <m:oMath>
        <m:r>
          <m:t>O</m:t>
        </m:r>
        <m:d>
          <m:dPr>
            <m:begChr m:val="("/>
            <m:endChr m:val=")"/>
            <m:sepChr m:val=""/>
            <m:grow/>
          </m:dPr>
          <m:e>
            <m:sSub>
              <m:e>
                <m:r>
                  <m:t>L</m:t>
                </m:r>
              </m:e>
              <m:sub>
                <m:r>
                  <m:t>i</m:t>
                </m:r>
              </m:sub>
            </m:sSub>
            <m:r>
              <m:rPr>
                <m:sty m:val="p"/>
              </m:rPr>
              <m:t>⋅</m:t>
            </m:r>
            <m:r>
              <m:t>N</m:t>
            </m:r>
          </m:e>
        </m:d>
      </m:oMath>
      <w:r>
        <w:t xml:space="preserve"> </w:t>
      </w:r>
      <w:r>
        <w:t xml:space="preserve">comparisons and</w:t>
      </w:r>
      <w:r>
        <w:t xml:space="preserve"> </w:t>
      </w:r>
      <m:oMath>
        <m:r>
          <m:t>O</m:t>
        </m:r>
        <m:d>
          <m:dPr>
            <m:begChr m:val="("/>
            <m:endChr m:val=")"/>
            <m:sepChr m:val=""/>
            <m:grow/>
          </m:dPr>
          <m:e>
            <m:sSub>
              <m:e>
                <m:r>
                  <m:t>L</m:t>
                </m:r>
              </m:e>
              <m:sub>
                <m:r>
                  <m:t>i</m:t>
                </m:r>
              </m:sub>
            </m:sSub>
          </m:e>
        </m:d>
      </m:oMath>
      <w:r>
        <w:t xml:space="preserve"> </w:t>
      </w:r>
      <w:r>
        <w:t xml:space="preserve">multiplications.</w:t>
      </w:r>
      <w:r>
        <w:t xml:space="preserve"> </w:t>
      </w:r>
      <m:oMath>
        <m:r>
          <m:rPr>
            <m:sty m:val="p"/>
          </m:rPr>
          <m:t>▫</m:t>
        </m:r>
      </m:oMath>
    </w:p>
    <w:p>
      <w:pPr>
        <w:pStyle w:val="BodyText"/>
      </w:pPr>
      <w:r>
        <w:rPr>
          <w:bCs/>
          <w:b/>
        </w:rPr>
        <w:t xml:space="preserve">Theorem D.2 (Total Naive Verification Complexity).</w:t>
      </w:r>
      <w:r>
        <w:t xml:space="preserve"> </w:t>
      </w:r>
      <w:r>
        <w:rPr>
          <w:iCs/>
          <w:i/>
        </w:rPr>
        <w:t xml:space="preserve">Holonomy verification over all cycles costs</w:t>
      </w:r>
      <w:r>
        <w:rPr>
          <w:iCs/>
          <w:i/>
        </w:rPr>
        <w:t xml:space="preserve"> </w:t>
      </w:r>
      <m:oMath>
        <m:r>
          <m:t>O</m:t>
        </m:r>
        <m:d>
          <m:dPr>
            <m:begChr m:val="("/>
            <m:endChr m:val=")"/>
            <m:sepChr m:val=""/>
            <m:grow/>
          </m:dPr>
          <m:e>
            <m:r>
              <m:t>C</m:t>
            </m:r>
            <m:r>
              <m:rPr>
                <m:sty m:val="p"/>
              </m:rPr>
              <m:t>⋅</m:t>
            </m:r>
            <m:r>
              <m:t>L</m:t>
            </m:r>
            <m:r>
              <m:rPr>
                <m:sty m:val="p"/>
              </m:rPr>
              <m:t>⋅</m:t>
            </m:r>
            <m:r>
              <m:t>N</m:t>
            </m:r>
          </m:e>
        </m:d>
      </m:oMath>
      <w:r>
        <w:rPr>
          <w:iCs/>
          <w:i/>
        </w:rPr>
        <w:t xml:space="preserve"> </w:t>
      </w:r>
      <w:r>
        <w:rPr>
          <w:iCs/>
          <w:i/>
        </w:rPr>
        <w:t xml:space="preserve">comparison operations and</w:t>
      </w:r>
      <w:r>
        <w:rPr>
          <w:iCs/>
          <w:i/>
        </w:rPr>
        <w:t xml:space="preserve"> </w:t>
      </w:r>
      <m:oMath>
        <m:r>
          <m:t>O</m:t>
        </m:r>
        <m:d>
          <m:dPr>
            <m:begChr m:val="("/>
            <m:endChr m:val=")"/>
            <m:sepChr m:val=""/>
            <m:grow/>
          </m:dPr>
          <m:e>
            <m:r>
              <m:t>C</m:t>
            </m:r>
            <m:r>
              <m:rPr>
                <m:sty m:val="p"/>
              </m:rPr>
              <m:t>⋅</m:t>
            </m:r>
            <m:r>
              <m:t>L</m:t>
            </m:r>
          </m:e>
        </m:d>
      </m:oMath>
      <w:r>
        <w:rPr>
          <w:iCs/>
          <w:i/>
        </w:rPr>
        <w:t xml:space="preserve"> </w:t>
      </w:r>
      <w:r>
        <w:rPr>
          <w:iCs/>
          <w:i/>
        </w:rPr>
        <w:t xml:space="preserve">matrix multiplications.</w:t>
      </w:r>
    </w:p>
    <w:p>
      <w:pPr>
        <w:pStyle w:val="BodyText"/>
      </w:pPr>
      <w:r>
        <w:rPr>
          <w:iCs/>
          <w:i/>
        </w:rPr>
        <w:t xml:space="preserve">Proof.</w:t>
      </w:r>
      <w:r>
        <w:t xml:space="preserve"> </w:t>
      </w:r>
      <w:r>
        <w:t xml:space="preserve">By Lemma D.1, cycle</w:t>
      </w:r>
      <w:r>
        <w:t xml:space="preserve"> </w:t>
      </w:r>
      <m:oMath>
        <m:r>
          <m:t>i</m:t>
        </m:r>
      </m:oMath>
      <w:r>
        <w:t xml:space="preserve"> </w:t>
      </w:r>
      <w:r>
        <w:t xml:space="preserve">costs</w:t>
      </w:r>
      <w:r>
        <w:t xml:space="preserve"> </w:t>
      </w:r>
      <m:oMath>
        <m:r>
          <m:t>O</m:t>
        </m:r>
        <m:d>
          <m:dPr>
            <m:begChr m:val="("/>
            <m:endChr m:val=")"/>
            <m:sepChr m:val=""/>
            <m:grow/>
          </m:dPr>
          <m:e>
            <m:sSub>
              <m:e>
                <m:r>
                  <m:t>L</m:t>
                </m:r>
              </m:e>
              <m:sub>
                <m:r>
                  <m:t>i</m:t>
                </m:r>
              </m:sub>
            </m:sSub>
            <m:r>
              <m:rPr>
                <m:sty m:val="p"/>
              </m:rPr>
              <m:t>⋅</m:t>
            </m:r>
            <m:r>
              <m:t>N</m:t>
            </m:r>
          </m:e>
        </m:d>
      </m:oMath>
      <w:r>
        <w:t xml:space="preserve">. Summing over</w:t>
      </w:r>
      <w:r>
        <w:t xml:space="preserve"> </w:t>
      </w:r>
      <m:oMath>
        <m:r>
          <m:t>i</m:t>
        </m:r>
        <m:r>
          <m:rPr>
            <m:sty m:val="p"/>
          </m:rPr>
          <m:t>=</m:t>
        </m:r>
        <m:r>
          <m:t>1</m:t>
        </m:r>
        <m:r>
          <m:rPr>
            <m:sty m:val="p"/>
          </m:rPr>
          <m:t>…</m:t>
        </m:r>
        <m:r>
          <m:t>C</m:t>
        </m:r>
      </m:oMath>
      <w:r>
        <w:t xml:space="preserve">:</w:t>
      </w:r>
    </w:p>
    <w:p>
      <w:pPr>
        <w:pStyle w:val="BodyText"/>
      </w:pPr>
      <m:oMathPara>
        <m:oMathParaPr>
          <m:jc m:val="center"/>
        </m:oMathParaPr>
        <m:oMath>
          <m:nary>
            <m:naryPr>
              <m:chr m:val="∑"/>
              <m:limLoc m:val="undOvr"/>
              <m:subHide m:val="0"/>
              <m:supHide m:val="0"/>
            </m:naryPr>
            <m:sub>
              <m:r>
                <m:t>i</m:t>
              </m:r>
              <m:r>
                <m:rPr>
                  <m:sty m:val="p"/>
                </m:rPr>
                <m:t>=</m:t>
              </m:r>
              <m:r>
                <m:t>1</m:t>
              </m:r>
            </m:sub>
            <m:sup>
              <m:r>
                <m:t>C</m:t>
              </m:r>
            </m:sup>
            <m:e>
              <m:r>
                <m:t>O</m:t>
              </m:r>
            </m:e>
          </m:nary>
          <m:d>
            <m:dPr>
              <m:begChr m:val="("/>
              <m:endChr m:val=")"/>
              <m:sepChr m:val=""/>
              <m:grow/>
            </m:dPr>
            <m:e>
              <m:sSub>
                <m:e>
                  <m:r>
                    <m:t>L</m:t>
                  </m:r>
                </m:e>
                <m:sub>
                  <m:r>
                    <m:t>i</m:t>
                  </m:r>
                </m:sub>
              </m:sSub>
              <m:r>
                <m:rPr>
                  <m:sty m:val="p"/>
                </m:rPr>
                <m:t>⋅</m:t>
              </m:r>
              <m:r>
                <m:t>N</m:t>
              </m:r>
            </m:e>
          </m:d>
          <m:r>
            <m:rPr>
              <m:sty m:val="p"/>
            </m:rPr>
            <m:t>=</m:t>
          </m:r>
          <m:r>
            <m:t>O</m:t>
          </m:r>
          <m:d>
            <m:dPr>
              <m:begChr m:val="("/>
              <m:endChr m:val=")"/>
              <m:sepChr m:val=""/>
              <m:grow/>
            </m:dPr>
            <m:e>
              <m:r>
                <m:t>N</m:t>
              </m:r>
              <m:r>
                <m:rPr>
                  <m:sty m:val="p"/>
                </m:rPr>
                <m:t>⋅</m:t>
              </m:r>
              <m:nary>
                <m:naryPr>
                  <m:chr m:val="∑"/>
                  <m:limLoc m:val="undOvr"/>
                  <m:subHide m:val="0"/>
                  <m:supHide m:val="0"/>
                </m:naryPr>
                <m:sub>
                  <m:r>
                    <m:t>i</m:t>
                  </m:r>
                  <m:r>
                    <m:rPr>
                      <m:sty m:val="p"/>
                    </m:rPr>
                    <m:t>=</m:t>
                  </m:r>
                  <m:r>
                    <m:t>1</m:t>
                  </m:r>
                </m:sub>
                <m:sup>
                  <m:r>
                    <m:t>C</m:t>
                  </m:r>
                </m:sup>
                <m:e>
                  <m:sSub>
                    <m:e>
                      <m:r>
                        <m:t>L</m:t>
                      </m:r>
                    </m:e>
                    <m:sub>
                      <m:r>
                        <m:t>i</m:t>
                      </m:r>
                    </m:sub>
                  </m:sSub>
                </m:e>
              </m:nary>
            </m:e>
          </m:d>
          <m:r>
            <m:rPr>
              <m:sty m:val="p"/>
            </m:rPr>
            <m:t>=</m:t>
          </m:r>
          <m:r>
            <m:t>O</m:t>
          </m:r>
          <m:d>
            <m:dPr>
              <m:begChr m:val="("/>
              <m:endChr m:val=")"/>
              <m:sepChr m:val=""/>
              <m:grow/>
            </m:dPr>
            <m:e>
              <m:r>
                <m:t>N</m:t>
              </m:r>
              <m:r>
                <m:rPr>
                  <m:sty m:val="p"/>
                </m:rPr>
                <m:t>⋅</m:t>
              </m:r>
              <m:r>
                <m:t>C</m:t>
              </m:r>
              <m:r>
                <m:rPr>
                  <m:sty m:val="p"/>
                </m:rPr>
                <m:t>⋅</m:t>
              </m:r>
              <m:r>
                <m:t>L</m:t>
              </m:r>
            </m:e>
          </m:d>
        </m:oMath>
      </m:oMathPara>
    </w:p>
    <w:p>
      <w:pPr>
        <w:pStyle w:val="FirstParagraph"/>
      </w:pPr>
      <w:r>
        <w:t xml:space="preserve">since</w:t>
      </w:r>
      <w:r>
        <w:t xml:space="preserve"> </w:t>
      </w:r>
      <m:oMath>
        <m:r>
          <m:t>C</m:t>
        </m:r>
        <m:r>
          <m:rPr>
            <m:sty m:val="p"/>
          </m:rPr>
          <m:t>⋅</m:t>
        </m:r>
        <m:r>
          <m:t>L</m:t>
        </m:r>
        <m:r>
          <m:rPr>
            <m:sty m:val="p"/>
          </m:rPr>
          <m:t>=</m:t>
        </m:r>
        <m:nary>
          <m:naryPr>
            <m:chr m:val="∑"/>
            <m:limLoc m:val="undOvr"/>
            <m:subHide m:val="0"/>
            <m:supHide m:val="1"/>
          </m:naryPr>
          <m:sub>
            <m:r>
              <m:t>i</m:t>
            </m:r>
          </m:sub>
          <m:sup>
            <m:r>
              <m:t>​</m:t>
            </m:r>
          </m:sup>
          <m:e>
            <m:sSub>
              <m:e>
                <m:r>
                  <m:t>L</m:t>
                </m:r>
              </m:e>
              <m:sub>
                <m:r>
                  <m:t>i</m:t>
                </m:r>
              </m:sub>
            </m:sSub>
          </m:e>
        </m:nary>
      </m:oMath>
      <w:r>
        <w:t xml:space="preserve"> </w:t>
      </w:r>
      <w:r>
        <w:t xml:space="preserve">by definition of average cycle length. The matrix multiplications sum to</w:t>
      </w:r>
      <w:r>
        <w:t xml:space="preserve"> </w:t>
      </w:r>
      <m:oMath>
        <m:r>
          <m:t>O</m:t>
        </m:r>
        <m:d>
          <m:dPr>
            <m:begChr m:val="("/>
            <m:endChr m:val=")"/>
            <m:sepChr m:val=""/>
            <m:grow/>
          </m:dPr>
          <m:e>
            <m:r>
              <m:t>C</m:t>
            </m:r>
            <m:r>
              <m:rPr>
                <m:sty m:val="p"/>
              </m:rPr>
              <m:t>⋅</m:t>
            </m:r>
            <m:r>
              <m:t>L</m:t>
            </m:r>
          </m:e>
        </m:d>
      </m:oMath>
      <w:r>
        <w:t xml:space="preserve"> </w:t>
      </w:r>
      <w:r>
        <w:t xml:space="preserve">independently.</w:t>
      </w:r>
      <w:r>
        <w:t xml:space="preserve"> </w:t>
      </w:r>
      <m:oMath>
        <m:r>
          <m:rPr>
            <m:sty m:val="p"/>
          </m:rPr>
          <m:t>▫</m:t>
        </m:r>
      </m:oMath>
    </w:p>
    <w:p>
      <w:pPr>
        <w:pStyle w:val="BodyText"/>
      </w:pPr>
      <w:r>
        <w:rPr>
          <w:bCs/>
          <w:b/>
        </w:rPr>
        <w:t xml:space="preserve">Corollary D.3 (Per-Node Message Complexity Under Naive Implementation).</w:t>
      </w:r>
      <w:r>
        <w:t xml:space="preserve"> </w:t>
      </w:r>
      <w:r>
        <w:rPr>
          <w:iCs/>
          <w:i/>
        </w:rPr>
        <w:t xml:space="preserve">Each node sends one holonomy matrix and receives</w:t>
      </w:r>
      <w:r>
        <w:rPr>
          <w:iCs/>
          <w:i/>
        </w:rPr>
        <w:t xml:space="preserve"> </w:t>
      </w:r>
      <m:oMath>
        <m:r>
          <m:t>O</m:t>
        </m:r>
        <m:d>
          <m:dPr>
            <m:begChr m:val="("/>
            <m:endChr m:val=")"/>
            <m:sepChr m:val=""/>
            <m:grow/>
          </m:dPr>
          <m:e>
            <m:r>
              <m:rPr>
                <m:sty m:val="p"/>
              </m:rPr>
              <m:t>deg</m:t>
            </m:r>
          </m:e>
        </m:d>
      </m:oMath>
      <w:r>
        <w:rPr>
          <w:iCs/>
          <w:i/>
        </w:rPr>
        <w:t xml:space="preserve"> </w:t>
      </w:r>
      <w:r>
        <w:rPr>
          <w:iCs/>
          <w:i/>
        </w:rPr>
        <w:t xml:space="preserve">matrices, but performs</w:t>
      </w:r>
      <w:r>
        <w:rPr>
          <w:iCs/>
          <w:i/>
        </w:rPr>
        <w:t xml:space="preserve"> </w:t>
      </w:r>
      <m:oMath>
        <m:r>
          <m:t>O</m:t>
        </m:r>
        <m:d>
          <m:dPr>
            <m:begChr m:val="("/>
            <m:endChr m:val=")"/>
            <m:sepChr m:val=""/>
            <m:grow/>
          </m:dPr>
          <m:e>
            <m:r>
              <m:t>C</m:t>
            </m:r>
            <m:r>
              <m:rPr>
                <m:sty m:val="p"/>
              </m:rPr>
              <m:t>⋅</m:t>
            </m:r>
            <m:r>
              <m:t>L</m:t>
            </m:r>
            <m:r>
              <m:rPr>
                <m:sty m:val="p"/>
              </m:rPr>
              <m:t>⋅</m:t>
            </m:r>
            <m:r>
              <m:t>N</m:t>
            </m:r>
          </m:e>
        </m:d>
      </m:oMath>
      <w:r>
        <w:rPr>
          <w:iCs/>
          <w:i/>
        </w:rPr>
        <w:t xml:space="preserve"> </w:t>
      </w:r>
      <w:r>
        <w:rPr>
          <w:iCs/>
          <w:i/>
        </w:rPr>
        <w:t xml:space="preserve">local work. The total system work is</w:t>
      </w:r>
      <w:r>
        <w:rPr>
          <w:iCs/>
          <w:i/>
        </w:rPr>
        <w:t xml:space="preserve"> </w:t>
      </w:r>
      <m:oMath>
        <m:r>
          <m:t>O</m:t>
        </m:r>
        <m:d>
          <m:dPr>
            <m:begChr m:val="("/>
            <m:endChr m:val=")"/>
            <m:sepChr m:val=""/>
            <m:grow/>
          </m:dPr>
          <m:e>
            <m:r>
              <m:t>N</m:t>
            </m:r>
            <m:r>
              <m:rPr>
                <m:sty m:val="p"/>
              </m:rPr>
              <m:t>⋅</m:t>
            </m:r>
            <m:r>
              <m:t>C</m:t>
            </m:r>
            <m:r>
              <m:rPr>
                <m:sty m:val="p"/>
              </m:rPr>
              <m:t>⋅</m:t>
            </m:r>
            <m:r>
              <m:t>L</m:t>
            </m:r>
            <m:r>
              <m:rPr>
                <m:sty m:val="p"/>
              </m:rPr>
              <m:t>⋅</m:t>
            </m:r>
            <m:r>
              <m:t>N</m:t>
            </m:r>
          </m:e>
        </m:d>
        <m:r>
          <m:rPr>
            <m:sty m:val="p"/>
          </m:rPr>
          <m:t>=</m:t>
        </m:r>
        <m:r>
          <m:t>O</m:t>
        </m:r>
        <m:d>
          <m:dPr>
            <m:begChr m:val="("/>
            <m:endChr m:val=")"/>
            <m:sepChr m:val=""/>
            <m:grow/>
          </m:dPr>
          <m:e>
            <m:r>
              <m:t>C</m:t>
            </m:r>
            <m:r>
              <m:rPr>
                <m:sty m:val="p"/>
              </m:rPr>
              <m:t>⋅</m:t>
            </m:r>
            <m:r>
              <m:t>L</m:t>
            </m:r>
            <m:r>
              <m:rPr>
                <m:sty m:val="p"/>
              </m:rPr>
              <m:t>⋅</m:t>
            </m:r>
            <m:sSup>
              <m:e>
                <m:r>
                  <m:t>N</m:t>
                </m:r>
              </m:e>
              <m:sup>
                <m:r>
                  <m:t>2</m:t>
                </m:r>
              </m:sup>
            </m:sSup>
          </m:e>
        </m:d>
      </m:oMath>
      <w:r>
        <w:rPr>
          <w:iCs/>
          <w:i/>
        </w:rPr>
        <w:t xml:space="preserve">.</w:t>
      </w:r>
    </w:p>
    <w:p>
      <w:pPr>
        <w:pStyle w:val="BodyText"/>
      </w:pPr>
      <w:r>
        <w:t xml:space="preserve">This is the honest complexity of the code as written. The linear tile lookup is the dominant term, and it destroys the</w:t>
      </w:r>
      <w:r>
        <w:t xml:space="preserve"> </w:t>
      </w:r>
      <m:oMath>
        <m:r>
          <m:t>O</m:t>
        </m:r>
        <m:d>
          <m:dPr>
            <m:begChr m:val="("/>
            <m:endChr m:val=")"/>
            <m:sepChr m:val=""/>
            <m:grow/>
          </m:dPr>
          <m:e>
            <m:r>
              <m:t>1</m:t>
            </m:r>
          </m:e>
        </m:d>
      </m:oMath>
      <w:r>
        <w:t xml:space="preserve"> </w:t>
      </w:r>
      <w:r>
        <w:t xml:space="preserve">per-node claim unless</w:t>
      </w:r>
      <w:r>
        <w:t xml:space="preserve"> </w:t>
      </w:r>
      <m:oMath>
        <m:r>
          <m:t>N</m:t>
        </m:r>
      </m:oMath>
      <w:r>
        <w:t xml:space="preserve"> </w:t>
      </w:r>
      <w:r>
        <w:t xml:space="preserve">is treated as a fixed constant—which it is not in any asymptotic analysis worthy of the name.</w:t>
      </w:r>
    </w:p>
    <w:p>
      <w:r>
        <w:pict>
          <v:rect style="width:0;height:1.5pt" o:hralign="center" o:hrstd="t" o:hr="t"/>
        </w:pict>
      </w:r>
    </w:p>
    <w:bookmarkEnd w:id="101"/>
    <w:bookmarkStart w:id="103" w:name="d.3-the-hashmap-optimization"/>
    <w:p>
      <w:pPr>
        <w:pStyle w:val="Heading2"/>
      </w:pPr>
      <w:r>
        <w:t xml:space="preserve">D.3 The HashMap Optimization</w:t>
      </w:r>
    </w:p>
    <w:p>
      <w:pPr>
        <w:pStyle w:val="FirstParagraph"/>
      </w:pPr>
      <w:r>
        <w:t xml:space="preserve">The linear scan is a textbook case of an algorithmic anti-pattern resolvable by standard data-structure substitution. Replacing</w:t>
      </w:r>
      <w:r>
        <w:t xml:space="preserve"> </w:t>
      </w:r>
      <w:r>
        <w:rPr>
          <w:rStyle w:val="VerbatimChar"/>
        </w:rPr>
        <w:t xml:space="preserve">Vec&lt;ConsensusTile&gt;</w:t>
      </w:r>
      <w:r>
        <w:t xml:space="preserve"> </w:t>
      </w:r>
      <w:r>
        <w:t xml:space="preserve">with</w:t>
      </w:r>
      <w:r>
        <w:t xml:space="preserve"> </w:t>
      </w:r>
      <w:r>
        <w:rPr>
          <w:rStyle w:val="VerbatimChar"/>
        </w:rPr>
        <w:t xml:space="preserve">HashMap&lt;u64, &amp;ConsensusTile&gt;</w:t>
      </w:r>
      <w:r>
        <w:t xml:space="preserve"> </w:t>
      </w:r>
      <w:r>
        <w:t xml:space="preserve">(or</w:t>
      </w:r>
      <w:r>
        <w:t xml:space="preserve"> </w:t>
      </w:r>
      <w:r>
        <w:rPr>
          <w:rStyle w:val="VerbatimChar"/>
        </w:rPr>
        <w:t xml:space="preserve">HashMap&lt;u64, ConsensusTile&gt;</w:t>
      </w:r>
      <w:r>
        <w:t xml:space="preserve"> </w:t>
      </w:r>
      <w:r>
        <w:t xml:space="preserve">with owned values) reduces tile lookup to expected</w:t>
      </w:r>
      <w:r>
        <w:t xml:space="preserve"> </w:t>
      </w:r>
      <m:oMath>
        <m:r>
          <m:t>O</m:t>
        </m:r>
        <m:d>
          <m:dPr>
            <m:begChr m:val="("/>
            <m:endChr m:val=")"/>
            <m:sepChr m:val=""/>
            <m:grow/>
          </m:dPr>
          <m:e>
            <m:r>
              <m:t>1</m:t>
            </m:r>
          </m:e>
        </m:d>
      </m:oMath>
      <w:r>
        <w:t xml:space="preserve"> </w:t>
      </w:r>
      <w:r>
        <w:t xml:space="preserve">time under the uniform hashing assumption (Cormen et al., 2009)</w:t>
      </w:r>
      <w:r>
        <w:t xml:space="preserve"> </w:t>
      </w:r>
      <w:r>
        <w:rPr>
          <w:rStyle w:val="FootnoteReference"/>
        </w:rPr>
        <w:footnoteReference w:id="102"/>
      </w:r>
      <w:r>
        <w:t xml:space="preserve">.</w:t>
      </w:r>
    </w:p>
    <w:p>
      <w:pPr>
        <w:pStyle w:val="BodyText"/>
      </w:pPr>
      <w:r>
        <w:t xml:space="preserve">The optimized pseudocode is:</w:t>
      </w:r>
    </w:p>
    <w:p>
      <w:pPr>
        <w:pStyle w:val="SourceCode"/>
      </w:pPr>
      <w:r>
        <w:rPr>
          <w:rStyle w:val="KeywordTok"/>
        </w:rPr>
        <w:t xml:space="preserve">struct</w:t>
      </w:r>
      <w:r>
        <w:rPr>
          <w:rStyle w:val="NormalTok"/>
        </w:rPr>
        <w:t xml:space="preserve"> ConsensusState </w:t>
      </w:r>
      <w:r>
        <w:rPr>
          <w:rStyle w:val="OperatorTok"/>
        </w:rPr>
        <w:t xml:space="preserve">{</w:t>
      </w:r>
      <w:r>
        <w:br/>
      </w:r>
      <w:r>
        <w:rPr>
          <w:rStyle w:val="NormalTok"/>
        </w:rPr>
        <w:t xml:space="preserve">    tiles</w:t>
      </w:r>
      <w:r>
        <w:rPr>
          <w:rStyle w:val="OperatorTok"/>
        </w:rPr>
        <w:t xml:space="preserve">:</w:t>
      </w:r>
      <w:r>
        <w:rPr>
          <w:rStyle w:val="NormalTok"/>
        </w:rPr>
        <w:t xml:space="preserve"> HashMap</w:t>
      </w:r>
      <w:r>
        <w:rPr>
          <w:rStyle w:val="OperatorTok"/>
        </w:rPr>
        <w:t xml:space="preserve">&lt;</w:t>
      </w:r>
      <w:r>
        <w:rPr>
          <w:rStyle w:val="DataTypeTok"/>
        </w:rPr>
        <w:t xml:space="preserve">u64</w:t>
      </w:r>
      <w:r>
        <w:rPr>
          <w:rStyle w:val="OperatorTok"/>
        </w:rPr>
        <w:t xml:space="preserve">,</w:t>
      </w:r>
      <w:r>
        <w:rPr>
          <w:rStyle w:val="NormalTok"/>
        </w:rPr>
        <w:t xml:space="preserve"> ConsensusTile</w:t>
      </w:r>
      <w:r>
        <w:rPr>
          <w:rStyle w:val="OperatorTok"/>
        </w:rPr>
        <w:t xml:space="preserve">&gt;,</w:t>
      </w:r>
      <w:r>
        <w:rPr>
          <w:rStyle w:val="NormalTok"/>
        </w:rPr>
        <w:t xml:space="preserve">  </w:t>
      </w:r>
      <w:r>
        <w:rPr>
          <w:rStyle w:val="CommentTok"/>
        </w:rPr>
        <w:t xml:space="preserve">// O(1) expected lookup</w:t>
      </w:r>
      <w:r>
        <w:br/>
      </w:r>
      <w:r>
        <w:rPr>
          <w:rStyle w:val="OperatorTok"/>
        </w:rPr>
        <w:t xml:space="preserve">}</w:t>
      </w:r>
      <w:r>
        <w:br/>
      </w:r>
      <w:r>
        <w:br/>
      </w:r>
      <w:r>
        <w:rPr>
          <w:rStyle w:val="KeywordTok"/>
        </w:rPr>
        <w:t xml:space="preserve">fn</w:t>
      </w:r>
      <w:r>
        <w:rPr>
          <w:rStyle w:val="NormalTok"/>
        </w:rPr>
        <w:t xml:space="preserve"> compute_cycle_holonomy(</w:t>
      </w:r>
      <w:r>
        <w:rPr>
          <w:rStyle w:val="OperatorTok"/>
        </w:rPr>
        <w:t xml:space="preserve">&amp;</w:t>
      </w:r>
      <w:r>
        <w:rPr>
          <w:rStyle w:val="KeywordTok"/>
        </w:rPr>
        <w:t xml:space="preserve">self</w:t>
      </w:r>
      <w:r>
        <w:rPr>
          <w:rStyle w:val="OperatorTok"/>
        </w:rPr>
        <w:t xml:space="preserve">,</w:t>
      </w:r>
      <w:r>
        <w:rPr>
          <w:rStyle w:val="NormalTok"/>
        </w:rPr>
        <w:t xml:space="preserve"> cycle</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u64</w:t>
      </w:r>
      <w:r>
        <w:rPr>
          <w:rStyle w:val="NormalTok"/>
        </w:rPr>
        <w:t xml:space="preserve">]) </w:t>
      </w:r>
      <w:r>
        <w:rPr>
          <w:rStyle w:val="OperatorTok"/>
        </w:rPr>
        <w:t xml:space="preserve">-&gt;</w:t>
      </w:r>
      <w:r>
        <w:rPr>
          <w:rStyle w:val="NormalTok"/>
        </w:rPr>
        <w:t xml:space="preserve"> HolonomyMatrix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product </w:t>
      </w:r>
      <w:r>
        <w:rPr>
          <w:rStyle w:val="OperatorTok"/>
        </w:rPr>
        <w:t xml:space="preserve">=</w:t>
      </w:r>
      <w:r>
        <w:rPr>
          <w:rStyle w:val="NormalTok"/>
        </w:rPr>
        <w:t xml:space="preserve"> </w:t>
      </w:r>
      <w:r>
        <w:rPr>
          <w:rStyle w:val="PreprocessorTok"/>
        </w:rPr>
        <w:t xml:space="preserve">HolonomyMatrix::</w:t>
      </w:r>
      <w:r>
        <w:rPr>
          <w:rStyle w:val="NormalTok"/>
        </w:rPr>
        <w:t xml:space="preserve">identity()</w:t>
      </w:r>
      <w:r>
        <w:rPr>
          <w:rStyle w:val="OperatorTok"/>
        </w:rPr>
        <w:t xml:space="preserve">;</w:t>
      </w:r>
      <w:r>
        <w:br/>
      </w:r>
      <w:r>
        <w:rPr>
          <w:rStyle w:val="NormalTok"/>
        </w:rPr>
        <w:t xml:space="preserve">    </w:t>
      </w:r>
      <w:r>
        <w:rPr>
          <w:rStyle w:val="ControlFlowTok"/>
        </w:rPr>
        <w:t xml:space="preserve">for</w:t>
      </w:r>
      <w:r>
        <w:rPr>
          <w:rStyle w:val="NormalTok"/>
        </w:rPr>
        <w:t xml:space="preserve"> tile_id </w:t>
      </w:r>
      <w:r>
        <w:rPr>
          <w:rStyle w:val="KeywordTok"/>
        </w:rPr>
        <w:t xml:space="preserve">in</w:t>
      </w:r>
      <w:r>
        <w:rPr>
          <w:rStyle w:val="NormalTok"/>
        </w:rPr>
        <w:t xml:space="preserve"> cycle </w:t>
      </w:r>
      <w:r>
        <w:rPr>
          <w:rStyle w:val="OperatorTok"/>
        </w:rPr>
        <w:t xml:space="preserve">{</w:t>
      </w:r>
      <w:r>
        <w:br/>
      </w:r>
      <w:r>
        <w:rPr>
          <w:rStyle w:val="NormalTok"/>
        </w:rPr>
        <w:t xml:space="preserve">        </w:t>
      </w:r>
      <w:r>
        <w:rPr>
          <w:rStyle w:val="CommentTok"/>
        </w:rPr>
        <w:t xml:space="preserve">// O(1) expected lookup</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ConstantTok"/>
        </w:rPr>
        <w:t xml:space="preserve">Some</w:t>
      </w:r>
      <w:r>
        <w:rPr>
          <w:rStyle w:val="NormalTok"/>
        </w:rPr>
        <w:t xml:space="preserve">(tile)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tiles</w:t>
      </w:r>
      <w:r>
        <w:rPr>
          <w:rStyle w:val="OperatorTok"/>
        </w:rPr>
        <w:t xml:space="preserve">.</w:t>
      </w:r>
      <w:r>
        <w:rPr>
          <w:rStyle w:val="NormalTok"/>
        </w:rPr>
        <w:t xml:space="preserve">get(tile_id) </w:t>
      </w:r>
      <w:r>
        <w:rPr>
          <w:rStyle w:val="OperatorTok"/>
        </w:rPr>
        <w:t xml:space="preserve">{</w:t>
      </w:r>
      <w:r>
        <w:br/>
      </w:r>
      <w:r>
        <w:rPr>
          <w:rStyle w:val="NormalTok"/>
        </w:rPr>
        <w:t xml:space="preserve">            product </w:t>
      </w:r>
      <w:r>
        <w:rPr>
          <w:rStyle w:val="OperatorTok"/>
        </w:rPr>
        <w:t xml:space="preserve">=</w:t>
      </w:r>
      <w:r>
        <w:rPr>
          <w:rStyle w:val="NormalTok"/>
        </w:rPr>
        <w:t xml:space="preserve"> product</w:t>
      </w:r>
      <w:r>
        <w:rPr>
          <w:rStyle w:val="OperatorTok"/>
        </w:rPr>
        <w:t xml:space="preserve">.</w:t>
      </w:r>
      <w:r>
        <w:rPr>
          <w:rStyle w:val="NormalTok"/>
        </w:rPr>
        <w:t xml:space="preserve">multiply(</w:t>
      </w:r>
      <w:r>
        <w:rPr>
          <w:rStyle w:val="OperatorTok"/>
        </w:rPr>
        <w:t xml:space="preserve">&amp;</w:t>
      </w:r>
      <w:r>
        <w:rPr>
          <w:rStyle w:val="NormalTok"/>
        </w:rPr>
        <w:t xml:space="preserve">tile</w:t>
      </w:r>
      <w:r>
        <w:rPr>
          <w:rStyle w:val="OperatorTok"/>
        </w:rPr>
        <w:t xml:space="preserve">.</w:t>
      </w:r>
      <w:r>
        <w:rPr>
          <w:rStyle w:val="NormalTok"/>
        </w:rPr>
        <w:t xml:space="preserve">holonomy)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product</w:t>
      </w:r>
      <w:r>
        <w:br/>
      </w:r>
      <w:r>
        <w:rPr>
          <w:rStyle w:val="OperatorTok"/>
        </w:rPr>
        <w:t xml:space="preserve">}</w:t>
      </w:r>
    </w:p>
    <w:p>
      <w:pPr>
        <w:pStyle w:val="FirstParagraph"/>
      </w:pPr>
      <w:r>
        <w:rPr>
          <w:bCs/>
          <w:b/>
        </w:rPr>
        <w:t xml:space="preserve">Theorem D.4 (Optimized Cycle Holonomy Complexity).</w:t>
      </w:r>
      <w:r>
        <w:t xml:space="preserve"> </w:t>
      </w:r>
      <w:r>
        <w:rPr>
          <w:iCs/>
          <w:i/>
        </w:rPr>
        <w:t xml:space="preserve">With HashMap-based tile storage,</w:t>
      </w:r>
      <w:r>
        <w:rPr>
          <w:iCs/>
          <w:i/>
        </w:rPr>
        <w:t xml:space="preserve"> </w:t>
      </w:r>
      <w:r>
        <w:rPr>
          <w:rStyle w:val="VerbatimChar"/>
          <w:iCs/>
          <w:i/>
        </w:rPr>
        <w:t xml:space="preserve">compute_cycle_holonomy</w:t>
      </w:r>
      <w:r>
        <w:rPr>
          <w:iCs/>
          <w:i/>
        </w:rPr>
        <w:t xml:space="preserve"> </w:t>
      </w:r>
      <w:r>
        <w:rPr>
          <w:iCs/>
          <w:i/>
        </w:rPr>
        <w:t xml:space="preserve">on a cycle of length</w:t>
      </w:r>
      <w:r>
        <w:rPr>
          <w:iCs/>
          <w:i/>
        </w:rPr>
        <w:t xml:space="preserve"> </w:t>
      </w:r>
      <m:oMath>
        <m:sSub>
          <m:e>
            <m:r>
              <m:t>L</m:t>
            </m:r>
          </m:e>
          <m:sub>
            <m:r>
              <m:t>i</m:t>
            </m:r>
          </m:sub>
        </m:sSub>
      </m:oMath>
      <w:r>
        <w:rPr>
          <w:iCs/>
          <w:i/>
        </w:rPr>
        <w:t xml:space="preserve"> </w:t>
      </w:r>
      <w:r>
        <w:rPr>
          <w:iCs/>
          <w:i/>
        </w:rPr>
        <w:t xml:space="preserve">executes</w:t>
      </w:r>
      <w:r>
        <w:rPr>
          <w:iCs/>
          <w:i/>
        </w:rPr>
        <w:t xml:space="preserve"> </w:t>
      </w:r>
      <m:oMath>
        <m:r>
          <m:t>O</m:t>
        </m:r>
        <m:d>
          <m:dPr>
            <m:begChr m:val="("/>
            <m:endChr m:val=")"/>
            <m:sepChr m:val=""/>
            <m:grow/>
          </m:dPr>
          <m:e>
            <m:sSub>
              <m:e>
                <m:r>
                  <m:t>L</m:t>
                </m:r>
              </m:e>
              <m:sub>
                <m:r>
                  <m:t>i</m:t>
                </m:r>
              </m:sub>
            </m:sSub>
          </m:e>
        </m:d>
      </m:oMath>
      <w:r>
        <w:rPr>
          <w:iCs/>
          <w:i/>
        </w:rPr>
        <w:t xml:space="preserve"> </w:t>
      </w:r>
      <w:r>
        <w:rPr>
          <w:iCs/>
          <w:i/>
        </w:rPr>
        <w:t xml:space="preserve">tile lookups and</w:t>
      </w:r>
      <w:r>
        <w:rPr>
          <w:iCs/>
          <w:i/>
        </w:rPr>
        <w:t xml:space="preserve"> </w:t>
      </w:r>
      <m:oMath>
        <m:r>
          <m:t>O</m:t>
        </m:r>
        <m:d>
          <m:dPr>
            <m:begChr m:val="("/>
            <m:endChr m:val=")"/>
            <m:sepChr m:val=""/>
            <m:grow/>
          </m:dPr>
          <m:e>
            <m:sSub>
              <m:e>
                <m:r>
                  <m:t>L</m:t>
                </m:r>
              </m:e>
              <m:sub>
                <m:r>
                  <m:t>i</m:t>
                </m:r>
              </m:sub>
            </m:sSub>
          </m:e>
        </m:d>
      </m:oMath>
      <w:r>
        <w:rPr>
          <w:iCs/>
          <w:i/>
        </w:rPr>
        <w:t xml:space="preserve"> </w:t>
      </w:r>
      <w:r>
        <w:rPr>
          <w:iCs/>
          <w:i/>
        </w:rPr>
        <w:t xml:space="preserve">matrix multiplications.</w:t>
      </w:r>
    </w:p>
    <w:p>
      <w:pPr>
        <w:pStyle w:val="BodyText"/>
      </w:pPr>
      <w:r>
        <w:rPr>
          <w:iCs/>
          <w:i/>
        </w:rPr>
        <w:t xml:space="preserve">Proof.</w:t>
      </w:r>
      <w:r>
        <w:t xml:space="preserve"> </w:t>
      </w:r>
      <w:r>
        <w:t xml:space="preserve">Each</w:t>
      </w:r>
      <w:r>
        <w:t xml:space="preserve"> </w:t>
      </w:r>
      <w:r>
        <w:rPr>
          <w:rStyle w:val="VerbatimChar"/>
        </w:rPr>
        <w:t xml:space="preserve">self.tiles.get(tile_id)</w:t>
      </w:r>
      <w:r>
        <w:t xml:space="preserve"> </w:t>
      </w:r>
      <w:r>
        <w:t xml:space="preserve">is an expected</w:t>
      </w:r>
      <w:r>
        <w:t xml:space="preserve"> </w:t>
      </w:r>
      <m:oMath>
        <m:r>
          <m:t>O</m:t>
        </m:r>
        <m:d>
          <m:dPr>
            <m:begChr m:val="("/>
            <m:endChr m:val=")"/>
            <m:sepChr m:val=""/>
            <m:grow/>
          </m:dPr>
          <m:e>
            <m:r>
              <m:t>1</m:t>
            </m:r>
          </m:e>
        </m:d>
      </m:oMath>
      <w:r>
        <w:t xml:space="preserve"> </w:t>
      </w:r>
      <w:r>
        <w:t xml:space="preserve">hash table lookup. There are</w:t>
      </w:r>
      <w:r>
        <w:t xml:space="preserve"> </w:t>
      </w:r>
      <m:oMath>
        <m:sSub>
          <m:e>
            <m:r>
              <m:t>L</m:t>
            </m:r>
          </m:e>
          <m:sub>
            <m:r>
              <m:t>i</m:t>
            </m:r>
          </m:sub>
        </m:sSub>
      </m:oMath>
      <w:r>
        <w:t xml:space="preserve"> </w:t>
      </w:r>
      <w:r>
        <w:t xml:space="preserve">such lookups per cycle. Each matrix multiplication is</w:t>
      </w:r>
      <w:r>
        <w:t xml:space="preserve"> </w:t>
      </w:r>
      <m:oMath>
        <m:r>
          <m:t>O</m:t>
        </m:r>
        <m:d>
          <m:dPr>
            <m:begChr m:val="("/>
            <m:endChr m:val=")"/>
            <m:sepChr m:val=""/>
            <m:grow/>
          </m:dPr>
          <m:e>
            <m:r>
              <m:t>1</m:t>
            </m:r>
          </m:e>
        </m:d>
      </m:oMath>
      <w:r>
        <w:t xml:space="preserve"> </w:t>
      </w:r>
      <w:r>
        <w:t xml:space="preserve">on</w:t>
      </w:r>
      <w:r>
        <w:t xml:space="preserve"> </w:t>
      </w:r>
      <m:oMath>
        <m:r>
          <m:t>3</m:t>
        </m:r>
        <m:r>
          <m:rPr>
            <m:sty m:val="p"/>
          </m:rPr>
          <m:t>×</m:t>
        </m:r>
        <m:r>
          <m:t>3</m:t>
        </m:r>
      </m:oMath>
      <w:r>
        <w:t xml:space="preserve"> </w:t>
      </w:r>
      <w:r>
        <w:t xml:space="preserve">matrices. The total is</w:t>
      </w:r>
      <w:r>
        <w:t xml:space="preserve"> </w:t>
      </w:r>
      <m:oMath>
        <m:r>
          <m:t>O</m:t>
        </m:r>
        <m:d>
          <m:dPr>
            <m:begChr m:val="("/>
            <m:endChr m:val=")"/>
            <m:sepChr m:val=""/>
            <m:grow/>
          </m:dPr>
          <m:e>
            <m:sSub>
              <m:e>
                <m:r>
                  <m:t>L</m:t>
                </m:r>
              </m:e>
              <m:sub>
                <m:r>
                  <m:t>i</m:t>
                </m:r>
              </m:sub>
            </m:sSub>
          </m:e>
        </m:d>
      </m:oMath>
      <w:r>
        <w:t xml:space="preserve">.</w:t>
      </w:r>
      <w:r>
        <w:t xml:space="preserve"> </w:t>
      </w:r>
      <m:oMath>
        <m:r>
          <m:rPr>
            <m:sty m:val="p"/>
          </m:rPr>
          <m:t>▫</m:t>
        </m:r>
      </m:oMath>
    </w:p>
    <w:p>
      <w:pPr>
        <w:pStyle w:val="BodyText"/>
      </w:pPr>
      <w:r>
        <w:rPr>
          <w:bCs/>
          <w:b/>
        </w:rPr>
        <w:t xml:space="preserve">Theorem D.5 (Total Optimized Verification Complexity).</w:t>
      </w:r>
      <w:r>
        <w:t xml:space="preserve"> </w:t>
      </w:r>
      <w:r>
        <w:rPr>
          <w:iCs/>
          <w:i/>
        </w:rPr>
        <w:t xml:space="preserve">With HashMap optimization, total holonomy verification over all cycles costs</w:t>
      </w:r>
      <w:r>
        <w:rPr>
          <w:iCs/>
          <w:i/>
        </w:rPr>
        <w:t xml:space="preserve"> </w:t>
      </w:r>
      <m:oMath>
        <m:r>
          <m:t>O</m:t>
        </m:r>
        <m:d>
          <m:dPr>
            <m:begChr m:val="("/>
            <m:endChr m:val=")"/>
            <m:sepChr m:val=""/>
            <m:grow/>
          </m:dPr>
          <m:e>
            <m:r>
              <m:t>C</m:t>
            </m:r>
            <m:r>
              <m:rPr>
                <m:sty m:val="p"/>
              </m:rPr>
              <m:t>⋅</m:t>
            </m:r>
            <m:r>
              <m:t>L</m:t>
            </m:r>
          </m:e>
        </m:d>
      </m:oMath>
      <w:r>
        <w:rPr>
          <w:iCs/>
          <w:i/>
        </w:rPr>
        <w:t xml:space="preserve"> </w:t>
      </w:r>
      <w:r>
        <w:rPr>
          <w:iCs/>
          <w:i/>
        </w:rPr>
        <w:t xml:space="preserve">operations.</w:t>
      </w:r>
    </w:p>
    <w:p>
      <w:pPr>
        <w:pStyle w:val="BodyText"/>
      </w:pPr>
      <w:r>
        <w:rPr>
          <w:iCs/>
          <w:i/>
        </w:rPr>
        <w:t xml:space="preserve">Proof.</w:t>
      </w:r>
      <w:r>
        <w:t xml:space="preserve"> </w:t>
      </w:r>
      <w:r>
        <w:t xml:space="preserve">Summing Theorem D.4 over all cycles:</w:t>
      </w:r>
    </w:p>
    <w:p>
      <w:pPr>
        <w:pStyle w:val="BodyText"/>
      </w:pPr>
      <m:oMathPara>
        <m:oMathParaPr>
          <m:jc m:val="center"/>
        </m:oMathParaPr>
        <m:oMath>
          <m:nary>
            <m:naryPr>
              <m:chr m:val="∑"/>
              <m:limLoc m:val="undOvr"/>
              <m:subHide m:val="0"/>
              <m:supHide m:val="0"/>
            </m:naryPr>
            <m:sub>
              <m:r>
                <m:t>i</m:t>
              </m:r>
              <m:r>
                <m:rPr>
                  <m:sty m:val="p"/>
                </m:rPr>
                <m:t>=</m:t>
              </m:r>
              <m:r>
                <m:t>1</m:t>
              </m:r>
            </m:sub>
            <m:sup>
              <m:r>
                <m:t>C</m:t>
              </m:r>
            </m:sup>
            <m:e>
              <m:r>
                <m:t>O</m:t>
              </m:r>
            </m:e>
          </m:nary>
          <m:d>
            <m:dPr>
              <m:begChr m:val="("/>
              <m:endChr m:val=")"/>
              <m:sepChr m:val=""/>
              <m:grow/>
            </m:dPr>
            <m:e>
              <m:sSub>
                <m:e>
                  <m:r>
                    <m:t>L</m:t>
                  </m:r>
                </m:e>
                <m:sub>
                  <m:r>
                    <m:t>i</m:t>
                  </m:r>
                </m:sub>
              </m:sSub>
            </m:e>
          </m:d>
          <m:r>
            <m:rPr>
              <m:sty m:val="p"/>
            </m:rPr>
            <m:t>=</m:t>
          </m:r>
          <m:r>
            <m:t>O</m:t>
          </m:r>
          <m:d>
            <m:dPr>
              <m:begChr m:val="("/>
              <m:endChr m:val=")"/>
              <m:sepChr m:val=""/>
              <m:grow/>
            </m:dPr>
            <m:e>
              <m:r>
                <m:t>C</m:t>
              </m:r>
              <m:r>
                <m:rPr>
                  <m:sty m:val="p"/>
                </m:rPr>
                <m:t>⋅</m:t>
              </m:r>
              <m:r>
                <m:t>L</m:t>
              </m:r>
            </m:e>
          </m:d>
        </m:oMath>
      </m:oMathPara>
    </w:p>
    <w:p>
      <w:pPr>
        <w:pStyle w:val="FirstParagraph"/>
      </w:pPr>
      <m:oMath>
        <m:r>
          <m:rPr>
            <m:sty m:val="p"/>
          </m:rPr>
          <m:t>▫</m:t>
        </m:r>
      </m:oMath>
    </w:p>
    <w:p>
      <w:pPr>
        <w:pStyle w:val="BodyText"/>
      </w:pPr>
      <w:r>
        <w:rPr>
          <w:bCs/>
          <w:b/>
        </w:rPr>
        <w:t xml:space="preserve">Corollary D.6 (Per-Node Message Complexity, Optimized).</w:t>
      </w:r>
      <w:r>
        <w:t xml:space="preserve"> </w:t>
      </w:r>
      <w:r>
        <w:rPr>
          <w:iCs/>
          <w:i/>
        </w:rPr>
        <w:t xml:space="preserve">Each node broadcasts one</w:t>
      </w:r>
      <w:r>
        <w:rPr>
          <w:iCs/>
          <w:i/>
        </w:rPr>
        <w:t xml:space="preserve"> </w:t>
      </w:r>
      <m:oMath>
        <m:r>
          <m:t>3</m:t>
        </m:r>
        <m:r>
          <m:rPr>
            <m:sty m:val="p"/>
          </m:rPr>
          <m:t>×</m:t>
        </m:r>
        <m:r>
          <m:t>3</m:t>
        </m:r>
      </m:oMath>
      <w:r>
        <w:rPr>
          <w:iCs/>
          <w:i/>
        </w:rPr>
        <w:t xml:space="preserve"> </w:t>
      </w:r>
      <w:r>
        <w:rPr>
          <w:iCs/>
          <w:i/>
        </w:rPr>
        <w:t xml:space="preserve">holonomy matrix (</w:t>
      </w:r>
      <m:oMath>
        <m:r>
          <m:t>O</m:t>
        </m:r>
        <m:d>
          <m:dPr>
            <m:begChr m:val="("/>
            <m:endChr m:val=")"/>
            <m:sepChr m:val=""/>
            <m:grow/>
          </m:dPr>
          <m:e>
            <m:r>
              <m:t>1</m:t>
            </m:r>
          </m:e>
        </m:d>
      </m:oMath>
      <w:r>
        <w:rPr>
          <w:iCs/>
          <w:i/>
        </w:rPr>
        <w:t xml:space="preserve"> </w:t>
      </w:r>
      <w:r>
        <w:rPr>
          <w:iCs/>
          <w:i/>
        </w:rPr>
        <w:t xml:space="preserve">message size,</w:t>
      </w:r>
      <w:r>
        <w:rPr>
          <w:iCs/>
          <w:i/>
        </w:rPr>
        <w:t xml:space="preserve"> </w:t>
      </w:r>
      <m:oMath>
        <m:r>
          <m:t>O</m:t>
        </m:r>
        <m:d>
          <m:dPr>
            <m:begChr m:val="("/>
            <m:endChr m:val=")"/>
            <m:sepChr m:val=""/>
            <m:grow/>
          </m:dPr>
          <m:e>
            <m:r>
              <m:t>1</m:t>
            </m:r>
          </m:e>
        </m:d>
      </m:oMath>
      <w:r>
        <w:rPr>
          <w:iCs/>
          <w:i/>
        </w:rPr>
        <w:t xml:space="preserve"> </w:t>
      </w:r>
      <w:r>
        <w:rPr>
          <w:iCs/>
          <w:i/>
        </w:rPr>
        <w:t xml:space="preserve">sends) and receives</w:t>
      </w:r>
      <w:r>
        <w:rPr>
          <w:iCs/>
          <w:i/>
        </w:rPr>
        <w:t xml:space="preserve"> </w:t>
      </w:r>
      <m:oMath>
        <m:r>
          <m:t>O</m:t>
        </m:r>
        <m:d>
          <m:dPr>
            <m:begChr m:val="("/>
            <m:endChr m:val=")"/>
            <m:sepChr m:val=""/>
            <m:grow/>
          </m:dPr>
          <m:e>
            <m:r>
              <m:rPr>
                <m:sty m:val="p"/>
              </m:rPr>
              <m:t>deg</m:t>
            </m:r>
          </m:e>
        </m:d>
      </m:oMath>
      <w:r>
        <w:rPr>
          <w:iCs/>
          <w:i/>
        </w:rPr>
        <w:t xml:space="preserve"> </w:t>
      </w:r>
      <w:r>
        <w:rPr>
          <w:iCs/>
          <w:i/>
        </w:rPr>
        <w:t xml:space="preserve">matrices from neighbors. Local verification is</w:t>
      </w:r>
      <w:r>
        <w:rPr>
          <w:iCs/>
          <w:i/>
        </w:rPr>
        <w:t xml:space="preserve"> </w:t>
      </w:r>
      <m:oMath>
        <m:r>
          <m:t>O</m:t>
        </m:r>
        <m:d>
          <m:dPr>
            <m:begChr m:val="("/>
            <m:endChr m:val=")"/>
            <m:sepChr m:val=""/>
            <m:grow/>
          </m:dPr>
          <m:e>
            <m:r>
              <m:t>C</m:t>
            </m:r>
            <m:r>
              <m:rPr>
                <m:sty m:val="p"/>
              </m:rPr>
              <m:t>⋅</m:t>
            </m:r>
            <m:r>
              <m:t>L</m:t>
            </m:r>
          </m:e>
        </m:d>
      </m:oMath>
      <w:r>
        <w:rPr>
          <w:iCs/>
          <w:i/>
        </w:rPr>
        <w:t xml:space="preserve">. Under bounded degree</w:t>
      </w:r>
      <w:r>
        <w:rPr>
          <w:iCs/>
          <w:i/>
        </w:rPr>
        <w:t xml:space="preserve"> </w:t>
      </w:r>
      <m:oMath>
        <m:r>
          <m:rPr>
            <m:sty m:val="p"/>
          </m:rPr>
          <m:t>deg</m:t>
        </m:r>
        <m:r>
          <m:rPr>
            <m:sty m:val="p"/>
          </m:rPr>
          <m:t>≤</m:t>
        </m:r>
        <m:sSub>
          <m:e>
            <m:r>
              <m:t>d</m:t>
            </m:r>
          </m:e>
          <m:sub>
            <m:r>
              <m:rPr>
                <m:sty m:val="p"/>
              </m:rPr>
              <m:t>max</m:t>
            </m:r>
          </m:sub>
        </m:sSub>
      </m:oMath>
      <w:r>
        <w:rPr>
          <w:iCs/>
          <w:i/>
        </w:rPr>
        <w:t xml:space="preserve"> </w:t>
      </w:r>
      <w:r>
        <w:rPr>
          <w:iCs/>
          <w:i/>
        </w:rPr>
        <w:t xml:space="preserve">and bounded cycle length</w:t>
      </w:r>
      <w:r>
        <w:rPr>
          <w:iCs/>
          <w:i/>
        </w:rPr>
        <w:t xml:space="preserve"> </w:t>
      </w:r>
      <m:oMath>
        <m:r>
          <m:t>L</m:t>
        </m:r>
        <m:r>
          <m:rPr>
            <m:sty m:val="p"/>
          </m:rPr>
          <m:t>≤</m:t>
        </m:r>
        <m:sSub>
          <m:e>
            <m:r>
              <m:t>L</m:t>
            </m:r>
          </m:e>
          <m:sub>
            <m:r>
              <m:rPr>
                <m:sty m:val="p"/>
              </m:rPr>
              <m:t>max</m:t>
            </m:r>
          </m:sub>
        </m:sSub>
      </m:oMath>
      <w:r>
        <w:rPr>
          <w:iCs/>
          <w:i/>
        </w:rPr>
        <w:t xml:space="preserve">, per-node work is</w:t>
      </w:r>
      <w:r>
        <w:rPr>
          <w:iCs/>
          <w:i/>
        </w:rPr>
        <w:t xml:space="preserve"> </w:t>
      </w:r>
      <m:oMath>
        <m:r>
          <m:t>O</m:t>
        </m:r>
        <m:d>
          <m:dPr>
            <m:begChr m:val="("/>
            <m:endChr m:val=")"/>
            <m:sepChr m:val=""/>
            <m:grow/>
          </m:dPr>
          <m:e>
            <m:r>
              <m:t>1</m:t>
            </m:r>
          </m:e>
        </m:d>
      </m:oMath>
      <w:r>
        <w:rPr>
          <w:iCs/>
          <w:i/>
        </w:rPr>
        <w:t xml:space="preserve"> </w:t>
      </w:r>
      <w:r>
        <w:rPr>
          <w:iCs/>
          <w:i/>
        </w:rPr>
        <w:t xml:space="preserve">in</w:t>
      </w:r>
      <w:r>
        <w:rPr>
          <w:iCs/>
          <w:i/>
        </w:rPr>
        <w:t xml:space="preserve"> </w:t>
      </w:r>
      <m:oMath>
        <m:r>
          <m:t>N</m:t>
        </m:r>
      </m:oMath>
      <w:r>
        <w:rPr>
          <w:iCs/>
          <w:i/>
        </w:rPr>
        <w:t xml:space="preserve">.</w:t>
      </w:r>
    </w:p>
    <w:p>
      <w:pPr>
        <w:pStyle w:val="BodyText"/>
      </w:pPr>
      <w:r>
        <w:t xml:space="preserve">This is the regime in which the dissertation’s</w:t>
      </w:r>
      <w:r>
        <w:t xml:space="preserve"> </w:t>
      </w:r>
      <m:oMath>
        <m:r>
          <m:t>O</m:t>
        </m:r>
        <m:d>
          <m:dPr>
            <m:begChr m:val="("/>
            <m:endChr m:val=")"/>
            <m:sepChr m:val=""/>
            <m:grow/>
          </m:dPr>
          <m:e>
            <m:r>
              <m:t>1</m:t>
            </m:r>
          </m:e>
        </m:d>
      </m:oMath>
      <w:r>
        <w:t xml:space="preserve"> </w:t>
      </w:r>
      <w:r>
        <w:t xml:space="preserve">per-node claim becomes defensible. The HashMap optimization is not exotic; it is the standard engineering practice one would apply in any production implementation. The gap between the naive and optimized bounds is exactly the gap between code-as-prototype and code-as-product.</w:t>
      </w:r>
    </w:p>
    <w:p>
      <w:r>
        <w:pict>
          <v:rect style="width:0;height:1.5pt" o:hralign="center" o:hrstd="t" o:hr="t"/>
        </w:pict>
      </w:r>
    </w:p>
    <w:bookmarkEnd w:id="103"/>
    <w:bookmarkStart w:id="105" w:name="d.4-cycle-discovery-complexity"/>
    <w:p>
      <w:pPr>
        <w:pStyle w:val="Heading2"/>
      </w:pPr>
      <w:r>
        <w:t xml:space="preserve">D.4 Cycle Discovery Complexity</w:t>
      </w:r>
    </w:p>
    <w:p>
      <w:pPr>
        <w:pStyle w:val="FirstParagraph"/>
      </w:pPr>
      <w:r>
        <w:t xml:space="preserve">Cycle verification (Section D.3) presupposes that the cycles are already known. The function</w:t>
      </w:r>
      <w:r>
        <w:t xml:space="preserve"> </w:t>
      </w:r>
      <w:r>
        <w:rPr>
          <w:rStyle w:val="VerbatimChar"/>
        </w:rPr>
        <w:t xml:space="preserve">find_all_cycles()</w:t>
      </w:r>
      <w:r>
        <w:t xml:space="preserve"> </w:t>
      </w:r>
      <w:r>
        <w:t xml:space="preserve">performs cycle enumeration over the consensus graph</w:t>
      </w:r>
      <w:r>
        <w:t xml:space="preserve"> </w:t>
      </w:r>
      <m:oMath>
        <m:r>
          <m:t>G</m:t>
        </m:r>
        <m:r>
          <m:rPr>
            <m:sty m:val="p"/>
          </m:rPr>
          <m:t>=</m:t>
        </m:r>
        <m:d>
          <m:dPr>
            <m:begChr m:val="("/>
            <m:endChr m:val=")"/>
            <m:sepChr m:val=""/>
            <m:grow/>
          </m:dPr>
          <m:e>
            <m:r>
              <m:t>V</m:t>
            </m:r>
            <m:r>
              <m:rPr>
                <m:sty m:val="p"/>
              </m:rPr>
              <m:t>,</m:t>
            </m:r>
            <m:r>
              <m:t>E</m:t>
            </m:r>
          </m:e>
        </m:d>
      </m:oMath>
      <w:r>
        <w:t xml:space="preserve">, where</w:t>
      </w:r>
      <w:r>
        <w:t xml:space="preserve"> </w:t>
      </w:r>
      <m:oMath>
        <m:r>
          <m:t>V</m:t>
        </m:r>
      </m:oMath>
      <w:r>
        <w:t xml:space="preserve"> </w:t>
      </w:r>
      <w:r>
        <w:t xml:space="preserve">is the set of tiles and</w:t>
      </w:r>
      <w:r>
        <w:t xml:space="preserve"> </w:t>
      </w:r>
      <m:oMath>
        <m:r>
          <m:t>E</m:t>
        </m:r>
      </m:oMath>
      <w:r>
        <w:t xml:space="preserve"> </w:t>
      </w:r>
      <w:r>
        <w:t xml:space="preserve">is the set of adjacency relations derived from shared facets. The complexity of cycle enumeration depends critically on the maximum degree</w:t>
      </w:r>
      <w:r>
        <w:t xml:space="preserve"> </w:t>
      </w:r>
      <m:oMath>
        <m:r>
          <m:t>Δ</m:t>
        </m:r>
        <m:d>
          <m:dPr>
            <m:begChr m:val="("/>
            <m:endChr m:val=")"/>
            <m:sepChr m:val=""/>
            <m:grow/>
          </m:dPr>
          <m:e>
            <m:r>
              <m:t>G</m:t>
            </m:r>
          </m:e>
        </m:d>
      </m:oMath>
      <w:r>
        <w:t xml:space="preserve"> </w:t>
      </w:r>
      <w:r>
        <w:t xml:space="preserve">and the diameter-bound on cycle length.</w:t>
      </w:r>
    </w:p>
    <w:p>
      <w:pPr>
        <w:pStyle w:val="BodyText"/>
      </w:pPr>
      <w:r>
        <w:rPr>
          <w:bCs/>
          <w:b/>
        </w:rPr>
        <w:t xml:space="preserve">Lemma D.7 (General Cycle Enumeration).</w:t>
      </w:r>
      <w:r>
        <w:t xml:space="preserve"> </w:t>
      </w:r>
      <w:r>
        <w:rPr>
          <w:iCs/>
          <w:i/>
        </w:rPr>
        <w:t xml:space="preserve">Enumerating all simple cycles in an undirected graph with</w:t>
      </w:r>
      <w:r>
        <w:rPr>
          <w:iCs/>
          <w:i/>
        </w:rPr>
        <w:t xml:space="preserve"> </w:t>
      </w:r>
      <m:oMath>
        <m:r>
          <m:t>N</m:t>
        </m:r>
      </m:oMath>
      <w:r>
        <w:rPr>
          <w:iCs/>
          <w:i/>
        </w:rPr>
        <w:t xml:space="preserve"> </w:t>
      </w:r>
      <w:r>
        <w:rPr>
          <w:iCs/>
          <w:i/>
        </w:rPr>
        <w:t xml:space="preserve">vertices can require</w:t>
      </w:r>
      <w:r>
        <w:rPr>
          <w:iCs/>
          <w:i/>
        </w:rPr>
        <w:t xml:space="preserve"> </w:t>
      </w:r>
      <m:oMath>
        <m:r>
          <m:t>Ω</m:t>
        </m:r>
        <m:d>
          <m:dPr>
            <m:begChr m:val="("/>
            <m:endChr m:val=")"/>
            <m:sepChr m:val=""/>
            <m:grow/>
          </m:dPr>
          <m:e>
            <m:sSup>
              <m:e>
                <m:r>
                  <m:t>2</m:t>
                </m:r>
              </m:e>
              <m:sup>
                <m:r>
                  <m:t>N</m:t>
                </m:r>
              </m:sup>
            </m:sSup>
          </m:e>
        </m:d>
      </m:oMath>
      <w:r>
        <w:rPr>
          <w:iCs/>
          <w:i/>
        </w:rPr>
        <w:t xml:space="preserve"> </w:t>
      </w:r>
      <w:r>
        <w:rPr>
          <w:iCs/>
          <w:i/>
        </w:rPr>
        <w:t xml:space="preserve">time in the worst case, as the number of simple cycles can be exponential in</w:t>
      </w:r>
      <w:r>
        <w:rPr>
          <w:iCs/>
          <w:i/>
        </w:rPr>
        <w:t xml:space="preserve"> </w:t>
      </w:r>
      <m:oMath>
        <m:r>
          <m:t>N</m:t>
        </m:r>
      </m:oMath>
      <w:r>
        <w:rPr>
          <w:iCs/>
          <w:i/>
        </w:rPr>
        <w:t xml:space="preserve"> </w:t>
      </w:r>
      <w:r>
        <w:rPr>
          <w:iCs/>
          <w:i/>
        </w:rPr>
        <w:t xml:space="preserve">(e.g., the complete graph</w:t>
      </w:r>
      <w:r>
        <w:rPr>
          <w:iCs/>
          <w:i/>
        </w:rPr>
        <w:t xml:space="preserve"> </w:t>
      </w:r>
      <m:oMath>
        <m:sSub>
          <m:e>
            <m:r>
              <m:t>K</m:t>
            </m:r>
          </m:e>
          <m:sub>
            <m:r>
              <m:t>N</m:t>
            </m:r>
          </m:sub>
        </m:sSub>
      </m:oMath>
      <w:r>
        <w:rPr>
          <w:iCs/>
          <w:i/>
        </w:rPr>
        <w:t xml:space="preserve"> </w:t>
      </w:r>
      <w:r>
        <w:rPr>
          <w:iCs/>
          <w:i/>
        </w:rPr>
        <w:t xml:space="preserve">contains</w:t>
      </w:r>
      <w:r>
        <w:rPr>
          <w:iCs/>
          <w:i/>
        </w:rPr>
        <w:t xml:space="preserve"> </w:t>
      </w:r>
      <m:oMath>
        <m:nary>
          <m:naryPr>
            <m:chr m:val="∑"/>
            <m:limLoc m:val="undOvr"/>
            <m:subHide m:val="0"/>
            <m:supHide m:val="0"/>
          </m:naryPr>
          <m:sub>
            <m:r>
              <m:t>k</m:t>
            </m:r>
            <m:r>
              <m:rPr>
                <m:sty m:val="p"/>
              </m:rPr>
              <m:t>=</m:t>
            </m:r>
            <m:r>
              <m:t>3</m:t>
            </m:r>
          </m:sub>
          <m:sup>
            <m:r>
              <m:t>N</m:t>
            </m:r>
          </m:sup>
          <m:e>
            <m:f>
              <m:fPr>
                <m:type m:val="bar"/>
              </m:fPr>
              <m:num>
                <m:r>
                  <m:t>1</m:t>
                </m:r>
              </m:num>
              <m:den>
                <m:r>
                  <m:t>2</m:t>
                </m:r>
                <m:r>
                  <m:t>k</m:t>
                </m:r>
              </m:den>
            </m:f>
          </m:e>
        </m:nary>
        <m:r>
          <m:rPr>
            <m:sty m:val="p"/>
          </m:rPr>
          <m:t>⋅</m:t>
        </m:r>
        <m:f>
          <m:fPr>
            <m:type m:val="bar"/>
          </m:fPr>
          <m:num>
            <m:r>
              <m:t>N</m:t>
            </m:r>
            <m:r>
              <m:rPr>
                <m:sty m:val="p"/>
              </m:rPr>
              <m:t>!</m:t>
            </m:r>
          </m:num>
          <m:den>
            <m:d>
              <m:dPr>
                <m:begChr m:val="("/>
                <m:endChr m:val=")"/>
                <m:sepChr m:val=""/>
                <m:grow/>
              </m:dPr>
              <m:e>
                <m:r>
                  <m:t>N</m:t>
                </m:r>
                <m:r>
                  <m:rPr>
                    <m:sty m:val="p"/>
                  </m:rPr>
                  <m:t>−</m:t>
                </m:r>
                <m:r>
                  <m:t>k</m:t>
                </m:r>
              </m:e>
            </m:d>
            <m:r>
              <m:rPr>
                <m:sty m:val="p"/>
              </m:rPr>
              <m:t>!</m:t>
            </m:r>
          </m:den>
        </m:f>
      </m:oMath>
      <w:r>
        <w:rPr>
          <w:iCs/>
          <w:i/>
        </w:rPr>
        <w:t xml:space="preserve"> </w:t>
      </w:r>
      <w:r>
        <w:rPr>
          <w:iCs/>
          <w:i/>
        </w:rPr>
        <w:t xml:space="preserve">cycles).</w:t>
      </w:r>
      <w:r>
        <w:t xml:space="preserve"> </w:t>
      </w:r>
      <w:r>
        <w:rPr>
          <w:rStyle w:val="FootnoteReference"/>
        </w:rPr>
        <w:footnoteReference w:id="104"/>
      </w:r>
    </w:p>
    <w:p>
      <w:pPr>
        <w:pStyle w:val="BodyText"/>
      </w:pPr>
      <w:r>
        <w:rPr>
          <w:iCs/>
          <w:i/>
        </w:rPr>
        <w:t xml:space="preserve">Proof.</w:t>
      </w:r>
      <w:r>
        <w:t xml:space="preserve"> </w:t>
      </w:r>
      <w:r>
        <w:t xml:space="preserve">The number of simple cycles of length</w:t>
      </w:r>
      <w:r>
        <w:t xml:space="preserve"> </w:t>
      </w:r>
      <m:oMath>
        <m:r>
          <m:t>k</m:t>
        </m:r>
      </m:oMath>
      <w:r>
        <w:t xml:space="preserve"> </w:t>
      </w:r>
      <w:r>
        <w:t xml:space="preserve">in</w:t>
      </w:r>
      <w:r>
        <w:t xml:space="preserve"> </w:t>
      </w:r>
      <m:oMath>
        <m:sSub>
          <m:e>
            <m:r>
              <m:t>K</m:t>
            </m:r>
          </m:e>
          <m:sub>
            <m:r>
              <m:t>N</m:t>
            </m:r>
          </m:sub>
        </m:sSub>
      </m:oMath>
      <w:r>
        <w:t xml:space="preserve"> </w:t>
      </w:r>
      <w:r>
        <w:t xml:space="preserve">is</w:t>
      </w:r>
      <w:r>
        <w:t xml:space="preserve"> </w:t>
      </w:r>
      <m:oMath>
        <m:f>
          <m:fPr>
            <m:type m:val="bar"/>
          </m:fPr>
          <m:num>
            <m:r>
              <m:t>1</m:t>
            </m:r>
          </m:num>
          <m:den>
            <m:r>
              <m:t>2</m:t>
            </m:r>
            <m:r>
              <m:t>k</m:t>
            </m:r>
          </m:den>
        </m:f>
        <m:r>
          <m:rPr>
            <m:sty m:val="p"/>
          </m:rPr>
          <m:t>⋅</m:t>
        </m:r>
        <m:f>
          <m:fPr>
            <m:type m:val="bar"/>
          </m:fPr>
          <m:num>
            <m:r>
              <m:t>N</m:t>
            </m:r>
            <m:r>
              <m:rPr>
                <m:sty m:val="p"/>
              </m:rPr>
              <m:t>!</m:t>
            </m:r>
          </m:num>
          <m:den>
            <m:d>
              <m:dPr>
                <m:begChr m:val="("/>
                <m:endChr m:val=")"/>
                <m:sepChr m:val=""/>
                <m:grow/>
              </m:dPr>
              <m:e>
                <m:r>
                  <m:t>N</m:t>
                </m:r>
                <m:r>
                  <m:rPr>
                    <m:sty m:val="p"/>
                  </m:rPr>
                  <m:t>−</m:t>
                </m:r>
                <m:r>
                  <m:t>k</m:t>
                </m:r>
              </m:e>
            </m:d>
            <m:r>
              <m:rPr>
                <m:sty m:val="p"/>
              </m:rPr>
              <m:t>!</m:t>
            </m:r>
          </m:den>
        </m:f>
      </m:oMath>
      <w:r>
        <w:t xml:space="preserve">. Summing over</w:t>
      </w:r>
      <w:r>
        <w:t xml:space="preserve"> </w:t>
      </w:r>
      <m:oMath>
        <m:r>
          <m:t>k</m:t>
        </m:r>
        <m:r>
          <m:rPr>
            <m:sty m:val="p"/>
          </m:rPr>
          <m:t>=</m:t>
        </m:r>
        <m:r>
          <m:t>3</m:t>
        </m:r>
        <m:r>
          <m:rPr>
            <m:sty m:val="p"/>
          </m:rPr>
          <m:t>…</m:t>
        </m:r>
        <m:r>
          <m:t>N</m:t>
        </m:r>
      </m:oMath>
      <w:r>
        <w:t xml:space="preserve"> </w:t>
      </w:r>
      <w:r>
        <w:t xml:space="preserve">yields a count that grows super-polynomially. Each cycle must be traversed to compute its holonomy, so the time is at least proportional to the number of cycles.</w:t>
      </w:r>
      <w:r>
        <w:t xml:space="preserve"> </w:t>
      </w:r>
      <m:oMath>
        <m:r>
          <m:rPr>
            <m:sty m:val="p"/>
          </m:rPr>
          <m:t>▫</m:t>
        </m:r>
      </m:oMath>
    </w:p>
    <w:p>
      <w:pPr>
        <w:pStyle w:val="BodyText"/>
      </w:pPr>
      <w:r>
        <w:t xml:space="preserve">However, the PLATO consensus graph is not an arbitrary graph. It is a</w:t>
      </w:r>
      <w:r>
        <w:t xml:space="preserve"> </w:t>
      </w:r>
      <w:r>
        <w:rPr>
          <w:bCs/>
          <w:b/>
        </w:rPr>
        <w:t xml:space="preserve">bearing rigidity graph</w:t>
      </w:r>
      <w:r>
        <w:t xml:space="preserve"> </w:t>
      </w:r>
      <w:r>
        <w:t xml:space="preserve">in</w:t>
      </w:r>
      <w:r>
        <w:t xml:space="preserve"> </w:t>
      </w:r>
      <m:oMath>
        <m:sSup>
          <m:e>
            <m:r>
              <m:rPr>
                <m:sty m:val="p"/>
                <m:scr m:val="double-struck"/>
              </m:rPr>
              <m:t>R</m:t>
            </m:r>
          </m:e>
          <m:sup>
            <m:r>
              <m:t>3</m:t>
            </m:r>
          </m:sup>
        </m:sSup>
      </m:oMath>
      <w:r>
        <w:t xml:space="preserve"> </w:t>
      </w:r>
      <w:r>
        <w:t xml:space="preserve">with a maximum vertex degree bounded by the rigidity constraint. In 3D bearing rigidity, each agent measures relative bearings to neighbors; the graph is generically rigid only if it contains a Laman-spanning subgraph adapted to dimension</w:t>
      </w:r>
      <w:r>
        <w:t xml:space="preserve"> </w:t>
      </w:r>
      <m:oMath>
        <m:r>
          <m:t>d</m:t>
        </m:r>
        <m:r>
          <m:rPr>
            <m:sty m:val="p"/>
          </m:rPr>
          <m:t>=</m:t>
        </m:r>
        <m:r>
          <m:t>3</m:t>
        </m:r>
      </m:oMath>
      <w:r>
        <w:t xml:space="preserve">. For bearing rigidity specifically, the degree bound is governed by the number of independent bearings required to fix an agent’s orientation: at most</w:t>
      </w:r>
      <w:r>
        <w:t xml:space="preserve"> </w:t>
      </w:r>
      <m:oMath>
        <m:r>
          <m:t>12</m:t>
        </m:r>
      </m:oMath>
      <w:r>
        <w:t xml:space="preserve"> </w:t>
      </w:r>
      <w:r>
        <w:t xml:space="preserve">neighbors suffice to over-constrain the orientation group</w:t>
      </w:r>
      <w:r>
        <w:t xml:space="preserve"> </w:t>
      </w:r>
      <m:oMath>
        <m:r>
          <m:t>S</m:t>
        </m:r>
        <m:r>
          <m:t>O</m:t>
        </m:r>
        <m:d>
          <m:dPr>
            <m:begChr m:val="("/>
            <m:endChr m:val=")"/>
            <m:sepChr m:val=""/>
            <m:grow/>
          </m:dPr>
          <m:e>
            <m:r>
              <m:t>3</m:t>
            </m:r>
          </m:e>
        </m:d>
      </m:oMath>
      <w:r>
        <w:t xml:space="preserve"> </w:t>
      </w:r>
      <w:r>
        <w:t xml:space="preserve">in practice (more precisely, the rigidity matrix has rank</w:t>
      </w:r>
      <w:r>
        <w:t xml:space="preserve"> </w:t>
      </w:r>
      <m:oMath>
        <m:r>
          <m:t>3</m:t>
        </m:r>
        <m:r>
          <m:t>N</m:t>
        </m:r>
        <m:r>
          <m:rPr>
            <m:sty m:val="p"/>
          </m:rPr>
          <m:t>−</m:t>
        </m:r>
        <m:r>
          <m:t>6</m:t>
        </m:r>
      </m:oMath>
      <w:r>
        <w:t xml:space="preserve"> </w:t>
      </w:r>
      <w:r>
        <w:t xml:space="preserve">for</w:t>
      </w:r>
      <w:r>
        <w:t xml:space="preserve"> </w:t>
      </w:r>
      <m:oMath>
        <m:r>
          <m:t>N</m:t>
        </m:r>
      </m:oMath>
      <w:r>
        <w:t xml:space="preserve"> </w:t>
      </w:r>
      <w:r>
        <w:t xml:space="preserve">agents in 3D, and generically rigid graphs need not be complete).</w:t>
      </w:r>
    </w:p>
    <w:p>
      <w:pPr>
        <w:pStyle w:val="BodyText"/>
      </w:pPr>
      <w:r>
        <w:rPr>
          <w:bCs/>
          <w:b/>
        </w:rPr>
        <w:t xml:space="preserve">Assumption D.8 (Bounded Degree).</w:t>
      </w:r>
      <w:r>
        <w:t xml:space="preserve"> </w:t>
      </w:r>
      <w:r>
        <w:rPr>
          <w:iCs/>
          <w:i/>
        </w:rPr>
        <w:t xml:space="preserve">The consensus graph</w:t>
      </w:r>
      <w:r>
        <w:rPr>
          <w:iCs/>
          <w:i/>
        </w:rPr>
        <w:t xml:space="preserve"> </w:t>
      </w:r>
      <m:oMath>
        <m:r>
          <m:t>G</m:t>
        </m:r>
      </m:oMath>
      <w:r>
        <w:rPr>
          <w:iCs/>
          <w:i/>
        </w:rPr>
        <w:t xml:space="preserve"> </w:t>
      </w:r>
      <w:r>
        <w:rPr>
          <w:iCs/>
          <w:i/>
        </w:rPr>
        <w:t xml:space="preserve">satisfies</w:t>
      </w:r>
      <w:r>
        <w:rPr>
          <w:iCs/>
          <w:i/>
        </w:rPr>
        <w:t xml:space="preserve"> </w:t>
      </w:r>
      <m:oMath>
        <m:r>
          <m:t>Δ</m:t>
        </m:r>
        <m:d>
          <m:dPr>
            <m:begChr m:val="("/>
            <m:endChr m:val=")"/>
            <m:sepChr m:val=""/>
            <m:grow/>
          </m:dPr>
          <m:e>
            <m:r>
              <m:t>G</m:t>
            </m:r>
          </m:e>
        </m:d>
        <m:r>
          <m:rPr>
            <m:sty m:val="p"/>
          </m:rPr>
          <m:t>≤</m:t>
        </m:r>
        <m:sSub>
          <m:e>
            <m:r>
              <m:t>d</m:t>
            </m:r>
          </m:e>
          <m:sub>
            <m:r>
              <m:rPr>
                <m:sty m:val="p"/>
              </m:rPr>
              <m:t>max</m:t>
            </m:r>
          </m:sub>
        </m:sSub>
        <m:r>
          <m:rPr>
            <m:sty m:val="p"/>
          </m:rPr>
          <m:t>=</m:t>
        </m:r>
        <m:r>
          <m:t>12</m:t>
        </m:r>
      </m:oMath>
      <w:r>
        <w:rPr>
          <w:iCs/>
          <w:i/>
        </w:rPr>
        <w:t xml:space="preserve">. This is enforced by the bearing rigidity adjacency rules in the PLATO fleet protocol.</w:t>
      </w:r>
    </w:p>
    <w:p>
      <w:pPr>
        <w:pStyle w:val="BodyText"/>
      </w:pPr>
      <w:r>
        <w:rPr>
          <w:bCs/>
          <w:b/>
        </w:rPr>
        <w:t xml:space="preserve">Assumption D.9 (Bounded Cycle Length).</w:t>
      </w:r>
      <w:r>
        <w:t xml:space="preserve"> </w:t>
      </w:r>
      <w:r>
        <w:rPr>
          <w:iCs/>
          <w:i/>
        </w:rPr>
        <w:t xml:space="preserve">Only cycles of length</w:t>
      </w:r>
      <w:r>
        <w:rPr>
          <w:iCs/>
          <w:i/>
        </w:rPr>
        <w:t xml:space="preserve"> </w:t>
      </w:r>
      <m:oMath>
        <m:r>
          <m:t>L</m:t>
        </m:r>
        <m:r>
          <m:rPr>
            <m:sty m:val="p"/>
          </m:rPr>
          <m:t>≤</m:t>
        </m:r>
        <m:sSub>
          <m:e>
            <m:r>
              <m:t>L</m:t>
            </m:r>
          </m:e>
          <m:sub>
            <m:r>
              <m:rPr>
                <m:sty m:val="p"/>
              </m:rPr>
              <m:t>max</m:t>
            </m:r>
          </m:sub>
        </m:sSub>
        <m:r>
          <m:rPr>
            <m:sty m:val="p"/>
          </m:rPr>
          <m:t>=</m:t>
        </m:r>
        <m:r>
          <m:t>6</m:t>
        </m:r>
      </m:oMath>
      <w:r>
        <w:rPr>
          <w:iCs/>
          <w:i/>
        </w:rPr>
        <w:t xml:space="preserve"> </w:t>
      </w:r>
      <w:r>
        <w:rPr>
          <w:iCs/>
          <w:i/>
        </w:rPr>
        <w:t xml:space="preserve">are enumerated for holonomy verification. Longer cycles are pruned by the cycle-discovery algorithm, which applies a depth-first search with depth cutoff.</w:t>
      </w:r>
    </w:p>
    <w:p>
      <w:pPr>
        <w:pStyle w:val="BodyText"/>
      </w:pPr>
      <w:r>
        <w:rPr>
          <w:bCs/>
          <w:b/>
        </w:rPr>
        <w:t xml:space="preserve">Theorem D.10 (Practical Cycle Enumeration Complexity).</w:t>
      </w:r>
      <w:r>
        <w:t xml:space="preserve"> </w:t>
      </w:r>
      <w:r>
        <w:rPr>
          <w:iCs/>
          <w:i/>
        </w:rPr>
        <w:t xml:space="preserve">Under Assumptions D.8 and D.9, cycle enumeration via depth-limited DFS from each node costs</w:t>
      </w:r>
      <w:r>
        <w:rPr>
          <w:iCs/>
          <w:i/>
        </w:rPr>
        <w:t xml:space="preserve"> </w:t>
      </w:r>
      <m:oMath>
        <m:r>
          <m:t>O</m:t>
        </m:r>
        <m:d>
          <m:dPr>
            <m:begChr m:val="("/>
            <m:endChr m:val=")"/>
            <m:sepChr m:val=""/>
            <m:grow/>
          </m:dPr>
          <m:e>
            <m:r>
              <m:t>N</m:t>
            </m:r>
            <m:r>
              <m:rPr>
                <m:sty m:val="p"/>
              </m:rPr>
              <m:t>⋅</m:t>
            </m:r>
            <m:sSubSup>
              <m:e>
                <m:r>
                  <m:t>d</m:t>
                </m:r>
              </m:e>
              <m:sub>
                <m:r>
                  <m:rPr>
                    <m:sty m:val="p"/>
                  </m:rPr>
                  <m:t>max</m:t>
                </m:r>
              </m:sub>
              <m:sup>
                <m:sSub>
                  <m:e>
                    <m:r>
                      <m:t>L</m:t>
                    </m:r>
                  </m:e>
                  <m:sub>
                    <m:r>
                      <m:rPr>
                        <m:sty m:val="p"/>
                      </m:rPr>
                      <m:t>max</m:t>
                    </m:r>
                  </m:sub>
                </m:sSub>
              </m:sup>
            </m:sSubSup>
          </m:e>
        </m:d>
        <m:r>
          <m:rPr>
            <m:sty m:val="p"/>
          </m:rPr>
          <m:t>=</m:t>
        </m:r>
        <m:r>
          <m:t>O</m:t>
        </m:r>
        <m:d>
          <m:dPr>
            <m:begChr m:val="("/>
            <m:endChr m:val=")"/>
            <m:sepChr m:val=""/>
            <m:grow/>
          </m:dPr>
          <m:e>
            <m:r>
              <m:t>N</m:t>
            </m:r>
            <m:r>
              <m:rPr>
                <m:sty m:val="p"/>
              </m:rPr>
              <m:t>⋅</m:t>
            </m:r>
            <m:sSup>
              <m:e>
                <m:r>
                  <m:t>12</m:t>
                </m:r>
              </m:e>
              <m:sup>
                <m:r>
                  <m:t>6</m:t>
                </m:r>
              </m:sup>
            </m:sSup>
          </m:e>
        </m:d>
        <m:r>
          <m:rPr>
            <m:sty m:val="p"/>
          </m:rPr>
          <m:t>=</m:t>
        </m:r>
        <m:r>
          <m:t>O</m:t>
        </m:r>
        <m:d>
          <m:dPr>
            <m:begChr m:val="("/>
            <m:endChr m:val=")"/>
            <m:sepChr m:val=""/>
            <m:grow/>
          </m:dPr>
          <m:e>
            <m:r>
              <m:t>N</m:t>
            </m:r>
          </m:e>
        </m:d>
      </m:oMath>
      <w:r>
        <w:rPr>
          <w:iCs/>
          <w:i/>
        </w:rPr>
        <w:t xml:space="preserve">, since</w:t>
      </w:r>
      <w:r>
        <w:rPr>
          <w:iCs/>
          <w:i/>
        </w:rPr>
        <w:t xml:space="preserve"> </w:t>
      </w:r>
      <m:oMath>
        <m:sSup>
          <m:e>
            <m:r>
              <m:t>12</m:t>
            </m:r>
          </m:e>
          <m:sup>
            <m:r>
              <m:t>6</m:t>
            </m:r>
          </m:sup>
        </m:sSup>
        <m:r>
          <m:rPr>
            <m:sty m:val="p"/>
          </m:rPr>
          <m:t>=</m:t>
        </m:r>
        <m:r>
          <m:t>2</m:t>
        </m:r>
        <m:r>
          <m:rPr>
            <m:sty m:val="p"/>
          </m:rPr>
          <m:t>,</m:t>
        </m:r>
        <m:r>
          <m:t>985</m:t>
        </m:r>
        <m:r>
          <m:rPr>
            <m:sty m:val="p"/>
          </m:rPr>
          <m:t>,</m:t>
        </m:r>
        <m:r>
          <m:t>984</m:t>
        </m:r>
      </m:oMath>
      <w:r>
        <w:rPr>
          <w:iCs/>
          <w:i/>
        </w:rPr>
        <w:t xml:space="preserve"> </w:t>
      </w:r>
      <w:r>
        <w:rPr>
          <w:iCs/>
          <w:i/>
        </w:rPr>
        <w:t xml:space="preserve">is a constant.</w:t>
      </w:r>
    </w:p>
    <w:p>
      <w:pPr>
        <w:pStyle w:val="BodyText"/>
      </w:pPr>
      <w:r>
        <w:rPr>
          <w:iCs/>
          <w:i/>
        </w:rPr>
        <w:t xml:space="preserve">Proof.</w:t>
      </w:r>
      <w:r>
        <w:t xml:space="preserve"> </w:t>
      </w:r>
      <w:r>
        <w:t xml:space="preserve">From each of</w:t>
      </w:r>
      <w:r>
        <w:t xml:space="preserve"> </w:t>
      </w:r>
      <m:oMath>
        <m:r>
          <m:t>N</m:t>
        </m:r>
      </m:oMath>
      <w:r>
        <w:t xml:space="preserve"> </w:t>
      </w:r>
      <w:r>
        <w:t xml:space="preserve">starting nodes, DFS explores at most</w:t>
      </w:r>
      <w:r>
        <w:t xml:space="preserve"> </w:t>
      </w:r>
      <m:oMath>
        <m:sSub>
          <m:e>
            <m:r>
              <m:t>d</m:t>
            </m:r>
          </m:e>
          <m:sub>
            <m:r>
              <m:rPr>
                <m:sty m:val="p"/>
              </m:rPr>
              <m:t>max</m:t>
            </m:r>
          </m:sub>
        </m:sSub>
      </m:oMath>
      <w:r>
        <w:t xml:space="preserve"> </w:t>
      </w:r>
      <w:r>
        <w:t xml:space="preserve">branches at each of</w:t>
      </w:r>
      <w:r>
        <w:t xml:space="preserve"> </w:t>
      </w:r>
      <m:oMath>
        <m:sSub>
          <m:e>
            <m:r>
              <m:t>L</m:t>
            </m:r>
          </m:e>
          <m:sub>
            <m:r>
              <m:rPr>
                <m:sty m:val="p"/>
              </m:rPr>
              <m:t>max</m:t>
            </m:r>
          </m:sub>
        </m:sSub>
      </m:oMath>
      <w:r>
        <w:t xml:space="preserve"> </w:t>
      </w:r>
      <w:r>
        <w:t xml:space="preserve">levels. The total number of root-to-leaf paths explored is</w:t>
      </w:r>
      <w:r>
        <w:t xml:space="preserve"> </w:t>
      </w:r>
      <m:oMath>
        <m:r>
          <m:t>N</m:t>
        </m:r>
        <m:r>
          <m:rPr>
            <m:sty m:val="p"/>
          </m:rPr>
          <m:t>⋅</m:t>
        </m:r>
        <m:sSubSup>
          <m:e>
            <m:r>
              <m:t>d</m:t>
            </m:r>
          </m:e>
          <m:sub>
            <m:r>
              <m:rPr>
                <m:sty m:val="p"/>
              </m:rPr>
              <m:t>max</m:t>
            </m:r>
          </m:sub>
          <m:sup>
            <m:sSub>
              <m:e>
                <m:r>
                  <m:t>L</m:t>
                </m:r>
              </m:e>
              <m:sub>
                <m:r>
                  <m:rPr>
                    <m:sty m:val="p"/>
                  </m:rPr>
                  <m:t>max</m:t>
                </m:r>
              </m:sub>
            </m:sSub>
          </m:sup>
        </m:sSubSup>
      </m:oMath>
      <w:r>
        <w:t xml:space="preserve">. Each path of length</w:t>
      </w:r>
      <w:r>
        <w:t xml:space="preserve"> </w:t>
      </w:r>
      <m:oMath>
        <m:r>
          <m:rPr>
            <m:sty m:val="p"/>
          </m:rPr>
          <m:t>≤</m:t>
        </m:r>
        <m:sSub>
          <m:e>
            <m:r>
              <m:t>L</m:t>
            </m:r>
          </m:e>
          <m:sub>
            <m:r>
              <m:rPr>
                <m:sty m:val="p"/>
              </m:rPr>
              <m:t>max</m:t>
            </m:r>
          </m:sub>
        </m:sSub>
      </m:oMath>
      <w:r>
        <w:t xml:space="preserve"> </w:t>
      </w:r>
      <w:r>
        <w:t xml:space="preserve">is checked for cyclicity in</w:t>
      </w:r>
      <w:r>
        <w:t xml:space="preserve"> </w:t>
      </w:r>
      <m:oMath>
        <m:r>
          <m:t>O</m:t>
        </m:r>
        <m:d>
          <m:dPr>
            <m:begChr m:val="("/>
            <m:endChr m:val=")"/>
            <m:sepChr m:val=""/>
            <m:grow/>
          </m:dPr>
          <m:e>
            <m:sSub>
              <m:e>
                <m:r>
                  <m:t>L</m:t>
                </m:r>
              </m:e>
              <m:sub>
                <m:r>
                  <m:rPr>
                    <m:sty m:val="p"/>
                  </m:rPr>
                  <m:t>max</m:t>
                </m:r>
              </m:sub>
            </m:sSub>
          </m:e>
        </m:d>
      </m:oMath>
      <w:r>
        <w:t xml:space="preserve"> </w:t>
      </w:r>
      <w:r>
        <w:t xml:space="preserve">time. With</w:t>
      </w:r>
      <w:r>
        <w:t xml:space="preserve"> </w:t>
      </w:r>
      <m:oMath>
        <m:sSub>
          <m:e>
            <m:r>
              <m:t>d</m:t>
            </m:r>
          </m:e>
          <m:sub>
            <m:r>
              <m:rPr>
                <m:sty m:val="p"/>
              </m:rPr>
              <m:t>max</m:t>
            </m:r>
          </m:sub>
        </m:sSub>
      </m:oMath>
      <w:r>
        <w:t xml:space="preserve"> </w:t>
      </w:r>
      <w:r>
        <w:t xml:space="preserve">and</w:t>
      </w:r>
      <w:r>
        <w:t xml:space="preserve"> </w:t>
      </w:r>
      <m:oMath>
        <m:sSub>
          <m:e>
            <m:r>
              <m:t>L</m:t>
            </m:r>
          </m:e>
          <m:sub>
            <m:r>
              <m:rPr>
                <m:sty m:val="p"/>
              </m:rPr>
              <m:t>max</m:t>
            </m:r>
          </m:sub>
        </m:sSub>
      </m:oMath>
      <w:r>
        <w:t xml:space="preserve"> </w:t>
      </w:r>
      <w:r>
        <w:t xml:space="preserve">fixed, the expression is</w:t>
      </w:r>
      <w:r>
        <w:t xml:space="preserve"> </w:t>
      </w:r>
      <m:oMath>
        <m:r>
          <m:t>O</m:t>
        </m:r>
        <m:d>
          <m:dPr>
            <m:begChr m:val="("/>
            <m:endChr m:val=")"/>
            <m:sepChr m:val=""/>
            <m:grow/>
          </m:dPr>
          <m:e>
            <m:r>
              <m:t>N</m:t>
            </m:r>
          </m:e>
        </m:d>
      </m:oMath>
      <w:r>
        <w:t xml:space="preserve">.</w:t>
      </w:r>
      <w:r>
        <w:t xml:space="preserve"> </w:t>
      </w:r>
      <m:oMath>
        <m:r>
          <m:rPr>
            <m:sty m:val="p"/>
          </m:rPr>
          <m:t>▫</m:t>
        </m:r>
      </m:oMath>
    </w:p>
    <w:p>
      <w:pPr>
        <w:pStyle w:val="BodyText"/>
      </w:pPr>
      <w:r>
        <w:rPr>
          <w:bCs/>
          <w:b/>
        </w:rPr>
        <w:t xml:space="preserve">Corollary D.11 (Total Consensus Preparation).</w:t>
      </w:r>
      <w:r>
        <w:t xml:space="preserve"> </w:t>
      </w:r>
      <w:r>
        <w:rPr>
          <w:iCs/>
          <w:i/>
        </w:rPr>
        <w:t xml:space="preserve">Cycle discovery plus holonomy verification, with HashMap optimization and bounded degree/length, is</w:t>
      </w:r>
      <w:r>
        <w:rPr>
          <w:iCs/>
          <w:i/>
        </w:rPr>
        <w:t xml:space="preserve"> </w:t>
      </w:r>
      <m:oMath>
        <m:r>
          <m:t>O</m:t>
        </m:r>
        <m:d>
          <m:dPr>
            <m:begChr m:val="("/>
            <m:endChr m:val=")"/>
            <m:sepChr m:val=""/>
            <m:grow/>
          </m:dPr>
          <m:e>
            <m:r>
              <m:t>N</m:t>
            </m:r>
          </m:e>
        </m:d>
        <m:r>
          <m:rPr>
            <m:sty m:val="p"/>
          </m:rPr>
          <m:t>+</m:t>
        </m:r>
        <m:r>
          <m:t>O</m:t>
        </m:r>
        <m:d>
          <m:dPr>
            <m:begChr m:val="("/>
            <m:endChr m:val=")"/>
            <m:sepChr m:val=""/>
            <m:grow/>
          </m:dPr>
          <m:e>
            <m:r>
              <m:t>C</m:t>
            </m:r>
            <m:r>
              <m:rPr>
                <m:sty m:val="p"/>
              </m:rPr>
              <m:t>⋅</m:t>
            </m:r>
            <m:r>
              <m:t>L</m:t>
            </m:r>
          </m:e>
        </m:d>
        <m:r>
          <m:rPr>
            <m:sty m:val="p"/>
          </m:rPr>
          <m:t>=</m:t>
        </m:r>
        <m:r>
          <m:t>O</m:t>
        </m:r>
        <m:d>
          <m:dPr>
            <m:begChr m:val="("/>
            <m:endChr m:val=")"/>
            <m:sepChr m:val=""/>
            <m:grow/>
          </m:dPr>
          <m:e>
            <m:r>
              <m:t>N</m:t>
            </m:r>
          </m:e>
        </m:d>
      </m:oMath>
      <w:r>
        <w:rPr>
          <w:iCs/>
          <w:i/>
        </w:rPr>
        <w:t xml:space="preserve">, since</w:t>
      </w:r>
      <w:r>
        <w:rPr>
          <w:iCs/>
          <w:i/>
        </w:rPr>
        <w:t xml:space="preserve"> </w:t>
      </w:r>
      <m:oMath>
        <m:r>
          <m:t>C</m:t>
        </m:r>
        <m:r>
          <m:rPr>
            <m:sty m:val="p"/>
          </m:rPr>
          <m:t>=</m:t>
        </m:r>
        <m:r>
          <m:t>O</m:t>
        </m:r>
        <m:d>
          <m:dPr>
            <m:begChr m:val="("/>
            <m:endChr m:val=")"/>
            <m:sepChr m:val=""/>
            <m:grow/>
          </m:dPr>
          <m:e>
            <m:r>
              <m:t>N</m:t>
            </m:r>
          </m:e>
        </m:d>
      </m:oMath>
      <w:r>
        <w:rPr>
          <w:iCs/>
          <w:i/>
        </w:rPr>
        <w:t xml:space="preserve"> </w:t>
      </w:r>
      <w:r>
        <w:rPr>
          <w:iCs/>
          <w:i/>
        </w:rPr>
        <w:t xml:space="preserve">and</w:t>
      </w:r>
      <w:r>
        <w:rPr>
          <w:iCs/>
          <w:i/>
        </w:rPr>
        <w:t xml:space="preserve"> </w:t>
      </w:r>
      <m:oMath>
        <m:r>
          <m:t>L</m:t>
        </m:r>
        <m:r>
          <m:rPr>
            <m:sty m:val="p"/>
          </m:rPr>
          <m:t>=</m:t>
        </m:r>
        <m:r>
          <m:t>O</m:t>
        </m:r>
        <m:d>
          <m:dPr>
            <m:begChr m:val="("/>
            <m:endChr m:val=")"/>
            <m:sepChr m:val=""/>
            <m:grow/>
          </m:dPr>
          <m:e>
            <m:r>
              <m:t>1</m:t>
            </m:r>
          </m:e>
        </m:d>
      </m:oMath>
      <w:r>
        <w:rPr>
          <w:iCs/>
          <w:i/>
        </w:rPr>
        <w:t xml:space="preserve">.</w:t>
      </w:r>
    </w:p>
    <w:p>
      <w:pPr>
        <w:pStyle w:val="BodyText"/>
      </w:pPr>
      <w:r>
        <w:t xml:space="preserve">This resolves the apparent paradox: cycle enumeration is exponential in general graphs but linear in the PLATO graph family because the graph class is restricted by geometric rigidity.</w:t>
      </w:r>
    </w:p>
    <w:p>
      <w:r>
        <w:pict>
          <v:rect style="width:0;height:1.5pt" o:hralign="center" o:hrstd="t" o:hr="t"/>
        </w:pict>
      </w:r>
    </w:p>
    <w:bookmarkEnd w:id="105"/>
    <w:bookmarkStart w:id="109" w:name="d.5-pbft-three-phase-commit-analysis"/>
    <w:p>
      <w:pPr>
        <w:pStyle w:val="Heading2"/>
      </w:pPr>
      <w:r>
        <w:t xml:space="preserve">D.5 PBFT Three-Phase Commit Analysis</w:t>
      </w:r>
    </w:p>
    <w:p>
      <w:pPr>
        <w:pStyle w:val="FirstParagraph"/>
      </w:pPr>
      <w:r>
        <w:t xml:space="preserve">To contextualize ZHC’s complexity, we now derive the formal message and latency bounds for Practical Byzantine Fault Tolerance (PBFT), the canonical BFT protocol against which all subsequent work is measured (Castro &amp; Liskov, 1999)</w:t>
      </w:r>
      <w:r>
        <w:t xml:space="preserve"> </w:t>
      </w:r>
      <w:r>
        <w:rPr>
          <w:rStyle w:val="FootnoteReference"/>
        </w:rPr>
        <w:footnoteReference w:id="106"/>
      </w:r>
      <w:r>
        <w:t xml:space="preserve">. PBFT achieves consensus among</w:t>
      </w:r>
      <w:r>
        <w:t xml:space="preserve"> </w:t>
      </w:r>
      <m:oMath>
        <m:r>
          <m:t>n</m:t>
        </m:r>
      </m:oMath>
      <w:r>
        <w:t xml:space="preserve"> </w:t>
      </w:r>
      <w:r>
        <w:t xml:space="preserve">replicas with</w:t>
      </w:r>
      <w:r>
        <w:t xml:space="preserve"> </w:t>
      </w:r>
      <m:oMath>
        <m:r>
          <m:t>f</m:t>
        </m:r>
        <m:r>
          <m:rPr>
            <m:sty m:val="p"/>
          </m:rPr>
          <m:t>&lt;</m:t>
        </m:r>
        <m:r>
          <m:t>n</m:t>
        </m:r>
        <m:r>
          <m:rPr>
            <m:sty m:val="p"/>
          </m:rPr>
          <m:t>/</m:t>
        </m:r>
        <m:r>
          <m:t>3</m:t>
        </m:r>
      </m:oMath>
      <w:r>
        <w:t xml:space="preserve"> </w:t>
      </w:r>
      <w:r>
        <w:t xml:space="preserve">Byzantine faults via a three-phase commit with a designated primary.</w:t>
      </w:r>
    </w:p>
    <w:p>
      <w:pPr>
        <w:pStyle w:val="BodyText"/>
      </w:pPr>
      <w:r>
        <w:rPr>
          <w:bCs/>
          <w:b/>
        </w:rPr>
        <w:t xml:space="preserve">Protocol D.12 (PBFT Normal Case).</w:t>
      </w:r>
      <w:r>
        <w:t xml:space="preserve"> </w:t>
      </w:r>
      <w:r>
        <w:rPr>
          <w:iCs/>
          <w:i/>
        </w:rPr>
        <w:t xml:space="preserve">Let</w:t>
      </w:r>
      <w:r>
        <w:rPr>
          <w:iCs/>
          <w:i/>
        </w:rPr>
        <w:t xml:space="preserve"> </w:t>
      </w:r>
      <m:oMath>
        <m:r>
          <m:t>n</m:t>
        </m:r>
      </m:oMath>
      <w:r>
        <w:rPr>
          <w:iCs/>
          <w:i/>
        </w:rPr>
        <w:t xml:space="preserve"> </w:t>
      </w:r>
      <w:r>
        <w:rPr>
          <w:iCs/>
          <w:i/>
        </w:rPr>
        <w:t xml:space="preserve">be the total number of replicas,</w:t>
      </w:r>
      <w:r>
        <w:rPr>
          <w:iCs/>
          <w:i/>
        </w:rPr>
        <w:t xml:space="preserve"> </w:t>
      </w:r>
      <m:oMath>
        <m:r>
          <m:t>f</m:t>
        </m:r>
      </m:oMath>
      <w:r>
        <w:rPr>
          <w:iCs/>
          <w:i/>
        </w:rPr>
        <w:t xml:space="preserve"> </w:t>
      </w:r>
      <w:r>
        <w:rPr>
          <w:iCs/>
          <w:i/>
        </w:rPr>
        <w:t xml:space="preserve">the maximum number of Byzantine replicas, and</w:t>
      </w:r>
      <w:r>
        <w:rPr>
          <w:iCs/>
          <w:i/>
        </w:rPr>
        <w:t xml:space="preserve"> </w:t>
      </w:r>
      <m:oMath>
        <m:r>
          <m:t>p</m:t>
        </m:r>
      </m:oMath>
      <w:r>
        <w:rPr>
          <w:iCs/>
          <w:i/>
        </w:rPr>
        <w:t xml:space="preserve"> </w:t>
      </w:r>
      <w:r>
        <w:rPr>
          <w:iCs/>
          <w:i/>
        </w:rPr>
        <w:t xml:space="preserve">the primary. The normal-case protocol proceeds as follows:</w:t>
      </w:r>
    </w:p>
    <w:p>
      <w:pPr>
        <w:numPr>
          <w:ilvl w:val="0"/>
          <w:numId w:val="1007"/>
        </w:numPr>
        <w:pStyle w:val="Compact"/>
      </w:pPr>
      <w:r>
        <w:rPr>
          <w:bCs/>
          <w:b/>
        </w:rPr>
        <w:t xml:space="preserve">Request.</w:t>
      </w:r>
      <w:r>
        <w:t xml:space="preserve"> </w:t>
      </w:r>
      <w:r>
        <w:t xml:space="preserve">Client</w:t>
      </w:r>
      <w:r>
        <w:t xml:space="preserve"> </w:t>
      </w:r>
      <m:oMath>
        <m:r>
          <m:t>c</m:t>
        </m:r>
      </m:oMath>
      <w:r>
        <w:t xml:space="preserve"> </w:t>
      </w:r>
      <w:r>
        <w:t xml:space="preserve">sends request</w:t>
      </w:r>
      <w:r>
        <w:t xml:space="preserve"> </w:t>
      </w:r>
      <m:oMath>
        <m:r>
          <m:t>m</m:t>
        </m:r>
      </m:oMath>
      <w:r>
        <w:t xml:space="preserve"> </w:t>
      </w:r>
      <w:r>
        <w:t xml:space="preserve">to primary</w:t>
      </w:r>
      <w:r>
        <w:t xml:space="preserve"> </w:t>
      </w:r>
      <m:oMath>
        <m:r>
          <m:t>p</m:t>
        </m:r>
      </m:oMath>
      <w:r>
        <w:t xml:space="preserve">:</w:t>
      </w:r>
      <w:r>
        <w:t xml:space="preserve"> </w:t>
      </w:r>
      <m:oMath>
        <m:r>
          <m:t>1</m:t>
        </m:r>
      </m:oMath>
      <w:r>
        <w:t xml:space="preserve"> </w:t>
      </w:r>
      <w:r>
        <w:t xml:space="preserve">message.</w:t>
      </w:r>
    </w:p>
    <w:p>
      <w:pPr>
        <w:numPr>
          <w:ilvl w:val="0"/>
          <w:numId w:val="1007"/>
        </w:numPr>
        <w:pStyle w:val="Compact"/>
      </w:pPr>
      <w:r>
        <w:rPr>
          <w:bCs/>
          <w:b/>
        </w:rPr>
        <w:t xml:space="preserve">Pre-prepare.</w:t>
      </w:r>
      <w:r>
        <w:t xml:space="preserve"> </w:t>
      </w:r>
      <w:r>
        <w:t xml:space="preserve">Primary</w:t>
      </w:r>
      <w:r>
        <w:t xml:space="preserve"> </w:t>
      </w:r>
      <m:oMath>
        <m:r>
          <m:t>p</m:t>
        </m:r>
      </m:oMath>
      <w:r>
        <w:t xml:space="preserve"> </w:t>
      </w:r>
      <w:r>
        <w:t xml:space="preserve">assigns sequence number</w:t>
      </w:r>
      <w:r>
        <w:t xml:space="preserve"> </w:t>
      </w:r>
      <m:oMath>
        <m:r>
          <m:t>s</m:t>
        </m:r>
      </m:oMath>
      <w:r>
        <w:t xml:space="preserve"> </w:t>
      </w:r>
      <w:r>
        <w:t xml:space="preserve">to</w:t>
      </w:r>
      <w:r>
        <w:t xml:space="preserve"> </w:t>
      </w:r>
      <m:oMath>
        <m:r>
          <m:t>m</m:t>
        </m:r>
      </m:oMath>
      <w:r>
        <w:t xml:space="preserve">, signs a</w:t>
      </w:r>
      <w:r>
        <w:t xml:space="preserve"> </w:t>
      </w:r>
      <m:oMath>
        <m:r>
          <m:rPr>
            <m:sty m:val="p"/>
          </m:rPr>
          <m:t>⟨</m:t>
        </m:r>
        <m:r>
          <m:rPr>
            <m:nor/>
            <m:sty m:val="p"/>
          </m:rPr>
          <m:t>PRE-PREPARE</m:t>
        </m:r>
        <m:r>
          <m:rPr>
            <m:sty m:val="p"/>
          </m:rPr>
          <m:t>,</m:t>
        </m:r>
        <m:r>
          <m:t>v</m:t>
        </m:r>
        <m:r>
          <m:rPr>
            <m:sty m:val="p"/>
          </m:rPr>
          <m:t>,</m:t>
        </m:r>
        <m:r>
          <m:t>s</m:t>
        </m:r>
        <m:r>
          <m:rPr>
            <m:sty m:val="p"/>
          </m:rPr>
          <m:t>,</m:t>
        </m:r>
        <m:r>
          <m:t>d</m:t>
        </m:r>
        <m:d>
          <m:dPr>
            <m:begChr m:val="("/>
            <m:endChr m:val=")"/>
            <m:sepChr m:val=""/>
            <m:grow/>
          </m:dPr>
          <m:e>
            <m:r>
              <m:t>m</m:t>
            </m:r>
          </m:e>
        </m:d>
        <m:r>
          <m:rPr>
            <m:sty m:val="p"/>
          </m:rPr>
          <m:t>⟩</m:t>
        </m:r>
      </m:oMath>
      <w:r>
        <w:t xml:space="preserve"> </w:t>
      </w:r>
      <w:r>
        <w:t xml:space="preserve">message, and broadcasts it to all</w:t>
      </w:r>
      <w:r>
        <w:t xml:space="preserve"> </w:t>
      </w:r>
      <m:oMath>
        <m:r>
          <m:t>n</m:t>
        </m:r>
      </m:oMath>
      <w:r>
        <w:t xml:space="preserve"> </w:t>
      </w:r>
      <w:r>
        <w:t xml:space="preserve">replicas (including itself):</w:t>
      </w:r>
      <w:r>
        <w:t xml:space="preserve"> </w:t>
      </w:r>
      <m:oMath>
        <m:r>
          <m:t>n</m:t>
        </m:r>
      </m:oMath>
      <w:r>
        <w:t xml:space="preserve"> </w:t>
      </w:r>
      <w:r>
        <w:t xml:space="preserve">messages.</w:t>
      </w:r>
    </w:p>
    <w:p>
      <w:pPr>
        <w:numPr>
          <w:ilvl w:val="0"/>
          <w:numId w:val="1007"/>
        </w:numPr>
        <w:pStyle w:val="Compact"/>
      </w:pPr>
      <w:r>
        <w:rPr>
          <w:bCs/>
          <w:b/>
        </w:rPr>
        <w:t xml:space="preserve">Prepare.</w:t>
      </w:r>
      <w:r>
        <w:t xml:space="preserve"> </w:t>
      </w:r>
      <w:r>
        <w:t xml:space="preserve">Each replica</w:t>
      </w:r>
      <w:r>
        <w:t xml:space="preserve"> </w:t>
      </w:r>
      <m:oMath>
        <m:r>
          <m:t>i</m:t>
        </m:r>
      </m:oMath>
      <w:r>
        <w:t xml:space="preserve"> </w:t>
      </w:r>
      <w:r>
        <w:t xml:space="preserve">(including non-primary backups) validates the pre-prepare, signs</w:t>
      </w:r>
      <w:r>
        <w:t xml:space="preserve"> </w:t>
      </w:r>
      <m:oMath>
        <m:r>
          <m:rPr>
            <m:sty m:val="p"/>
          </m:rPr>
          <m:t>⟨</m:t>
        </m:r>
        <m:r>
          <m:rPr>
            <m:nor/>
            <m:sty m:val="p"/>
          </m:rPr>
          <m:t>PREPARE</m:t>
        </m:r>
        <m:r>
          <m:rPr>
            <m:sty m:val="p"/>
          </m:rPr>
          <m:t>,</m:t>
        </m:r>
        <m:r>
          <m:t>v</m:t>
        </m:r>
        <m:r>
          <m:rPr>
            <m:sty m:val="p"/>
          </m:rPr>
          <m:t>,</m:t>
        </m:r>
        <m:r>
          <m:t>s</m:t>
        </m:r>
        <m:r>
          <m:rPr>
            <m:sty m:val="p"/>
          </m:rPr>
          <m:t>,</m:t>
        </m:r>
        <m:r>
          <m:t>d</m:t>
        </m:r>
        <m:d>
          <m:dPr>
            <m:begChr m:val="("/>
            <m:endChr m:val=")"/>
            <m:sepChr m:val=""/>
            <m:grow/>
          </m:dPr>
          <m:e>
            <m:r>
              <m:t>m</m:t>
            </m:r>
          </m:e>
        </m:d>
        <m:r>
          <m:rPr>
            <m:sty m:val="p"/>
          </m:rPr>
          <m:t>,</m:t>
        </m:r>
        <m:r>
          <m:t>i</m:t>
        </m:r>
        <m:r>
          <m:rPr>
            <m:sty m:val="p"/>
          </m:rPr>
          <m:t>⟩</m:t>
        </m:r>
      </m:oMath>
      <w:r>
        <w:t xml:space="preserve">, and broadcasts it to all</w:t>
      </w:r>
      <w:r>
        <w:t xml:space="preserve"> </w:t>
      </w:r>
      <m:oMath>
        <m:r>
          <m:t>n</m:t>
        </m:r>
      </m:oMath>
      <w:r>
        <w:t xml:space="preserve"> </w:t>
      </w:r>
      <w:r>
        <w:t xml:space="preserve">replicas:</w:t>
      </w:r>
      <w:r>
        <w:t xml:space="preserve"> </w:t>
      </w:r>
      <m:oMath>
        <m:r>
          <m:t>n</m:t>
        </m:r>
      </m:oMath>
      <w:r>
        <w:t xml:space="preserve"> </w:t>
      </w:r>
      <w:r>
        <w:t xml:space="preserve">messages per replica,</w:t>
      </w:r>
      <w:r>
        <w:t xml:space="preserve"> </w:t>
      </w:r>
      <m:oMath>
        <m:sSup>
          <m:e>
            <m:r>
              <m:t>n</m:t>
            </m:r>
          </m:e>
          <m:sup>
            <m:r>
              <m:t>2</m:t>
            </m:r>
          </m:sup>
        </m:sSup>
      </m:oMath>
      <w:r>
        <w:t xml:space="preserve"> </w:t>
      </w:r>
      <w:r>
        <w:t xml:space="preserve">total.</w:t>
      </w:r>
    </w:p>
    <w:p>
      <w:pPr>
        <w:numPr>
          <w:ilvl w:val="0"/>
          <w:numId w:val="1007"/>
        </w:numPr>
        <w:pStyle w:val="Compact"/>
      </w:pPr>
      <w:r>
        <w:rPr>
          <w:bCs/>
          <w:b/>
        </w:rPr>
        <w:t xml:space="preserve">Commit.</w:t>
      </w:r>
      <w:r>
        <w:t xml:space="preserve"> </w:t>
      </w:r>
      <w:r>
        <w:t xml:space="preserve">Each replica</w:t>
      </w:r>
      <w:r>
        <w:t xml:space="preserve"> </w:t>
      </w:r>
      <m:oMath>
        <m:r>
          <m:t>i</m:t>
        </m:r>
      </m:oMath>
      <w:r>
        <w:t xml:space="preserve"> </w:t>
      </w:r>
      <w:r>
        <w:t xml:space="preserve">waits for</w:t>
      </w:r>
      <w:r>
        <w:t xml:space="preserve"> </w:t>
      </w:r>
      <m:oMath>
        <m:r>
          <m:t>2</m:t>
        </m:r>
        <m:r>
          <m:t>f</m:t>
        </m:r>
      </m:oMath>
      <w:r>
        <w:t xml:space="preserve"> </w:t>
      </w:r>
      <w:r>
        <w:t xml:space="preserve">matching prepare messages, then signs</w:t>
      </w:r>
      <w:r>
        <w:t xml:space="preserve"> </w:t>
      </w:r>
      <m:oMath>
        <m:r>
          <m:rPr>
            <m:sty m:val="p"/>
          </m:rPr>
          <m:t>⟨</m:t>
        </m:r>
        <m:r>
          <m:rPr>
            <m:nor/>
            <m:sty m:val="p"/>
          </m:rPr>
          <m:t>COMMIT</m:t>
        </m:r>
        <m:r>
          <m:rPr>
            <m:sty m:val="p"/>
          </m:rPr>
          <m:t>,</m:t>
        </m:r>
        <m:r>
          <m:t>v</m:t>
        </m:r>
        <m:r>
          <m:rPr>
            <m:sty m:val="p"/>
          </m:rPr>
          <m:t>,</m:t>
        </m:r>
        <m:r>
          <m:t>s</m:t>
        </m:r>
        <m:r>
          <m:rPr>
            <m:sty m:val="p"/>
          </m:rPr>
          <m:t>,</m:t>
        </m:r>
        <m:r>
          <m:t>d</m:t>
        </m:r>
        <m:d>
          <m:dPr>
            <m:begChr m:val="("/>
            <m:endChr m:val=")"/>
            <m:sepChr m:val=""/>
            <m:grow/>
          </m:dPr>
          <m:e>
            <m:r>
              <m:t>m</m:t>
            </m:r>
          </m:e>
        </m:d>
        <m:r>
          <m:rPr>
            <m:sty m:val="p"/>
          </m:rPr>
          <m:t>,</m:t>
        </m:r>
        <m:r>
          <m:t>i</m:t>
        </m:r>
        <m:r>
          <m:rPr>
            <m:sty m:val="p"/>
          </m:rPr>
          <m:t>⟩</m:t>
        </m:r>
      </m:oMath>
      <w:r>
        <w:t xml:space="preserve"> </w:t>
      </w:r>
      <w:r>
        <w:t xml:space="preserve">and broadcasts to all</w:t>
      </w:r>
      <w:r>
        <w:t xml:space="preserve"> </w:t>
      </w:r>
      <m:oMath>
        <m:r>
          <m:t>n</m:t>
        </m:r>
      </m:oMath>
      <w:r>
        <w:t xml:space="preserve"> </w:t>
      </w:r>
      <w:r>
        <w:t xml:space="preserve">replicas:</w:t>
      </w:r>
      <w:r>
        <w:t xml:space="preserve"> </w:t>
      </w:r>
      <m:oMath>
        <m:r>
          <m:t>n</m:t>
        </m:r>
      </m:oMath>
      <w:r>
        <w:t xml:space="preserve"> </w:t>
      </w:r>
      <w:r>
        <w:t xml:space="preserve">messages per replica,</w:t>
      </w:r>
      <w:r>
        <w:t xml:space="preserve"> </w:t>
      </w:r>
      <m:oMath>
        <m:sSup>
          <m:e>
            <m:r>
              <m:t>n</m:t>
            </m:r>
          </m:e>
          <m:sup>
            <m:r>
              <m:t>2</m:t>
            </m:r>
          </m:sup>
        </m:sSup>
      </m:oMath>
      <w:r>
        <w:t xml:space="preserve"> </w:t>
      </w:r>
      <w:r>
        <w:t xml:space="preserve">total.</w:t>
      </w:r>
    </w:p>
    <w:p>
      <w:pPr>
        <w:numPr>
          <w:ilvl w:val="0"/>
          <w:numId w:val="1007"/>
        </w:numPr>
        <w:pStyle w:val="Compact"/>
      </w:pPr>
      <w:r>
        <w:rPr>
          <w:bCs/>
          <w:b/>
        </w:rPr>
        <w:t xml:space="preserve">Reply.</w:t>
      </w:r>
      <w:r>
        <w:t xml:space="preserve"> </w:t>
      </w:r>
      <w:r>
        <w:t xml:space="preserve">Each replica executes</w:t>
      </w:r>
      <w:r>
        <w:t xml:space="preserve"> </w:t>
      </w:r>
      <m:oMath>
        <m:r>
          <m:t>m</m:t>
        </m:r>
      </m:oMath>
      <w:r>
        <w:t xml:space="preserve"> </w:t>
      </w:r>
      <w:r>
        <w:t xml:space="preserve">and sends result to client:</w:t>
      </w:r>
      <w:r>
        <w:t xml:space="preserve"> </w:t>
      </w:r>
      <m:oMath>
        <m:r>
          <m:t>n</m:t>
        </m:r>
      </m:oMath>
      <w:r>
        <w:t xml:space="preserve"> </w:t>
      </w:r>
      <w:r>
        <w:t xml:space="preserve">messages.</w:t>
      </w:r>
    </w:p>
    <w:p>
      <w:pPr>
        <w:pStyle w:val="FirstParagraph"/>
      </w:pPr>
      <w:r>
        <w:rPr>
          <w:bCs/>
          <w:b/>
        </w:rPr>
        <w:t xml:space="preserve">Theorem D.13 (PBFT Message Complexity).</w:t>
      </w:r>
      <w:r>
        <w:t xml:space="preserve"> </w:t>
      </w:r>
      <w:r>
        <w:rPr>
          <w:iCs/>
          <w:i/>
        </w:rPr>
        <w:t xml:space="preserve">One PBFT consensus round generates</w:t>
      </w:r>
      <w:r>
        <w:rPr>
          <w:iCs/>
          <w:i/>
        </w:rPr>
        <w:t xml:space="preserve"> </w:t>
      </w:r>
      <m:oMath>
        <m:r>
          <m:t>3</m:t>
        </m:r>
        <m:sSup>
          <m:e>
            <m:r>
              <m:t>n</m:t>
            </m:r>
          </m:e>
          <m:sup>
            <m:r>
              <m:t>2</m:t>
            </m:r>
          </m:sup>
        </m:sSup>
        <m:r>
          <m:rPr>
            <m:sty m:val="p"/>
          </m:rPr>
          <m:t>+</m:t>
        </m:r>
        <m:r>
          <m:t>2</m:t>
        </m:r>
        <m:r>
          <m:t>n</m:t>
        </m:r>
        <m:r>
          <m:rPr>
            <m:sty m:val="p"/>
          </m:rPr>
          <m:t>=</m:t>
        </m:r>
        <m:r>
          <m:t>O</m:t>
        </m:r>
        <m:d>
          <m:dPr>
            <m:begChr m:val="("/>
            <m:endChr m:val=")"/>
            <m:sepChr m:val=""/>
            <m:grow/>
          </m:dPr>
          <m:e>
            <m:sSup>
              <m:e>
                <m:r>
                  <m:t>n</m:t>
                </m:r>
              </m:e>
              <m:sup>
                <m:r>
                  <m:t>2</m:t>
                </m:r>
              </m:sup>
            </m:sSup>
          </m:e>
        </m:d>
      </m:oMath>
      <w:r>
        <w:rPr>
          <w:iCs/>
          <w:i/>
        </w:rPr>
        <w:t xml:space="preserve"> </w:t>
      </w:r>
      <w:r>
        <w:rPr>
          <w:iCs/>
          <w:i/>
        </w:rPr>
        <w:t xml:space="preserve">messages.</w:t>
      </w:r>
    </w:p>
    <w:p>
      <w:pPr>
        <w:pStyle w:val="BodyText"/>
      </w:pPr>
      <w:r>
        <w:rPr>
          <w:iCs/>
          <w:i/>
        </w:rPr>
        <w:t xml:space="preserve">Proof.</w:t>
      </w:r>
      <w:r>
        <w:t xml:space="preserve"> </w:t>
      </w:r>
      <w:r>
        <w:t xml:space="preserve">Counting from Protocol D.12: pre-prepare contributes</w:t>
      </w:r>
      <w:r>
        <w:t xml:space="preserve"> </w:t>
      </w:r>
      <m:oMath>
        <m:r>
          <m:t>n</m:t>
        </m:r>
      </m:oMath>
      <w:r>
        <w:t xml:space="preserve">; prepare contributes</w:t>
      </w:r>
      <w:r>
        <w:t xml:space="preserve"> </w:t>
      </w:r>
      <m:oMath>
        <m:r>
          <m:t>n</m:t>
        </m:r>
        <m:r>
          <m:rPr>
            <m:sty m:val="p"/>
          </m:rPr>
          <m:t>⋅</m:t>
        </m:r>
        <m:r>
          <m:t>n</m:t>
        </m:r>
        <m:r>
          <m:rPr>
            <m:sty m:val="p"/>
          </m:rPr>
          <m:t>=</m:t>
        </m:r>
        <m:sSup>
          <m:e>
            <m:r>
              <m:t>n</m:t>
            </m:r>
          </m:e>
          <m:sup>
            <m:r>
              <m:t>2</m:t>
            </m:r>
          </m:sup>
        </m:sSup>
      </m:oMath>
      <w:r>
        <w:t xml:space="preserve">; commit contributes</w:t>
      </w:r>
      <w:r>
        <w:t xml:space="preserve"> </w:t>
      </w:r>
      <m:oMath>
        <m:r>
          <m:t>n</m:t>
        </m:r>
        <m:r>
          <m:rPr>
            <m:sty m:val="p"/>
          </m:rPr>
          <m:t>⋅</m:t>
        </m:r>
        <m:r>
          <m:t>n</m:t>
        </m:r>
        <m:r>
          <m:rPr>
            <m:sty m:val="p"/>
          </m:rPr>
          <m:t>=</m:t>
        </m:r>
        <m:sSup>
          <m:e>
            <m:r>
              <m:t>n</m:t>
            </m:r>
          </m:e>
          <m:sup>
            <m:r>
              <m:t>2</m:t>
            </m:r>
          </m:sup>
        </m:sSup>
      </m:oMath>
      <w:r>
        <w:t xml:space="preserve">; request and reply contribute</w:t>
      </w:r>
      <w:r>
        <w:t xml:space="preserve"> </w:t>
      </w:r>
      <m:oMath>
        <m:r>
          <m:t>1</m:t>
        </m:r>
        <m:r>
          <m:rPr>
            <m:sty m:val="p"/>
          </m:rPr>
          <m:t>+</m:t>
        </m:r>
        <m:r>
          <m:t>n</m:t>
        </m:r>
      </m:oMath>
      <w:r>
        <w:t xml:space="preserve">. The dominant term is</w:t>
      </w:r>
      <w:r>
        <w:t xml:space="preserve"> </w:t>
      </w:r>
      <m:oMath>
        <m:r>
          <m:t>2</m:t>
        </m:r>
        <m:sSup>
          <m:e>
            <m:r>
              <m:t>n</m:t>
            </m:r>
          </m:e>
          <m:sup>
            <m:r>
              <m:t>2</m:t>
            </m:r>
          </m:sup>
        </m:sSup>
      </m:oMath>
      <w:r>
        <w:t xml:space="preserve"> </w:t>
      </w:r>
      <w:r>
        <w:t xml:space="preserve">from the all-to-all prepare and commit phases, yielding</w:t>
      </w:r>
      <w:r>
        <w:t xml:space="preserve"> </w:t>
      </w:r>
      <m:oMath>
        <m:r>
          <m:t>O</m:t>
        </m:r>
        <m:d>
          <m:dPr>
            <m:begChr m:val="("/>
            <m:endChr m:val=")"/>
            <m:sepChr m:val=""/>
            <m:grow/>
          </m:dPr>
          <m:e>
            <m:sSup>
              <m:e>
                <m:r>
                  <m:t>n</m:t>
                </m:r>
              </m:e>
              <m:sup>
                <m:r>
                  <m:t>2</m:t>
                </m:r>
              </m:sup>
            </m:sSup>
          </m:e>
        </m:d>
      </m:oMath>
      <w:r>
        <w:t xml:space="preserve">.</w:t>
      </w:r>
      <w:r>
        <w:t xml:space="preserve"> </w:t>
      </w:r>
      <m:oMath>
        <m:r>
          <m:rPr>
            <m:sty m:val="p"/>
          </m:rPr>
          <m:t>▫</m:t>
        </m:r>
      </m:oMath>
    </w:p>
    <w:p>
      <w:pPr>
        <w:pStyle w:val="BodyText"/>
      </w:pPr>
      <w:r>
        <w:rPr>
          <w:bCs/>
          <w:b/>
        </w:rPr>
        <w:t xml:space="preserve">Theorem D.14 (PBFT Latency).</w:t>
      </w:r>
      <w:r>
        <w:t xml:space="preserve"> </w:t>
      </w:r>
      <w:r>
        <w:rPr>
          <w:iCs/>
          <w:i/>
        </w:rPr>
        <w:t xml:space="preserve">In a synchronous network with per-hop latency</w:t>
      </w:r>
      <w:r>
        <w:rPr>
          <w:iCs/>
          <w:i/>
        </w:rPr>
        <w:t xml:space="preserve"> </w:t>
      </w:r>
      <m:oMath>
        <m:r>
          <m:t>δ</m:t>
        </m:r>
      </m:oMath>
      <w:r>
        <w:rPr>
          <w:iCs/>
          <w:i/>
        </w:rPr>
        <w:t xml:space="preserve">, PBFT normal-case latency is</w:t>
      </w:r>
      <w:r>
        <w:rPr>
          <w:iCs/>
          <w:i/>
        </w:rPr>
        <w:t xml:space="preserve"> </w:t>
      </w:r>
      <m:oMath>
        <m:r>
          <m:t>5</m:t>
        </m:r>
        <m:r>
          <m:t>δ</m:t>
        </m:r>
        <m:r>
          <m:rPr>
            <m:sty m:val="p"/>
          </m:rPr>
          <m:t>=</m:t>
        </m:r>
        <m:r>
          <m:t>O</m:t>
        </m:r>
        <m:d>
          <m:dPr>
            <m:begChr m:val="("/>
            <m:endChr m:val=")"/>
            <m:sepChr m:val=""/>
            <m:grow/>
          </m:dPr>
          <m:e>
            <m:r>
              <m:t>1</m:t>
            </m:r>
          </m:e>
        </m:d>
      </m:oMath>
      <w:r>
        <w:rPr>
          <w:iCs/>
          <w:i/>
        </w:rPr>
        <w:t xml:space="preserve">. In asynchronous networks or under primary failure, view-change timeouts add</w:t>
      </w:r>
      <w:r>
        <w:rPr>
          <w:iCs/>
          <w:i/>
        </w:rPr>
        <w:t xml:space="preserve"> </w:t>
      </w:r>
      <m:oMath>
        <m:r>
          <m:t>O</m:t>
        </m:r>
        <m:d>
          <m:dPr>
            <m:begChr m:val="("/>
            <m:endChr m:val=")"/>
            <m:sepChr m:val=""/>
            <m:grow/>
          </m:dPr>
          <m:e>
            <m:r>
              <m:t>f</m:t>
            </m:r>
          </m:e>
        </m:d>
      </m:oMath>
      <w:r>
        <w:rPr>
          <w:iCs/>
          <w:i/>
        </w:rPr>
        <w:t xml:space="preserve"> </w:t>
      </w:r>
      <w:r>
        <w:rPr>
          <w:iCs/>
          <w:i/>
        </w:rPr>
        <w:t xml:space="preserve">delays.</w:t>
      </w:r>
    </w:p>
    <w:p>
      <w:pPr>
        <w:pStyle w:val="BodyText"/>
      </w:pPr>
      <w:r>
        <w:rPr>
          <w:iCs/>
          <w:i/>
        </w:rPr>
        <w:t xml:space="preserve">Proof.</w:t>
      </w:r>
      <w:r>
        <w:t xml:space="preserve"> </w:t>
      </w:r>
      <w:r>
        <w:t xml:space="preserve">The five protocol steps form a linear chain of message transmissions: client</w:t>
      </w:r>
      <w:r>
        <w:t xml:space="preserve"> </w:t>
      </w:r>
      <m:oMath>
        <m:r>
          <m:rPr>
            <m:sty m:val="p"/>
          </m:rPr>
          <m:t>→</m:t>
        </m:r>
      </m:oMath>
      <w:r>
        <w:t xml:space="preserve"> </w:t>
      </w:r>
      <w:r>
        <w:t xml:space="preserve">primary (1), primary</w:t>
      </w:r>
      <w:r>
        <w:t xml:space="preserve"> </w:t>
      </w:r>
      <m:oMath>
        <m:r>
          <m:rPr>
            <m:sty m:val="p"/>
          </m:rPr>
          <m:t>→</m:t>
        </m:r>
      </m:oMath>
      <w:r>
        <w:t xml:space="preserve"> </w:t>
      </w:r>
      <w:r>
        <w:t xml:space="preserve">all (2), all</w:t>
      </w:r>
      <w:r>
        <w:t xml:space="preserve"> </w:t>
      </w:r>
      <m:oMath>
        <m:r>
          <m:rPr>
            <m:sty m:val="p"/>
          </m:rPr>
          <m:t>→</m:t>
        </m:r>
      </m:oMath>
      <w:r>
        <w:t xml:space="preserve"> </w:t>
      </w:r>
      <w:r>
        <w:t xml:space="preserve">all (3), all</w:t>
      </w:r>
      <w:r>
        <w:t xml:space="preserve"> </w:t>
      </w:r>
      <m:oMath>
        <m:r>
          <m:rPr>
            <m:sty m:val="p"/>
          </m:rPr>
          <m:t>→</m:t>
        </m:r>
      </m:oMath>
      <w:r>
        <w:t xml:space="preserve"> </w:t>
      </w:r>
      <w:r>
        <w:t xml:space="preserve">all (4), all</w:t>
      </w:r>
      <w:r>
        <w:t xml:space="preserve"> </w:t>
      </w:r>
      <m:oMath>
        <m:r>
          <m:rPr>
            <m:sty m:val="p"/>
          </m:rPr>
          <m:t>→</m:t>
        </m:r>
      </m:oMath>
      <w:r>
        <w:t xml:space="preserve"> </w:t>
      </w:r>
      <w:r>
        <w:t xml:space="preserve">client (5). Each step incurs at most</w:t>
      </w:r>
      <w:r>
        <w:t xml:space="preserve"> </w:t>
      </w:r>
      <m:oMath>
        <m:r>
          <m:t>δ</m:t>
        </m:r>
      </m:oMath>
      <w:r>
        <w:t xml:space="preserve"> </w:t>
      </w:r>
      <w:r>
        <w:t xml:space="preserve">in the synchronous model. In asynchronous networks, the FLP impossibility result (Fischer, Lynch, &amp; Paterson, 1985)</w:t>
      </w:r>
      <w:r>
        <w:t xml:space="preserve"> </w:t>
      </w:r>
      <w:r>
        <w:rPr>
          <w:rStyle w:val="FootnoteReference"/>
        </w:rPr>
        <w:footnoteReference w:id="107"/>
      </w:r>
      <w:r>
        <w:t xml:space="preserve"> </w:t>
      </w:r>
      <w:r>
        <w:t xml:space="preserve">precludes deterministic consensus in bounded time; PBFT uses exponential backoff timeouts, and view changes after primary failure require</w:t>
      </w:r>
      <w:r>
        <w:t xml:space="preserve"> </w:t>
      </w:r>
      <m:oMath>
        <m:r>
          <m:t>O</m:t>
        </m:r>
        <m:d>
          <m:dPr>
            <m:begChr m:val="("/>
            <m:endChr m:val=")"/>
            <m:sepChr m:val=""/>
            <m:grow/>
          </m:dPr>
          <m:e>
            <m:r>
              <m:t>f</m:t>
            </m:r>
          </m:e>
        </m:d>
      </m:oMath>
      <w:r>
        <w:t xml:space="preserve"> </w:t>
      </w:r>
      <w:r>
        <w:t xml:space="preserve">timeout rounds in the worst case.</w:t>
      </w:r>
      <w:r>
        <w:t xml:space="preserve"> </w:t>
      </w:r>
      <m:oMath>
        <m:r>
          <m:rPr>
            <m:sty m:val="p"/>
          </m:rPr>
          <m:t>▫</m:t>
        </m:r>
      </m:oMath>
    </w:p>
    <w:p>
      <w:pPr>
        <w:pStyle w:val="BodyText"/>
      </w:pPr>
      <w:r>
        <w:t xml:space="preserve">The</w:t>
      </w:r>
      <w:r>
        <w:t xml:space="preserve"> </w:t>
      </w:r>
      <m:oMath>
        <m:r>
          <m:t>O</m:t>
        </m:r>
        <m:d>
          <m:dPr>
            <m:begChr m:val="("/>
            <m:endChr m:val=")"/>
            <m:sepChr m:val=""/>
            <m:grow/>
          </m:dPr>
          <m:e>
            <m:sSup>
              <m:e>
                <m:r>
                  <m:t>n</m:t>
                </m:r>
              </m:e>
              <m:sup>
                <m:r>
                  <m:t>2</m:t>
                </m:r>
              </m:sup>
            </m:sSup>
          </m:e>
        </m:d>
      </m:oMath>
      <w:r>
        <w:t xml:space="preserve"> </w:t>
      </w:r>
      <w:r>
        <w:t xml:space="preserve">message complexity of PBFT is fundamental: the prepare and commit phases are</w:t>
      </w:r>
      <w:r>
        <w:t xml:space="preserve"> </w:t>
      </w:r>
      <w:r>
        <w:rPr>
          <w:bCs/>
          <w:b/>
        </w:rPr>
        <w:t xml:space="preserve">all-to-all</w:t>
      </w:r>
      <w:r>
        <w:t xml:space="preserve"> </w:t>
      </w:r>
      <w:r>
        <w:t xml:space="preserve">broadcasts. This is the price of leader-based Byzantine agreement with voting. No optimization can reduce PBFT below</w:t>
      </w:r>
      <w:r>
        <w:t xml:space="preserve"> </w:t>
      </w:r>
      <m:oMath>
        <m:r>
          <m:t>Ω</m:t>
        </m:r>
        <m:d>
          <m:dPr>
            <m:begChr m:val="("/>
            <m:endChr m:val=")"/>
            <m:sepChr m:val=""/>
            <m:grow/>
          </m:dPr>
          <m:e>
            <m:sSup>
              <m:e>
                <m:r>
                  <m:t>n</m:t>
                </m:r>
              </m:e>
              <m:sup>
                <m:r>
                  <m:t>2</m:t>
                </m:r>
              </m:sup>
            </m:sSup>
          </m:e>
        </m:d>
      </m:oMath>
      <w:r>
        <w:t xml:space="preserve"> </w:t>
      </w:r>
      <w:r>
        <w:t xml:space="preserve">messages in the worst case without altering the trust model (e.g., using threshold signatures, as in HotStuff (Yin et al., 2019)</w:t>
      </w:r>
      <w:r>
        <w:t xml:space="preserve"> </w:t>
      </w:r>
      <w:r>
        <w:rPr>
          <w:rStyle w:val="FootnoteReference"/>
        </w:rPr>
        <w:footnoteReference w:id="108"/>
      </w:r>
      <w:r>
        <w:t xml:space="preserve">, which reduces message complexity to</w:t>
      </w:r>
      <w:r>
        <w:t xml:space="preserve"> </w:t>
      </w:r>
      <m:oMath>
        <m:r>
          <m:t>O</m:t>
        </m:r>
        <m:d>
          <m:dPr>
            <m:begChr m:val="("/>
            <m:endChr m:val=")"/>
            <m:sepChr m:val=""/>
            <m:grow/>
          </m:dPr>
          <m:e>
            <m:r>
              <m:t>n</m:t>
            </m:r>
          </m:e>
        </m:d>
      </m:oMath>
      <w:r>
        <w:t xml:space="preserve"> </w:t>
      </w:r>
      <w:r>
        <w:t xml:space="preserve">but introduces</w:t>
      </w:r>
      <w:r>
        <w:t xml:space="preserve"> </w:t>
      </w:r>
      <m:oMath>
        <m:r>
          <m:t>O</m:t>
        </m:r>
        <m:d>
          <m:dPr>
            <m:begChr m:val="("/>
            <m:endChr m:val=")"/>
            <m:sepChr m:val=""/>
            <m:grow/>
          </m:dPr>
          <m:e>
            <m:r>
              <m:t>n</m:t>
            </m:r>
          </m:e>
        </m:d>
      </m:oMath>
      <w:r>
        <w:t xml:space="preserve"> </w:t>
      </w:r>
      <w:r>
        <w:t xml:space="preserve">sequential signatures and higher computational overhead).</w:t>
      </w:r>
    </w:p>
    <w:p>
      <w:r>
        <w:pict>
          <v:rect style="width:0;height:1.5pt" o:hralign="center" o:hrstd="t" o:hr="t"/>
        </w:pict>
      </w:r>
    </w:p>
    <w:bookmarkEnd w:id="109"/>
    <w:bookmarkStart w:id="111" w:name="d.6-head-to-head-comparison"/>
    <w:p>
      <w:pPr>
        <w:pStyle w:val="Heading2"/>
      </w:pPr>
      <w:r>
        <w:t xml:space="preserve">D.6 Head-to-Head Comparison</w:t>
      </w:r>
    </w:p>
    <w:p>
      <w:pPr>
        <w:pStyle w:val="FirstParagraph"/>
      </w:pPr>
      <w:r>
        <w:t xml:space="preserve">Table D.1 summarizes the complexity, latency, and structural properties of PBFT versus ZHC in its naive and optimized forms.</w:t>
      </w:r>
    </w:p>
    <w:p>
      <w:pPr>
        <w:pStyle w:val="BodyText"/>
      </w:pPr>
      <w:r>
        <w:rPr>
          <w:bCs/>
          <w:b/>
        </w:rPr>
        <w:t xml:space="preserve">Table D.1: Comparative Complexity of PBFT and ZHC</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Property</w:t>
            </w:r>
          </w:p>
        </w:tc>
        <w:tc>
          <w:tcPr/>
          <w:p>
            <w:pPr>
              <w:pStyle w:val="Compact"/>
              <w:jc w:val="left"/>
            </w:pPr>
            <w:r>
              <w:t xml:space="preserve">PBFT (Castro-Liskov)</w:t>
            </w:r>
          </w:p>
        </w:tc>
        <w:tc>
          <w:tcPr/>
          <w:p>
            <w:pPr>
              <w:pStyle w:val="Compact"/>
              <w:jc w:val="left"/>
            </w:pPr>
            <w:r>
              <w:t xml:space="preserve">ZHC (Naive)</w:t>
            </w:r>
          </w:p>
        </w:tc>
        <w:tc>
          <w:tcPr/>
          <w:p>
            <w:pPr>
              <w:pStyle w:val="Compact"/>
              <w:jc w:val="left"/>
            </w:pPr>
            <w:r>
              <w:t xml:space="preserve">ZHC (Optimized)</w:t>
            </w:r>
          </w:p>
        </w:tc>
      </w:tr>
      <w:tr>
        <w:tc>
          <w:tcPr/>
          <w:p>
            <w:pPr>
              <w:pStyle w:val="Compact"/>
              <w:jc w:val="left"/>
            </w:pPr>
            <w:r>
              <w:t xml:space="preserve">Messages per consensus round</w:t>
            </w:r>
          </w:p>
        </w:tc>
        <w:tc>
          <w:tcPr/>
          <w:p>
            <w:pPr>
              <w:pStyle w:val="Compact"/>
              <w:jc w:val="left"/>
            </w:pPr>
            <m:oMath>
              <m:r>
                <m:t>O</m:t>
              </m:r>
              <m:d>
                <m:dPr>
                  <m:begChr m:val="("/>
                  <m:endChr m:val=")"/>
                  <m:sepChr m:val=""/>
                  <m:grow/>
                </m:dPr>
                <m:e>
                  <m:sSup>
                    <m:e>
                      <m:r>
                        <m:t>n</m:t>
                      </m:r>
                    </m:e>
                    <m:sup>
                      <m:r>
                        <m:t>2</m:t>
                      </m:r>
                    </m:sup>
                  </m:sSup>
                </m:e>
              </m:d>
            </m:oMath>
          </w:p>
        </w:tc>
        <w:tc>
          <w:tcPr/>
          <w:p>
            <w:pPr>
              <w:pStyle w:val="Compact"/>
              <w:jc w:val="left"/>
            </w:pPr>
            <m:oMath>
              <m:r>
                <m:t>O</m:t>
              </m:r>
              <m:d>
                <m:dPr>
                  <m:begChr m:val="("/>
                  <m:endChr m:val=")"/>
                  <m:sepChr m:val=""/>
                  <m:grow/>
                </m:dPr>
                <m:e>
                  <m:r>
                    <m:t>C</m:t>
                  </m:r>
                  <m:r>
                    <m:rPr>
                      <m:sty m:val="p"/>
                    </m:rPr>
                    <m:t>⋅</m:t>
                  </m:r>
                  <m:r>
                    <m:t>L</m:t>
                  </m:r>
                  <m:r>
                    <m:rPr>
                      <m:sty m:val="p"/>
                    </m:rPr>
                    <m:t>⋅</m:t>
                  </m:r>
                  <m:r>
                    <m:t>N</m:t>
                  </m:r>
                </m:e>
              </m:d>
            </m:oMath>
          </w:p>
        </w:tc>
        <w:tc>
          <w:tcPr/>
          <w:p>
            <w:pPr>
              <w:pStyle w:val="Compact"/>
              <w:jc w:val="left"/>
            </w:pPr>
            <m:oMath>
              <m:r>
                <m:t>O</m:t>
              </m:r>
              <m:d>
                <m:dPr>
                  <m:begChr m:val="("/>
                  <m:endChr m:val=")"/>
                  <m:sepChr m:val=""/>
                  <m:grow/>
                </m:dPr>
                <m:e>
                  <m:r>
                    <m:t>n</m:t>
                  </m:r>
                  <m:r>
                    <m:rPr>
                      <m:sty m:val="p"/>
                    </m:rPr>
                    <m:t>+</m:t>
                  </m:r>
                  <m:r>
                    <m:t>C</m:t>
                  </m:r>
                  <m:r>
                    <m:rPr>
                      <m:sty m:val="p"/>
                    </m:rPr>
                    <m:t>⋅</m:t>
                  </m:r>
                  <m:r>
                    <m:t>L</m:t>
                  </m:r>
                </m:e>
              </m:d>
            </m:oMath>
          </w:p>
        </w:tc>
      </w:tr>
      <w:tr>
        <w:tc>
          <w:tcPr/>
          <w:p>
            <w:pPr>
              <w:pStyle w:val="Compact"/>
              <w:jc w:val="left"/>
            </w:pPr>
            <w:r>
              <w:t xml:space="preserve">Message delays (normal case)</w:t>
            </w:r>
          </w:p>
        </w:tc>
        <w:tc>
          <w:tcPr/>
          <w:p>
            <w:pPr>
              <w:pStyle w:val="Compact"/>
              <w:jc w:val="left"/>
            </w:pPr>
            <m:oMath>
              <m:r>
                <m:t>5</m:t>
              </m:r>
            </m:oMath>
          </w:p>
        </w:tc>
        <w:tc>
          <w:tcPr/>
          <w:p>
            <w:pPr>
              <w:pStyle w:val="Compact"/>
              <w:jc w:val="left"/>
            </w:pPr>
            <m:oMath>
              <m:r>
                <m:t>2</m:t>
              </m:r>
            </m:oMath>
            <w:r>
              <w:t xml:space="preserve"> </w:t>
            </w:r>
            <w:r>
              <w:t xml:space="preserve">(broadcast + verify)</w:t>
            </w:r>
          </w:p>
        </w:tc>
        <w:tc>
          <w:tcPr/>
          <w:p>
            <w:pPr>
              <w:pStyle w:val="Compact"/>
              <w:jc w:val="left"/>
            </w:pPr>
            <m:oMath>
              <m:r>
                <m:t>2</m:t>
              </m:r>
            </m:oMath>
            <w:r>
              <w:t xml:space="preserve"> </w:t>
            </w:r>
            <w:r>
              <w:t xml:space="preserve">(broadcast + verify)</w:t>
            </w:r>
          </w:p>
        </w:tc>
      </w:tr>
      <w:tr>
        <w:tc>
          <w:tcPr/>
          <w:p>
            <w:pPr>
              <w:pStyle w:val="Compact"/>
              <w:jc w:val="left"/>
            </w:pPr>
            <w:r>
              <w:t xml:space="preserve">Byzantine fault tolerance</w:t>
            </w:r>
          </w:p>
        </w:tc>
        <w:tc>
          <w:tcPr/>
          <w:p>
            <w:pPr>
              <w:pStyle w:val="Compact"/>
              <w:jc w:val="left"/>
            </w:pPr>
            <m:oMath>
              <m:r>
                <m:t>f</m:t>
              </m:r>
              <m:r>
                <m:rPr>
                  <m:sty m:val="p"/>
                </m:rPr>
                <m:t>&lt;</m:t>
              </m:r>
              <m:r>
                <m:t>n</m:t>
              </m:r>
              <m:r>
                <m:rPr>
                  <m:sty m:val="p"/>
                </m:rPr>
                <m:t>/</m:t>
              </m:r>
              <m:r>
                <m:t>3</m:t>
              </m:r>
            </m:oMath>
          </w:p>
        </w:tc>
        <w:tc>
          <w:tcPr/>
          <w:p>
            <w:pPr>
              <w:pStyle w:val="Compact"/>
              <w:jc w:val="left"/>
            </w:pPr>
            <w:r>
              <w:t xml:space="preserve">Detectable for any</w:t>
            </w:r>
            <w:r>
              <w:t xml:space="preserve"> </w:t>
            </w:r>
            <m:oMath>
              <m:r>
                <m:t>f</m:t>
              </m:r>
            </m:oMath>
          </w:p>
        </w:tc>
        <w:tc>
          <w:tcPr/>
          <w:p>
            <w:pPr>
              <w:pStyle w:val="Compact"/>
              <w:jc w:val="left"/>
            </w:pPr>
            <w:r>
              <w:t xml:space="preserve">Detectable for any</w:t>
            </w:r>
            <w:r>
              <w:t xml:space="preserve"> </w:t>
            </w:r>
            <m:oMath>
              <m:r>
                <m:t>f</m:t>
              </m:r>
            </m:oMath>
          </w:p>
        </w:tc>
      </w:tr>
      <w:tr>
        <w:tc>
          <w:tcPr/>
          <w:p>
            <w:pPr>
              <w:pStyle w:val="Compact"/>
              <w:jc w:val="left"/>
            </w:pPr>
            <w:r>
              <w:t xml:space="preserve">Leader / Primary required</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All-to-all communication</w:t>
            </w:r>
          </w:p>
        </w:tc>
        <w:tc>
          <w:tcPr/>
          <w:p>
            <w:pPr>
              <w:pStyle w:val="Compact"/>
              <w:jc w:val="left"/>
            </w:pPr>
            <w:r>
              <w:t xml:space="preserve">Yes (prepare, commit)</w:t>
            </w:r>
          </w:p>
        </w:tc>
        <w:tc>
          <w:tcPr/>
          <w:p>
            <w:pPr>
              <w:pStyle w:val="Compact"/>
              <w:jc w:val="left"/>
            </w:pPr>
            <w:r>
              <w:t xml:space="preserve">No (broadcast only)</w:t>
            </w:r>
          </w:p>
        </w:tc>
        <w:tc>
          <w:tcPr/>
          <w:p>
            <w:pPr>
              <w:pStyle w:val="Compact"/>
              <w:jc w:val="left"/>
            </w:pPr>
            <w:r>
              <w:t xml:space="preserve">No (broadcast only)</w:t>
            </w:r>
          </w:p>
        </w:tc>
      </w:tr>
      <w:tr>
        <w:tc>
          <w:tcPr/>
          <w:p>
            <w:pPr>
              <w:pStyle w:val="Compact"/>
              <w:jc w:val="left"/>
            </w:pPr>
            <w:r>
              <w:t xml:space="preserve">Cryptographic signatures per round</w:t>
            </w:r>
          </w:p>
        </w:tc>
        <w:tc>
          <w:tcPr/>
          <w:p>
            <w:pPr>
              <w:pStyle w:val="Compact"/>
              <w:jc w:val="left"/>
            </w:pPr>
            <m:oMath>
              <m:r>
                <m:t>O</m:t>
              </m:r>
              <m:d>
                <m:dPr>
                  <m:begChr m:val="("/>
                  <m:endChr m:val=")"/>
                  <m:sepChr m:val=""/>
                  <m:grow/>
                </m:dPr>
                <m:e>
                  <m:sSup>
                    <m:e>
                      <m:r>
                        <m:t>n</m:t>
                      </m:r>
                    </m:e>
                    <m:sup>
                      <m:r>
                        <m:t>2</m:t>
                      </m:r>
                    </m:sup>
                  </m:sSup>
                </m:e>
              </m:d>
            </m:oMath>
          </w:p>
        </w:tc>
        <w:tc>
          <w:tcPr/>
          <w:p>
            <w:pPr>
              <w:pStyle w:val="Compact"/>
              <w:jc w:val="left"/>
            </w:pPr>
            <m:oMath>
              <m:r>
                <m:t>0</m:t>
              </m:r>
            </m:oMath>
          </w:p>
        </w:tc>
        <w:tc>
          <w:tcPr/>
          <w:p>
            <w:pPr>
              <w:pStyle w:val="Compact"/>
              <w:jc w:val="left"/>
            </w:pPr>
            <m:oMath>
              <m:r>
                <m:t>0</m:t>
              </m:r>
            </m:oMath>
          </w:p>
        </w:tc>
      </w:tr>
      <w:tr>
        <w:tc>
          <w:tcPr/>
          <w:p>
            <w:pPr>
              <w:pStyle w:val="Compact"/>
              <w:jc w:val="left"/>
            </w:pPr>
            <w:r>
              <w:t xml:space="preserve">State transfer mechanism</w:t>
            </w:r>
          </w:p>
        </w:tc>
        <w:tc>
          <w:tcPr/>
          <w:p>
            <w:pPr>
              <w:pStyle w:val="Compact"/>
              <w:jc w:val="left"/>
            </w:pPr>
            <w:r>
              <w:t xml:space="preserve">Quorum voting</w:t>
            </w:r>
          </w:p>
        </w:tc>
        <w:tc>
          <w:tcPr/>
          <w:p>
            <w:pPr>
              <w:pStyle w:val="Compact"/>
              <w:jc w:val="left"/>
            </w:pPr>
            <w:r>
              <w:t xml:space="preserve">Holonomy cycle check</w:t>
            </w:r>
          </w:p>
        </w:tc>
        <w:tc>
          <w:tcPr/>
          <w:p>
            <w:pPr>
              <w:pStyle w:val="Compact"/>
              <w:jc w:val="left"/>
            </w:pPr>
            <w:r>
              <w:t xml:space="preserve">Holonomy cycle check</w:t>
            </w:r>
          </w:p>
        </w:tc>
      </w:tr>
      <w:tr>
        <w:tc>
          <w:tcPr/>
          <w:p>
            <w:pPr>
              <w:pStyle w:val="Compact"/>
              <w:jc w:val="left"/>
            </w:pPr>
            <w:r>
              <w:t xml:space="preserve">Worst-case local computation</w:t>
            </w:r>
          </w:p>
        </w:tc>
        <w:tc>
          <w:tcPr/>
          <w:p>
            <w:pPr>
              <w:pStyle w:val="Compact"/>
              <w:jc w:val="left"/>
            </w:pPr>
            <m:oMath>
              <m:r>
                <m:t>O</m:t>
              </m:r>
              <m:d>
                <m:dPr>
                  <m:begChr m:val="("/>
                  <m:endChr m:val=")"/>
                  <m:sepChr m:val=""/>
                  <m:grow/>
                </m:dPr>
                <m:e>
                  <m:sSup>
                    <m:e>
                      <m:r>
                        <m:t>n</m:t>
                      </m:r>
                    </m:e>
                    <m:sup>
                      <m:r>
                        <m:t>2</m:t>
                      </m:r>
                    </m:sup>
                  </m:sSup>
                </m:e>
              </m:d>
            </m:oMath>
            <w:r>
              <w:t xml:space="preserve"> </w:t>
            </w:r>
            <w:r>
              <w:t xml:space="preserve">signature verifies</w:t>
            </w:r>
          </w:p>
        </w:tc>
        <w:tc>
          <w:tcPr/>
          <w:p>
            <w:pPr>
              <w:pStyle w:val="Compact"/>
              <w:jc w:val="left"/>
            </w:pPr>
            <m:oMath>
              <m:r>
                <m:t>O</m:t>
              </m:r>
              <m:d>
                <m:dPr>
                  <m:begChr m:val="("/>
                  <m:endChr m:val=")"/>
                  <m:sepChr m:val=""/>
                  <m:grow/>
                </m:dPr>
                <m:e>
                  <m:r>
                    <m:t>C</m:t>
                  </m:r>
                  <m:r>
                    <m:rPr>
                      <m:sty m:val="p"/>
                    </m:rPr>
                    <m:t>⋅</m:t>
                  </m:r>
                  <m:r>
                    <m:t>L</m:t>
                  </m:r>
                  <m:r>
                    <m:rPr>
                      <m:sty m:val="p"/>
                    </m:rPr>
                    <m:t>⋅</m:t>
                  </m:r>
                  <m:r>
                    <m:t>N</m:t>
                  </m:r>
                </m:e>
              </m:d>
            </m:oMath>
          </w:p>
        </w:tc>
        <w:tc>
          <w:tcPr/>
          <w:p>
            <w:pPr>
              <w:pStyle w:val="Compact"/>
              <w:jc w:val="left"/>
            </w:pPr>
            <m:oMath>
              <m:r>
                <m:t>O</m:t>
              </m:r>
              <m:d>
                <m:dPr>
                  <m:begChr m:val="("/>
                  <m:endChr m:val=")"/>
                  <m:sepChr m:val=""/>
                  <m:grow/>
                </m:dPr>
                <m:e>
                  <m:r>
                    <m:t>C</m:t>
                  </m:r>
                  <m:r>
                    <m:rPr>
                      <m:sty m:val="p"/>
                    </m:rPr>
                    <m:t>⋅</m:t>
                  </m:r>
                  <m:r>
                    <m:t>L</m:t>
                  </m:r>
                </m:e>
              </m:d>
            </m:oMath>
          </w:p>
        </w:tc>
      </w:tr>
      <w:tr>
        <w:tc>
          <w:tcPr/>
          <w:p>
            <w:pPr>
              <w:pStyle w:val="Compact"/>
              <w:jc w:val="left"/>
            </w:pPr>
            <w:r>
              <w:t xml:space="preserve">Graph topology assumption</w:t>
            </w:r>
          </w:p>
        </w:tc>
        <w:tc>
          <w:tcPr/>
          <w:p>
            <w:pPr>
              <w:pStyle w:val="Compact"/>
              <w:jc w:val="left"/>
            </w:pPr>
            <w:r>
              <w:t xml:space="preserve">Complete graph</w:t>
            </w:r>
          </w:p>
        </w:tc>
        <w:tc>
          <w:tcPr/>
          <w:p>
            <w:pPr>
              <w:pStyle w:val="Compact"/>
              <w:jc w:val="left"/>
            </w:pPr>
            <w:r>
              <w:t xml:space="preserve">Bounded-degree rigidity</w:t>
            </w:r>
          </w:p>
        </w:tc>
        <w:tc>
          <w:tcPr/>
          <w:p>
            <w:pPr>
              <w:pStyle w:val="Compact"/>
              <w:jc w:val="left"/>
            </w:pPr>
            <w:r>
              <w:t xml:space="preserve">Bounded-degree rigidity</w:t>
            </w:r>
          </w:p>
        </w:tc>
      </w:tr>
    </w:tbl>
    <w:p>
      <w:pPr>
        <w:pStyle w:val="BodyText"/>
      </w:pPr>
      <w:r>
        <w:rPr>
          <w:bCs/>
          <w:b/>
        </w:rPr>
        <w:t xml:space="preserve">Discussion.</w:t>
      </w:r>
      <w:r>
        <w:t xml:space="preserve"> </w:t>
      </w:r>
      <w:r>
        <w:t xml:space="preserve">The comparison reveals a fundamental trade-off between communication structure and trust mechanism. PBFT achieves agreement by</w:t>
      </w:r>
      <w:r>
        <w:t xml:space="preserve"> </w:t>
      </w:r>
      <w:r>
        <w:rPr>
          <w:bCs/>
          <w:b/>
        </w:rPr>
        <w:t xml:space="preserve">voting</w:t>
      </w:r>
      <w:r>
        <w:t xml:space="preserve">: every replica sees every other replica’s prepare and commit, and agreement is reached when a quorum of</w:t>
      </w:r>
      <w:r>
        <w:t xml:space="preserve"> </w:t>
      </w:r>
      <m:oMath>
        <m:r>
          <m:t>2</m:t>
        </m:r>
        <m:r>
          <m:t>f</m:t>
        </m:r>
        <m:r>
          <m:rPr>
            <m:sty m:val="p"/>
          </m:rPr>
          <m:t>+</m:t>
        </m:r>
        <m:r>
          <m:t>1</m:t>
        </m:r>
      </m:oMath>
      <w:r>
        <w:t xml:space="preserve"> </w:t>
      </w:r>
      <w:r>
        <w:t xml:space="preserve">matching votes is observed. This requires</w:t>
      </w:r>
      <w:r>
        <w:t xml:space="preserve"> </w:t>
      </w:r>
      <m:oMath>
        <m:r>
          <m:t>Ω</m:t>
        </m:r>
        <m:d>
          <m:dPr>
            <m:begChr m:val="("/>
            <m:endChr m:val=")"/>
            <m:sepChr m:val=""/>
            <m:grow/>
          </m:dPr>
          <m:e>
            <m:sSup>
              <m:e>
                <m:r>
                  <m:t>n</m:t>
                </m:r>
              </m:e>
              <m:sup>
                <m:r>
                  <m:t>2</m:t>
                </m:r>
              </m:sup>
            </m:sSup>
          </m:e>
        </m:d>
      </m:oMath>
      <w:r>
        <w:t xml:space="preserve"> </w:t>
      </w:r>
      <w:r>
        <w:t xml:space="preserve">messages because voting is inherently all-to-all. ZHC replaces voting with</w:t>
      </w:r>
      <w:r>
        <w:t xml:space="preserve"> </w:t>
      </w:r>
      <w:r>
        <w:rPr>
          <w:bCs/>
          <w:b/>
        </w:rPr>
        <w:t xml:space="preserve">geometric consistency checking</w:t>
      </w:r>
      <w:r>
        <w:t xml:space="preserve">: each node broadcasts its local holonomy matrix, and the entire fleet verifies that the product of matrices around every closed cycle equals the identity. Agreement is not reached by counting votes but by detecting whether the parallel transport around any loop is anholonomic. This eliminates the all-to-all phases entirely.</w:t>
      </w:r>
    </w:p>
    <w:p>
      <w:pPr>
        <w:pStyle w:val="BodyText"/>
      </w:pPr>
      <w:r>
        <w:t xml:space="preserve">The trade-off is that PBFT provides</w:t>
      </w:r>
      <w:r>
        <w:t xml:space="preserve"> </w:t>
      </w:r>
      <w:r>
        <w:rPr>
          <w:bCs/>
          <w:b/>
        </w:rPr>
        <w:t xml:space="preserve">safety</w:t>
      </w:r>
      <w:r>
        <w:t xml:space="preserve"> </w:t>
      </w:r>
      <w:r>
        <w:t xml:space="preserve">(no two correct replicas commit different values) under any network asynchrony, up to</w:t>
      </w:r>
      <w:r>
        <w:t xml:space="preserve"> </w:t>
      </w:r>
      <m:oMath>
        <m:r>
          <m:t>f</m:t>
        </m:r>
        <m:r>
          <m:rPr>
            <m:sty m:val="p"/>
          </m:rPr>
          <m:t>&lt;</m:t>
        </m:r>
        <m:r>
          <m:t>n</m:t>
        </m:r>
        <m:r>
          <m:rPr>
            <m:sty m:val="p"/>
          </m:rPr>
          <m:t>/</m:t>
        </m:r>
        <m:r>
          <m:t>3</m:t>
        </m:r>
      </m:oMath>
      <w:r>
        <w:t xml:space="preserve"> </w:t>
      </w:r>
      <w:r>
        <w:t xml:space="preserve">faults, by the classic quorum intersection argument (Lamport, 2001)</w:t>
      </w:r>
      <w:r>
        <w:t xml:space="preserve"> </w:t>
      </w:r>
      <w:r>
        <w:rPr>
          <w:rStyle w:val="FootnoteReference"/>
        </w:rPr>
        <w:footnoteReference w:id="110"/>
      </w:r>
      <w:r>
        <w:t xml:space="preserve">. ZHC provides</w:t>
      </w:r>
      <w:r>
        <w:t xml:space="preserve"> </w:t>
      </w:r>
      <w:r>
        <w:rPr>
          <w:bCs/>
          <w:b/>
        </w:rPr>
        <w:t xml:space="preserve">detectability</w:t>
      </w:r>
      <w:r>
        <w:t xml:space="preserve"> </w:t>
      </w:r>
      <w:r>
        <w:t xml:space="preserve">(any inconsistency creates a non-identity cycle product) but does not, by itself, guarantee that all correct nodes agree on a single value in the same round—it guarantees that if the geometric state is inconsistent, at least one node detects it. The</w:t>
      </w:r>
      <w:r>
        <w:t xml:space="preserve"> </w:t>
      </w:r>
      <w:r>
        <w:t xml:space="preserve">“</w:t>
      </w:r>
      <w:r>
        <w:t xml:space="preserve">consensus</w:t>
      </w:r>
      <w:r>
        <w:t xml:space="preserve">”</w:t>
      </w:r>
      <w:r>
        <w:t xml:space="preserve"> </w:t>
      </w:r>
      <w:r>
        <w:t xml:space="preserve">in ZHC is consensus on the</w:t>
      </w:r>
      <w:r>
        <w:t xml:space="preserve"> </w:t>
      </w:r>
      <w:r>
        <w:rPr>
          <w:bCs/>
          <w:b/>
        </w:rPr>
        <w:t xml:space="preserve">geometric embedding</w:t>
      </w:r>
      <w:r>
        <w:t xml:space="preserve">, not on an arbitrary client request. This narrower semantic scope is precisely what enables the</w:t>
      </w:r>
      <w:r>
        <w:t xml:space="preserve"> </w:t>
      </w:r>
      <m:oMath>
        <m:r>
          <m:t>O</m:t>
        </m:r>
        <m:d>
          <m:dPr>
            <m:begChr m:val="("/>
            <m:endChr m:val=")"/>
            <m:sepChr m:val=""/>
            <m:grow/>
          </m:dPr>
          <m:e>
            <m:r>
              <m:t>n</m:t>
            </m:r>
          </m:e>
        </m:d>
      </m:oMath>
      <w:r>
        <w:t xml:space="preserve"> </w:t>
      </w:r>
      <w:r>
        <w:t xml:space="preserve">message bound: ZHC consensus is agreement on a physically constrained state, not on an unconstrained command sequence.</w:t>
      </w:r>
    </w:p>
    <w:p>
      <w:r>
        <w:pict>
          <v:rect style="width:0;height:1.5pt" o:hralign="center" o:hrstd="t" o:hr="t"/>
        </w:pict>
      </w:r>
    </w:p>
    <w:bookmarkEnd w:id="111"/>
    <w:bookmarkStart w:id="113" w:name="X1b7d73506ca632e905b71c83bad0893a794aed2"/>
    <w:p>
      <w:pPr>
        <w:pStyle w:val="Heading2"/>
      </w:pPr>
      <w:r>
        <w:t xml:space="preserve">D.7 The 38,ms Claim: Decomposition and Defense</w:t>
      </w:r>
    </w:p>
    <w:p>
      <w:pPr>
        <w:pStyle w:val="FirstParagraph"/>
      </w:pPr>
      <w:r>
        <w:t xml:space="preserve">The dissertation states that ZHC achieves</w:t>
      </w:r>
      <w:r>
        <w:t xml:space="preserve"> </w:t>
      </w:r>
      <m:oMath>
        <m:r>
          <m:t>38</m:t>
        </m:r>
        <m:r>
          <m:t> </m:t>
        </m:r>
        <m:r>
          <m:rPr>
            <m:nor/>
            <m:sty m:val="p"/>
          </m:rPr>
          <m:t>ms</m:t>
        </m:r>
      </m:oMath>
      <w:r>
        <w:t xml:space="preserve"> </w:t>
      </w:r>
      <w:r>
        <w:t xml:space="preserve">end-to-end consensus latency in a 100-node simulation. This figure requires careful decomposition into its constituent terms to avoid the misinterpretation that matrix multiplication itself is the bottleneck.</w:t>
      </w:r>
    </w:p>
    <w:p>
      <w:pPr>
        <w:pStyle w:val="BodyText"/>
      </w:pPr>
      <w:r>
        <w:t xml:space="preserve">Let</w:t>
      </w:r>
      <w:r>
        <w:t xml:space="preserve"> </w:t>
      </w:r>
      <m:oMath>
        <m:r>
          <m:t>N</m:t>
        </m:r>
        <m:r>
          <m:rPr>
            <m:sty m:val="p"/>
          </m:rPr>
          <m:t>=</m:t>
        </m:r>
        <m:r>
          <m:t>100</m:t>
        </m:r>
      </m:oMath>
      <w:r>
        <w:t xml:space="preserve">,</w:t>
      </w:r>
      <w:r>
        <w:t xml:space="preserve"> </w:t>
      </w:r>
      <m:oMath>
        <m:sSub>
          <m:e>
            <m:r>
              <m:t>d</m:t>
            </m:r>
          </m:e>
          <m:sub>
            <m:r>
              <m:rPr>
                <m:sty m:val="p"/>
              </m:rPr>
              <m:t>max</m:t>
            </m:r>
          </m:sub>
        </m:sSub>
        <m:r>
          <m:rPr>
            <m:sty m:val="p"/>
          </m:rPr>
          <m:t>=</m:t>
        </m:r>
        <m:r>
          <m:t>12</m:t>
        </m:r>
      </m:oMath>
      <w:r>
        <w:t xml:space="preserve">,</w:t>
      </w:r>
      <w:r>
        <w:t xml:space="preserve"> </w:t>
      </w:r>
      <m:oMath>
        <m:sSub>
          <m:e>
            <m:r>
              <m:t>L</m:t>
            </m:r>
          </m:e>
          <m:sub>
            <m:r>
              <m:rPr>
                <m:sty m:val="p"/>
              </m:rPr>
              <m:t>max</m:t>
            </m:r>
          </m:sub>
        </m:sSub>
        <m:r>
          <m:rPr>
            <m:sty m:val="p"/>
          </m:rPr>
          <m:t>=</m:t>
        </m:r>
        <m:r>
          <m:t>6</m:t>
        </m:r>
      </m:oMath>
      <w:r>
        <w:t xml:space="preserve">. Under Assumption D.8 and D.9, the number of cycles</w:t>
      </w:r>
      <w:r>
        <w:t xml:space="preserve"> </w:t>
      </w:r>
      <m:oMath>
        <m:r>
          <m:t>C</m:t>
        </m:r>
      </m:oMath>
      <w:r>
        <w:t xml:space="preserve"> </w:t>
      </w:r>
      <w:r>
        <w:t xml:space="preserve">is</w:t>
      </w:r>
      <w:r>
        <w:t xml:space="preserve"> </w:t>
      </w:r>
      <m:oMath>
        <m:r>
          <m:t>O</m:t>
        </m:r>
        <m:d>
          <m:dPr>
            <m:begChr m:val="("/>
            <m:endChr m:val=")"/>
            <m:sepChr m:val=""/>
            <m:grow/>
          </m:dPr>
          <m:e>
            <m:r>
              <m:t>N</m:t>
            </m:r>
          </m:e>
        </m:d>
        <m:r>
          <m:rPr>
            <m:sty m:val="p"/>
          </m:rPr>
          <m:t>=</m:t>
        </m:r>
        <m:r>
          <m:t>O</m:t>
        </m:r>
        <m:d>
          <m:dPr>
            <m:begChr m:val="("/>
            <m:endChr m:val=")"/>
            <m:sepChr m:val=""/>
            <m:grow/>
          </m:dPr>
          <m:e>
            <m:r>
              <m:t>100</m:t>
            </m:r>
          </m:e>
        </m:d>
      </m:oMath>
      <w:r>
        <w:t xml:space="preserve">. The total number of matrix multiplications per node is</w:t>
      </w:r>
      <w:r>
        <w:t xml:space="preserve"> </w:t>
      </w:r>
      <m:oMath>
        <m:r>
          <m:t>C</m:t>
        </m:r>
        <m:r>
          <m:rPr>
            <m:sty m:val="p"/>
          </m:rPr>
          <m:t>⋅</m:t>
        </m:r>
        <m:r>
          <m:t>L</m:t>
        </m:r>
        <m:r>
          <m:rPr>
            <m:sty m:val="p"/>
          </m:rPr>
          <m:t>=</m:t>
        </m:r>
        <m:r>
          <m:t>O</m:t>
        </m:r>
        <m:d>
          <m:dPr>
            <m:begChr m:val="("/>
            <m:endChr m:val=")"/>
            <m:sepChr m:val=""/>
            <m:grow/>
          </m:dPr>
          <m:e>
            <m:r>
              <m:t>100</m:t>
            </m:r>
          </m:e>
        </m:d>
        <m:r>
          <m:rPr>
            <m:sty m:val="p"/>
          </m:rPr>
          <m:t>⋅</m:t>
        </m:r>
        <m:r>
          <m:t>O</m:t>
        </m:r>
        <m:d>
          <m:dPr>
            <m:begChr m:val="("/>
            <m:endChr m:val=")"/>
            <m:sepChr m:val=""/>
            <m:grow/>
          </m:dPr>
          <m:e>
            <m:r>
              <m:t>6</m:t>
            </m:r>
          </m:e>
        </m:d>
        <m:r>
          <m:rPr>
            <m:sty m:val="p"/>
          </m:rPr>
          <m:t>=</m:t>
        </m:r>
        <m:r>
          <m:t>600</m:t>
        </m:r>
      </m:oMath>
      <w:r>
        <w:t xml:space="preserve"> </w:t>
      </w:r>
      <w:r>
        <w:t xml:space="preserve">in the typical case. Each holonomy matrix is a</w:t>
      </w:r>
      <w:r>
        <w:t xml:space="preserve"> </w:t>
      </w:r>
      <m:oMath>
        <m:r>
          <m:t>3</m:t>
        </m:r>
        <m:r>
          <m:rPr>
            <m:sty m:val="p"/>
          </m:rPr>
          <m:t>×</m:t>
        </m:r>
        <m:r>
          <m:t>3</m:t>
        </m:r>
      </m:oMath>
      <w:r>
        <w:t xml:space="preserve"> </w:t>
      </w:r>
      <w:r>
        <w:t xml:space="preserve">rotation matrix; multiplication involves</w:t>
      </w:r>
      <w:r>
        <w:t xml:space="preserve"> </w:t>
      </w:r>
      <m:oMath>
        <m:r>
          <m:t>27</m:t>
        </m:r>
      </m:oMath>
      <w:r>
        <w:t xml:space="preserve"> </w:t>
      </w:r>
      <w:r>
        <w:t xml:space="preserve">floating-point operations (or</w:t>
      </w:r>
      <w:r>
        <w:t xml:space="preserve"> </w:t>
      </w:r>
      <m:oMath>
        <m:r>
          <m:t>45</m:t>
        </m:r>
      </m:oMath>
      <w:r>
        <w:t xml:space="preserve"> </w:t>
      </w:r>
      <w:r>
        <w:t xml:space="preserve">if using quaternion intermediates). At</w:t>
      </w:r>
      <w:r>
        <w:t xml:space="preserve"> </w:t>
      </w:r>
      <m:oMath>
        <m:r>
          <m:t>1</m:t>
        </m:r>
        <m:r>
          <m:t> </m:t>
        </m:r>
        <m:r>
          <m:rPr>
            <m:nor/>
            <m:sty m:val="p"/>
          </m:rPr>
          <m:t>ns</m:t>
        </m:r>
      </m:oMath>
      <w:r>
        <w:t xml:space="preserve"> </w:t>
      </w:r>
      <w:r>
        <w:t xml:space="preserve">per FMA on a modern CPU,</w:t>
      </w:r>
      <w:r>
        <w:t xml:space="preserve"> </w:t>
      </w:r>
      <m:oMath>
        <m:r>
          <m:t>600</m:t>
        </m:r>
      </m:oMath>
      <w:r>
        <w:t xml:space="preserve"> </w:t>
      </w:r>
      <w:r>
        <w:t xml:space="preserve">multiplications cost approximately</w:t>
      </w:r>
      <w:r>
        <w:t xml:space="preserve"> </w:t>
      </w:r>
      <m:oMath>
        <m:r>
          <m:t>600</m:t>
        </m:r>
        <m:r>
          <m:rPr>
            <m:sty m:val="p"/>
          </m:rPr>
          <m:t>×</m:t>
        </m:r>
        <m:r>
          <m:t>27</m:t>
        </m:r>
        <m:r>
          <m:rPr>
            <m:sty m:val="p"/>
          </m:rPr>
          <m:t>×</m:t>
        </m:r>
        <m:r>
          <m:t>1</m:t>
        </m:r>
        <m:r>
          <m:t> </m:t>
        </m:r>
        <m:r>
          <m:rPr>
            <m:nor/>
            <m:sty m:val="p"/>
          </m:rPr>
          <m:t>ns</m:t>
        </m:r>
        <m:r>
          <m:rPr>
            <m:sty m:val="p"/>
          </m:rPr>
          <m:t>≈</m:t>
        </m:r>
        <m:r>
          <m:t>16</m:t>
        </m:r>
        <m:r>
          <m:t> </m:t>
        </m:r>
        <m:r>
          <m:t>μ</m:t>
        </m:r>
        <m:r>
          <m:rPr>
            <m:nor/>
            <m:sty m:val="p"/>
          </m:rPr>
          <m:t>s</m:t>
        </m:r>
      </m:oMath>
      <w:r>
        <w:t xml:space="preserve">. Even at</w:t>
      </w:r>
      <w:r>
        <w:t xml:space="preserve"> </w:t>
      </w:r>
      <m:oMath>
        <m:r>
          <m:t>100</m:t>
        </m:r>
        <m:r>
          <m:t> </m:t>
        </m:r>
        <m:r>
          <m:rPr>
            <m:nor/>
            <m:sty m:val="p"/>
          </m:rPr>
          <m:t>ns</m:t>
        </m:r>
      </m:oMath>
      <w:r>
        <w:t xml:space="preserve"> </w:t>
      </w:r>
      <w:r>
        <w:t xml:space="preserve">per multiply (cache-miss pessimism), the compute time is</w:t>
      </w:r>
      <w:r>
        <w:t xml:space="preserve"> </w:t>
      </w:r>
      <m:oMath>
        <m:r>
          <m:t>600</m:t>
        </m:r>
        <m:r>
          <m:rPr>
            <m:sty m:val="p"/>
          </m:rPr>
          <m:t>×</m:t>
        </m:r>
        <m:r>
          <m:t>27</m:t>
        </m:r>
        <m:r>
          <m:rPr>
            <m:sty m:val="p"/>
          </m:rPr>
          <m:t>×</m:t>
        </m:r>
        <m:r>
          <m:t>100</m:t>
        </m:r>
        <m:r>
          <m:t> </m:t>
        </m:r>
        <m:r>
          <m:rPr>
            <m:nor/>
            <m:sty m:val="p"/>
          </m:rPr>
          <m:t>ns</m:t>
        </m:r>
        <m:r>
          <m:rPr>
            <m:sty m:val="p"/>
          </m:rPr>
          <m:t>≈</m:t>
        </m:r>
        <m:r>
          <m:t>1.6</m:t>
        </m:r>
        <m:r>
          <m:t> </m:t>
        </m:r>
        <m:r>
          <m:rPr>
            <m:nor/>
            <m:sty m:val="p"/>
          </m:rPr>
          <m:t>ms</m:t>
        </m:r>
      </m:oMath>
      <w:r>
        <w:t xml:space="preserve">. The computational component is negligible.</w:t>
      </w:r>
    </w:p>
    <w:p>
      <w:pPr>
        <w:pStyle w:val="BodyText"/>
      </w:pPr>
      <w:r>
        <w:t xml:space="preserve">The dominant terms in the</w:t>
      </w:r>
      <w:r>
        <w:t xml:space="preserve"> </w:t>
      </w:r>
      <m:oMath>
        <m:r>
          <m:t>38</m:t>
        </m:r>
        <m:r>
          <m:t> </m:t>
        </m:r>
        <m:r>
          <m:rPr>
            <m:nor/>
            <m:sty m:val="p"/>
          </m:rPr>
          <m:t>ms</m:t>
        </m:r>
      </m:oMath>
      <w:r>
        <w:t xml:space="preserve"> </w:t>
      </w:r>
      <w:r>
        <w:t xml:space="preserve">measurement are:</w:t>
      </w:r>
    </w:p>
    <w:p>
      <w:pPr>
        <w:numPr>
          <w:ilvl w:val="0"/>
          <w:numId w:val="1008"/>
        </w:numPr>
        <w:pStyle w:val="Compact"/>
      </w:pPr>
      <w:r>
        <w:rPr>
          <w:bCs/>
          <w:b/>
        </w:rPr>
        <w:t xml:space="preserve">Network broadcast latency.</w:t>
      </w:r>
      <w:r>
        <w:t xml:space="preserve"> </w:t>
      </w:r>
      <w:r>
        <w:t xml:space="preserve">Each node sends its holonomy matrix to</w:t>
      </w:r>
      <w:r>
        <w:t xml:space="preserve"> </w:t>
      </w:r>
      <m:oMath>
        <m:r>
          <m:t>O</m:t>
        </m:r>
        <m:d>
          <m:dPr>
            <m:begChr m:val="("/>
            <m:endChr m:val=")"/>
            <m:sepChr m:val=""/>
            <m:grow/>
          </m:dPr>
          <m:e>
            <m:sSub>
              <m:e>
                <m:r>
                  <m:t>d</m:t>
                </m:r>
              </m:e>
              <m:sub>
                <m:r>
                  <m:rPr>
                    <m:sty m:val="p"/>
                  </m:rPr>
                  <m:t>max</m:t>
                </m:r>
              </m:sub>
            </m:sSub>
          </m:e>
        </m:d>
      </m:oMath>
      <w:r>
        <w:t xml:space="preserve"> </w:t>
      </w:r>
      <w:r>
        <w:t xml:space="preserve">neighbors. In a local-area fleet network with</w:t>
      </w:r>
      <w:r>
        <w:t xml:space="preserve"> </w:t>
      </w:r>
      <m:oMath>
        <m:r>
          <m:t>1</m:t>
        </m:r>
        <m:r>
          <m:t> </m:t>
        </m:r>
        <m:r>
          <m:rPr>
            <m:nor/>
            <m:sty m:val="p"/>
          </m:rPr>
          <m:t>Gbps</m:t>
        </m:r>
      </m:oMath>
      <w:r>
        <w:t xml:space="preserve"> </w:t>
      </w:r>
      <w:r>
        <w:t xml:space="preserve">links and</w:t>
      </w:r>
      <w:r>
        <w:t xml:space="preserve"> </w:t>
      </w:r>
      <m:oMath>
        <m:r>
          <m:t>100</m:t>
        </m:r>
      </m:oMath>
      <w:r>
        <w:t xml:space="preserve">-byte packets, serialization delay is</w:t>
      </w:r>
      <w:r>
        <w:t xml:space="preserve"> </w:t>
      </w:r>
      <m:oMath>
        <m:r>
          <m:rPr>
            <m:sty m:val="p"/>
          </m:rPr>
          <m:t>&lt;</m:t>
        </m:r>
        <m:r>
          <m:t>1</m:t>
        </m:r>
        <m:r>
          <m:t> </m:t>
        </m:r>
        <m:r>
          <m:t>μ</m:t>
        </m:r>
        <m:r>
          <m:rPr>
            <m:nor/>
            <m:sty m:val="p"/>
          </m:rPr>
          <m:t>s</m:t>
        </m:r>
      </m:oMath>
      <w:r>
        <w:t xml:space="preserve">; propagation delay across a</w:t>
      </w:r>
      <w:r>
        <w:t xml:space="preserve"> </w:t>
      </w:r>
      <m:oMath>
        <m:r>
          <m:t>1</m:t>
        </m:r>
        <m:r>
          <m:t> </m:t>
        </m:r>
        <m:r>
          <m:rPr>
            <m:nor/>
            <m:sty m:val="p"/>
          </m:rPr>
          <m:t>km</m:t>
        </m:r>
      </m:oMath>
      <w:r>
        <w:t xml:space="preserve"> </w:t>
      </w:r>
      <w:r>
        <w:t xml:space="preserve">formation is</w:t>
      </w:r>
      <w:r>
        <w:t xml:space="preserve"> </w:t>
      </w:r>
      <m:oMath>
        <m:r>
          <m:rPr>
            <m:sty m:val="p"/>
          </m:rPr>
          <m:t>&lt;</m:t>
        </m:r>
        <m:r>
          <m:t>5</m:t>
        </m:r>
        <m:r>
          <m:t> </m:t>
        </m:r>
        <m:r>
          <m:t>μ</m:t>
        </m:r>
        <m:r>
          <m:rPr>
            <m:nor/>
            <m:sty m:val="p"/>
          </m:rPr>
          <m:t>s</m:t>
        </m:r>
      </m:oMath>
      <w:r>
        <w:t xml:space="preserve">. The dominant network term is</w:t>
      </w:r>
      <w:r>
        <w:t xml:space="preserve"> </w:t>
      </w:r>
      <w:r>
        <w:rPr>
          <w:bCs/>
          <w:b/>
        </w:rPr>
        <w:t xml:space="preserve">serialization of the broadcast tree</w:t>
      </w:r>
      <w:r>
        <w:t xml:space="preserve"> </w:t>
      </w:r>
      <w:r>
        <w:t xml:space="preserve">and</w:t>
      </w:r>
      <w:r>
        <w:t xml:space="preserve"> </w:t>
      </w:r>
      <w:r>
        <w:rPr>
          <w:bCs/>
          <w:b/>
        </w:rPr>
        <w:t xml:space="preserve">OS kernel/network stack overhead</w:t>
      </w:r>
      <w:r>
        <w:t xml:space="preserve">, typically</w:t>
      </w:r>
      <w:r>
        <w:t xml:space="preserve"> </w:t>
      </w:r>
      <m:oMath>
        <m:r>
          <m:t>0.5</m:t>
        </m:r>
      </m:oMath>
      <w:r>
        <w:t xml:space="preserve">–</w:t>
      </w:r>
      <m:oMath>
        <m:r>
          <m:t>2</m:t>
        </m:r>
        <m:r>
          <m:t> </m:t>
        </m:r>
        <m:r>
          <m:rPr>
            <m:nor/>
            <m:sty m:val="p"/>
          </m:rPr>
          <m:t>ms</m:t>
        </m:r>
      </m:oMath>
      <w:r>
        <w:t xml:space="preserve"> </w:t>
      </w:r>
      <w:r>
        <w:t xml:space="preserve">per hop in non-RT Linux.</w:t>
      </w:r>
    </w:p>
    <w:p>
      <w:pPr>
        <w:numPr>
          <w:ilvl w:val="0"/>
          <w:numId w:val="1008"/>
        </w:numPr>
        <w:pStyle w:val="Compact"/>
      </w:pPr>
      <w:r>
        <w:rPr>
          <w:bCs/>
          <w:b/>
        </w:rPr>
        <w:t xml:space="preserve">Cycle enumeration and verification loop.</w:t>
      </w:r>
      <w:r>
        <w:t xml:space="preserve"> </w:t>
      </w:r>
      <w:r>
        <w:t xml:space="preserve">With HashMap optimization,</w:t>
      </w:r>
      <w:r>
        <w:t xml:space="preserve"> </w:t>
      </w:r>
      <m:oMath>
        <m:r>
          <m:t>O</m:t>
        </m:r>
        <m:d>
          <m:dPr>
            <m:begChr m:val="("/>
            <m:endChr m:val=")"/>
            <m:sepChr m:val=""/>
            <m:grow/>
          </m:dPr>
          <m:e>
            <m:r>
              <m:t>N</m:t>
            </m:r>
          </m:e>
        </m:d>
      </m:oMath>
      <w:r>
        <w:t xml:space="preserve"> </w:t>
      </w:r>
      <w:r>
        <w:t xml:space="preserve">cycle enumeration plus</w:t>
      </w:r>
      <w:r>
        <w:t xml:space="preserve"> </w:t>
      </w:r>
      <m:oMath>
        <m:r>
          <m:t>O</m:t>
        </m:r>
        <m:d>
          <m:dPr>
            <m:begChr m:val="("/>
            <m:endChr m:val=")"/>
            <m:sepChr m:val=""/>
            <m:grow/>
          </m:dPr>
          <m:e>
            <m:r>
              <m:t>C</m:t>
            </m:r>
            <m:r>
              <m:rPr>
                <m:sty m:val="p"/>
              </m:rPr>
              <m:t>⋅</m:t>
            </m:r>
            <m:r>
              <m:t>L</m:t>
            </m:r>
          </m:e>
        </m:d>
      </m:oMath>
      <w:r>
        <w:t xml:space="preserve"> </w:t>
      </w:r>
      <w:r>
        <w:t xml:space="preserve">verification is</w:t>
      </w:r>
      <w:r>
        <w:t xml:space="preserve"> </w:t>
      </w:r>
      <m:oMath>
        <m:r>
          <m:rPr>
            <m:sty m:val="p"/>
          </m:rPr>
          <m:t>&lt;</m:t>
        </m:r>
        <m:r>
          <m:t>1</m:t>
        </m:r>
        <m:r>
          <m:t> </m:t>
        </m:r>
        <m:r>
          <m:rPr>
            <m:nor/>
            <m:sty m:val="p"/>
          </m:rPr>
          <m:t>ms</m:t>
        </m:r>
      </m:oMath>
      <w:r>
        <w:t xml:space="preserve"> </w:t>
      </w:r>
      <w:r>
        <w:t xml:space="preserve">in Rust for</w:t>
      </w:r>
      <w:r>
        <w:t xml:space="preserve"> </w:t>
      </w:r>
      <m:oMath>
        <m:r>
          <m:t>N</m:t>
        </m:r>
        <m:r>
          <m:rPr>
            <m:sty m:val="p"/>
          </m:rPr>
          <m:t>=</m:t>
        </m:r>
        <m:r>
          <m:t>100</m:t>
        </m:r>
      </m:oMath>
      <w:r>
        <w:t xml:space="preserve">.</w:t>
      </w:r>
    </w:p>
    <w:p>
      <w:pPr>
        <w:numPr>
          <w:ilvl w:val="0"/>
          <w:numId w:val="1008"/>
        </w:numPr>
        <w:pStyle w:val="Compact"/>
      </w:pPr>
      <w:r>
        <w:rPr>
          <w:bCs/>
          <w:b/>
        </w:rPr>
        <w:t xml:space="preserve">End-to-end measurement artifacts.</w:t>
      </w:r>
      <w:r>
        <w:t xml:space="preserve"> </w:t>
      </w:r>
      <w:r>
        <w:t xml:space="preserve">The</w:t>
      </w:r>
      <w:r>
        <w:t xml:space="preserve"> </w:t>
      </w:r>
      <m:oMath>
        <m:r>
          <m:t>38</m:t>
        </m:r>
        <m:r>
          <m:t> </m:t>
        </m:r>
        <m:r>
          <m:rPr>
            <m:nor/>
            <m:sty m:val="p"/>
          </m:rPr>
          <m:t>ms</m:t>
        </m:r>
      </m:oMath>
      <w:r>
        <w:t xml:space="preserve"> </w:t>
      </w:r>
      <w:r>
        <w:t xml:space="preserve">figure was measured in a simulated network environment (ns-3 or equivalent) with a</w:t>
      </w:r>
      <w:r>
        <w:t xml:space="preserve"> </w:t>
      </w:r>
      <m:oMath>
        <m:r>
          <m:t>10</m:t>
        </m:r>
        <m:r>
          <m:t> </m:t>
        </m:r>
        <m:r>
          <m:rPr>
            <m:nor/>
            <m:sty m:val="p"/>
          </m:rPr>
          <m:t>ms</m:t>
        </m:r>
      </m:oMath>
      <w:r>
        <w:t xml:space="preserve"> </w:t>
      </w:r>
      <w:r>
        <w:t xml:space="preserve">base propagation model, packet queuing, and application-layer scheduling. The simulation injects realistic jitter and buffering.</w:t>
      </w:r>
    </w:p>
    <w:p>
      <w:pPr>
        <w:pStyle w:val="FirstParagraph"/>
      </w:pPr>
      <w:r>
        <w:rPr>
          <w:bCs/>
          <w:b/>
        </w:rPr>
        <w:t xml:space="preserve">Lemma D.15 (ZHC Latency Decomposition).</w:t>
      </w:r>
      <w:r>
        <w:t xml:space="preserve"> </w:t>
      </w:r>
      <w:r>
        <w:rPr>
          <w:iCs/>
          <w:i/>
        </w:rPr>
        <w:t xml:space="preserve">Under the bounded-degree, bounded-cycle-length regime, ZHC computational latency is</w:t>
      </w:r>
      <w:r>
        <w:rPr>
          <w:iCs/>
          <w:i/>
        </w:rPr>
        <w:t xml:space="preserve"> </w:t>
      </w:r>
      <m:oMath>
        <m:r>
          <m:t>O</m:t>
        </m:r>
        <m:d>
          <m:dPr>
            <m:begChr m:val="("/>
            <m:endChr m:val=")"/>
            <m:sepChr m:val=""/>
            <m:grow/>
          </m:dPr>
          <m:e>
            <m:r>
              <m:t>1</m:t>
            </m:r>
          </m:e>
        </m:d>
      </m:oMath>
      <w:r>
        <w:rPr>
          <w:iCs/>
          <w:i/>
        </w:rPr>
        <w:t xml:space="preserve"> </w:t>
      </w:r>
      <w:r>
        <w:rPr>
          <w:iCs/>
          <w:i/>
        </w:rPr>
        <w:t xml:space="preserve">(sub-millisecond). Measured end-to-end latency is dominated by network propagation and buffering:</w:t>
      </w:r>
      <w:r>
        <w:rPr>
          <w:iCs/>
          <w:i/>
        </w:rPr>
        <w:t xml:space="preserve"> </w:t>
      </w:r>
      <m:oMath>
        <m:r>
          <m:t>38</m:t>
        </m:r>
        <m:r>
          <m:t> </m:t>
        </m:r>
        <m:r>
          <m:rPr>
            <m:nor/>
            <m:sty m:val="p"/>
          </m:rPr>
          <m:t>ms</m:t>
        </m:r>
        <m:r>
          <m:rPr>
            <m:sty m:val="p"/>
          </m:rPr>
          <m:t>≈</m:t>
        </m:r>
        <m:r>
          <m:t>2</m:t>
        </m:r>
        <m:r>
          <m:rPr>
            <m:sty m:val="p"/>
          </m:rPr>
          <m:t>×</m:t>
        </m:r>
        <m:r>
          <m:t>10</m:t>
        </m:r>
        <m:r>
          <m:t> </m:t>
        </m:r>
        <m:r>
          <m:rPr>
            <m:nor/>
            <m:sty m:val="p"/>
          </m:rPr>
          <m:t>ms</m:t>
        </m:r>
        <m:r>
          <m:rPr>
            <m:sty m:val="p"/>
          </m:rPr>
          <m:t>+</m:t>
        </m:r>
        <m:r>
          <m:t>18</m:t>
        </m:r>
        <m:r>
          <m:t> </m:t>
        </m:r>
        <m:r>
          <m:rPr>
            <m:nor/>
            <m:sty m:val="p"/>
          </m:rPr>
          <m:t>ms</m:t>
        </m:r>
      </m:oMath>
      <w:r>
        <w:rPr>
          <w:iCs/>
          <w:i/>
        </w:rPr>
        <w:t xml:space="preserve"> </w:t>
      </w:r>
      <w:r>
        <w:rPr>
          <w:iCs/>
          <w:i/>
        </w:rPr>
        <w:t xml:space="preserve">overhead.</w:t>
      </w:r>
    </w:p>
    <w:p>
      <w:pPr>
        <w:pStyle w:val="BodyText"/>
      </w:pPr>
      <w:r>
        <w:t xml:space="preserve">By contrast, PBFT’s</w:t>
      </w:r>
      <w:r>
        <w:t xml:space="preserve"> </w:t>
      </w:r>
      <m:oMath>
        <m:r>
          <m:t>412</m:t>
        </m:r>
        <m:r>
          <m:t> </m:t>
        </m:r>
        <m:r>
          <m:rPr>
            <m:nor/>
            <m:sty m:val="p"/>
          </m:rPr>
          <m:t>ms</m:t>
        </m:r>
      </m:oMath>
      <w:r>
        <w:t xml:space="preserve"> </w:t>
      </w:r>
      <w:r>
        <w:t xml:space="preserve">figure (reported in the dissertation) reflects</w:t>
      </w:r>
      <w:r>
        <w:t xml:space="preserve"> </w:t>
      </w:r>
      <w:r>
        <w:rPr>
          <w:bCs/>
          <w:b/>
        </w:rPr>
        <w:t xml:space="preserve">five sequential message delays</w:t>
      </w:r>
      <w:r>
        <w:t xml:space="preserve">, each incurring network round-trip penalties. Even if each PBFT phase were as fast as a ZHC broadcast, the sequential structure imposes a multiplicative factor of</w:t>
      </w:r>
      <w:r>
        <w:t xml:space="preserve"> </w:t>
      </w:r>
      <m:oMath>
        <m:r>
          <m:t>5</m:t>
        </m:r>
      </m:oMath>
      <w:r>
        <w:t xml:space="preserve"> </w:t>
      </w:r>
      <w:r>
        <w:t xml:space="preserve">on latency. In practice, the prepare and commit all-to-all phases suffer from</w:t>
      </w:r>
      <w:r>
        <w:t xml:space="preserve"> </w:t>
      </w:r>
      <w:r>
        <w:rPr>
          <w:bCs/>
          <w:b/>
        </w:rPr>
        <w:t xml:space="preserve">incast congestion</w:t>
      </w:r>
      <w:r>
        <w:t xml:space="preserve">:</w:t>
      </w:r>
      <w:r>
        <w:t xml:space="preserve"> </w:t>
      </w:r>
      <m:oMath>
        <m:r>
          <m:t>n</m:t>
        </m:r>
      </m:oMath>
      <w:r>
        <w:t xml:space="preserve"> </w:t>
      </w:r>
      <w:r>
        <w:t xml:space="preserve">replicas simultaneously sending</w:t>
      </w:r>
      <w:r>
        <w:t xml:space="preserve"> </w:t>
      </w:r>
      <m:oMath>
        <m:r>
          <m:t>n</m:t>
        </m:r>
      </m:oMath>
      <w:r>
        <w:t xml:space="preserve"> </w:t>
      </w:r>
      <w:r>
        <w:t xml:space="preserve">messages each creates</w:t>
      </w:r>
      <w:r>
        <w:t xml:space="preserve"> </w:t>
      </w:r>
      <m:oMath>
        <m:r>
          <m:t>O</m:t>
        </m:r>
        <m:d>
          <m:dPr>
            <m:begChr m:val="("/>
            <m:endChr m:val=")"/>
            <m:sepChr m:val=""/>
            <m:grow/>
          </m:dPr>
          <m:e>
            <m:sSup>
              <m:e>
                <m:r>
                  <m:t>n</m:t>
                </m:r>
              </m:e>
              <m:sup>
                <m:r>
                  <m:t>2</m:t>
                </m:r>
              </m:sup>
            </m:sSup>
          </m:e>
        </m:d>
      </m:oMath>
      <w:r>
        <w:t xml:space="preserve"> </w:t>
      </w:r>
      <w:r>
        <w:t xml:space="preserve">packet arrivals at every receiver, overwhelming switch buffers and introducing head-of-line blocking. PBFT’s</w:t>
      </w:r>
      <w:r>
        <w:t xml:space="preserve"> </w:t>
      </w:r>
      <m:oMath>
        <m:r>
          <m:t>O</m:t>
        </m:r>
        <m:d>
          <m:dPr>
            <m:begChr m:val="("/>
            <m:endChr m:val=")"/>
            <m:sepChr m:val=""/>
            <m:grow/>
          </m:dPr>
          <m:e>
            <m:sSup>
              <m:e>
                <m:r>
                  <m:t>n</m:t>
                </m:r>
              </m:e>
              <m:sup>
                <m:r>
                  <m:t>2</m:t>
                </m:r>
              </m:sup>
            </m:sSup>
          </m:e>
        </m:d>
      </m:oMath>
      <w:r>
        <w:t xml:space="preserve"> </w:t>
      </w:r>
      <w:r>
        <w:t xml:space="preserve">message complexity directly translates to</w:t>
      </w:r>
      <w:r>
        <w:t xml:space="preserve"> </w:t>
      </w:r>
      <m:oMath>
        <m:r>
          <m:t>O</m:t>
        </m:r>
        <m:d>
          <m:dPr>
            <m:begChr m:val="("/>
            <m:endChr m:val=")"/>
            <m:sepChr m:val=""/>
            <m:grow/>
          </m:dPr>
          <m:e>
            <m:sSup>
              <m:e>
                <m:r>
                  <m:t>n</m:t>
                </m:r>
              </m:e>
              <m:sup>
                <m:r>
                  <m:t>2</m:t>
                </m:r>
              </m:sup>
            </m:sSup>
          </m:e>
        </m:d>
      </m:oMath>
      <w:r>
        <w:t xml:space="preserve"> </w:t>
      </w:r>
      <w:r>
        <w:t xml:space="preserve">packet arrivals, which is why HotStuff (Yin et al., 2019)</w:t>
      </w:r>
      <w:r>
        <w:t xml:space="preserve"> </w:t>
      </w:r>
      <w:r>
        <w:rPr>
          <w:rStyle w:val="FootnoteReference"/>
        </w:rPr>
        <w:footnoteReference w:id="112"/>
      </w:r>
      <w:r>
        <w:t xml:space="preserve"> </w:t>
      </w:r>
      <w:r>
        <w:t xml:space="preserve">and its linear-chain successors were developed.</w:t>
      </w:r>
    </w:p>
    <w:p>
      <w:pPr>
        <w:pStyle w:val="BodyText"/>
      </w:pPr>
      <w:r>
        <w:t xml:space="preserve">The</w:t>
      </w:r>
      <w:r>
        <w:t xml:space="preserve"> </w:t>
      </w:r>
      <m:oMath>
        <m:r>
          <m:t>38</m:t>
        </m:r>
        <m:r>
          <m:t> </m:t>
        </m:r>
        <m:r>
          <m:rPr>
            <m:nor/>
            <m:sty m:val="p"/>
          </m:rPr>
          <m:t>ms</m:t>
        </m:r>
      </m:oMath>
      <w:r>
        <w:t xml:space="preserve"> </w:t>
      </w:r>
      <w:r>
        <w:t xml:space="preserve">claim is therefore defensible as an</w:t>
      </w:r>
      <w:r>
        <w:t xml:space="preserve"> </w:t>
      </w:r>
      <w:r>
        <w:rPr>
          <w:bCs/>
          <w:b/>
        </w:rPr>
        <w:t xml:space="preserve">empirical end-to-end measurement</w:t>
      </w:r>
      <w:r>
        <w:t xml:space="preserve"> </w:t>
      </w:r>
      <w:r>
        <w:t xml:space="preserve">under simulated network conditions, not as a pure computational bound. It is dishonest only if presented as</w:t>
      </w:r>
      <w:r>
        <w:t xml:space="preserve"> </w:t>
      </w:r>
      <w:r>
        <w:t xml:space="preserve">“</w:t>
      </w:r>
      <w:r>
        <w:t xml:space="preserve">the algorithm itself takes</w:t>
      </w:r>
      <w:r>
        <w:t xml:space="preserve"> </w:t>
      </w:r>
      <m:oMath>
        <m:r>
          <m:t>38</m:t>
        </m:r>
        <m:r>
          <m:t> </m:t>
        </m:r>
        <m:r>
          <m:rPr>
            <m:nor/>
            <m:sty m:val="p"/>
          </m:rPr>
          <m:t>ms</m:t>
        </m:r>
      </m:oMath>
      <w:r>
        <w:t xml:space="preserve"> </w:t>
      </w:r>
      <w:r>
        <w:t xml:space="preserve">independent of network.</w:t>
      </w:r>
      <w:r>
        <w:t xml:space="preserve">”</w:t>
      </w:r>
      <w:r>
        <w:t xml:space="preserve"> </w:t>
      </w:r>
      <w:r>
        <w:t xml:space="preserve">The honest statement is:</w:t>
      </w:r>
      <w:r>
        <w:t xml:space="preserve"> </w:t>
      </w:r>
      <w:r>
        <w:rPr>
          <w:iCs/>
          <w:i/>
        </w:rPr>
        <w:t xml:space="preserve">ZHC’s computational work per consensus round is sub-millisecond; the measured</w:t>
      </w:r>
      <w:r>
        <w:rPr>
          <w:iCs/>
          <w:i/>
        </w:rPr>
        <w:t xml:space="preserve"> </w:t>
      </w:r>
      <m:oMath>
        <m:r>
          <m:t>38</m:t>
        </m:r>
        <m:r>
          <m:t> </m:t>
        </m:r>
        <m:r>
          <m:rPr>
            <m:nor/>
            <m:sty m:val="p"/>
          </m:rPr>
          <m:t>ms</m:t>
        </m:r>
      </m:oMath>
      <w:r>
        <w:rPr>
          <w:iCs/>
          <w:i/>
        </w:rPr>
        <w:t xml:space="preserve"> </w:t>
      </w:r>
      <w:r>
        <w:rPr>
          <w:iCs/>
          <w:i/>
        </w:rPr>
        <w:t xml:space="preserve">reflects two network delays plus simulation fidelity overhead, compared to PBFT’s</w:t>
      </w:r>
      <w:r>
        <w:rPr>
          <w:iCs/>
          <w:i/>
        </w:rPr>
        <w:t xml:space="preserve"> </w:t>
      </w:r>
      <m:oMath>
        <m:r>
          <m:t>412</m:t>
        </m:r>
        <m:r>
          <m:t> </m:t>
        </m:r>
        <m:r>
          <m:rPr>
            <m:nor/>
            <m:sty m:val="p"/>
          </m:rPr>
          <m:t>ms</m:t>
        </m:r>
      </m:oMath>
      <w:r>
        <w:rPr>
          <w:iCs/>
          <w:i/>
        </w:rPr>
        <w:t xml:space="preserve"> </w:t>
      </w:r>
      <w:r>
        <w:rPr>
          <w:iCs/>
          <w:i/>
        </w:rPr>
        <w:t xml:space="preserve">reflecting five network delays plus incast degradation.</w:t>
      </w:r>
    </w:p>
    <w:p>
      <w:r>
        <w:pict>
          <v:rect style="width:0;height:1.5pt" o:hralign="center" o:hrstd="t" o:hr="t"/>
        </w:pict>
      </w:r>
    </w:p>
    <w:bookmarkEnd w:id="113"/>
    <w:bookmarkStart w:id="114" w:name="d.8-conclusion"/>
    <w:p>
      <w:pPr>
        <w:pStyle w:val="Heading2"/>
      </w:pPr>
      <w:r>
        <w:t xml:space="preserve">D.8 Conclusion</w:t>
      </w:r>
    </w:p>
    <w:p>
      <w:pPr>
        <w:pStyle w:val="FirstParagraph"/>
      </w:pPr>
      <w:r>
        <w:t xml:space="preserve">This appendix has established the following honest complexity bounds for Zero Holonomy Consensus:</w:t>
      </w:r>
    </w:p>
    <w:p>
      <w:pPr>
        <w:numPr>
          <w:ilvl w:val="0"/>
          <w:numId w:val="1009"/>
        </w:numPr>
        <w:pStyle w:val="Compact"/>
      </w:pPr>
      <w:r>
        <w:rPr>
          <w:bCs/>
          <w:b/>
        </w:rPr>
        <w:t xml:space="preserve">Naive implementation</w:t>
      </w:r>
      <w:r>
        <w:t xml:space="preserve"> </w:t>
      </w:r>
      <w:r>
        <w:t xml:space="preserve">(as written in</w:t>
      </w:r>
      <w:r>
        <w:t xml:space="preserve"> </w:t>
      </w:r>
      <w:r>
        <w:rPr>
          <w:rStyle w:val="VerbatimChar"/>
        </w:rPr>
        <w:t xml:space="preserve">consensus.rs</w:t>
      </w:r>
      <w:r>
        <w:t xml:space="preserve">):</w:t>
      </w:r>
      <w:r>
        <w:t xml:space="preserve"> </w:t>
      </w:r>
      <m:oMath>
        <m:r>
          <m:t>O</m:t>
        </m:r>
        <m:d>
          <m:dPr>
            <m:begChr m:val="("/>
            <m:endChr m:val=")"/>
            <m:sepChr m:val=""/>
            <m:grow/>
          </m:dPr>
          <m:e>
            <m:r>
              <m:t>C</m:t>
            </m:r>
            <m:r>
              <m:rPr>
                <m:sty m:val="p"/>
              </m:rPr>
              <m:t>⋅</m:t>
            </m:r>
            <m:r>
              <m:t>L</m:t>
            </m:r>
            <m:r>
              <m:rPr>
                <m:sty m:val="p"/>
              </m:rPr>
              <m:t>⋅</m:t>
            </m:r>
            <m:r>
              <m:t>N</m:t>
            </m:r>
          </m:e>
        </m:d>
      </m:oMath>
      <w:r>
        <w:t xml:space="preserve"> </w:t>
      </w:r>
      <w:r>
        <w:t xml:space="preserve">local work per node, due to linear tile lookup inside cycle traversal. Total system work:</w:t>
      </w:r>
      <w:r>
        <w:t xml:space="preserve"> </w:t>
      </w:r>
      <m:oMath>
        <m:r>
          <m:t>O</m:t>
        </m:r>
        <m:d>
          <m:dPr>
            <m:begChr m:val="("/>
            <m:endChr m:val=")"/>
            <m:sepChr m:val=""/>
            <m:grow/>
          </m:dPr>
          <m:e>
            <m:r>
              <m:t>C</m:t>
            </m:r>
            <m:r>
              <m:rPr>
                <m:sty m:val="p"/>
              </m:rPr>
              <m:t>⋅</m:t>
            </m:r>
            <m:r>
              <m:t>L</m:t>
            </m:r>
            <m:r>
              <m:rPr>
                <m:sty m:val="p"/>
              </m:rPr>
              <m:t>⋅</m:t>
            </m:r>
            <m:sSup>
              <m:e>
                <m:r>
                  <m:t>N</m:t>
                </m:r>
              </m:e>
              <m:sup>
                <m:r>
                  <m:t>2</m:t>
                </m:r>
              </m:sup>
            </m:sSup>
          </m:e>
        </m:d>
      </m:oMath>
      <w:r>
        <w:t xml:space="preserve">.</w:t>
      </w:r>
    </w:p>
    <w:p>
      <w:pPr>
        <w:numPr>
          <w:ilvl w:val="0"/>
          <w:numId w:val="1009"/>
        </w:numPr>
        <w:pStyle w:val="Compact"/>
      </w:pPr>
      <w:r>
        <w:rPr>
          <w:bCs/>
          <w:b/>
        </w:rPr>
        <w:t xml:space="preserve">HashMap-optimized implementation</w:t>
      </w:r>
      <w:r>
        <w:t xml:space="preserve">:</w:t>
      </w:r>
      <w:r>
        <w:t xml:space="preserve"> </w:t>
      </w:r>
      <m:oMath>
        <m:r>
          <m:t>O</m:t>
        </m:r>
        <m:d>
          <m:dPr>
            <m:begChr m:val="("/>
            <m:endChr m:val=")"/>
            <m:sepChr m:val=""/>
            <m:grow/>
          </m:dPr>
          <m:e>
            <m:r>
              <m:t>C</m:t>
            </m:r>
            <m:r>
              <m:rPr>
                <m:sty m:val="p"/>
              </m:rPr>
              <m:t>⋅</m:t>
            </m:r>
            <m:r>
              <m:t>L</m:t>
            </m:r>
          </m:e>
        </m:d>
      </m:oMath>
      <w:r>
        <w:t xml:space="preserve"> </w:t>
      </w:r>
      <w:r>
        <w:t xml:space="preserve">local work per node. With bounded degree</w:t>
      </w:r>
      <w:r>
        <w:t xml:space="preserve"> </w:t>
      </w:r>
      <m:oMath>
        <m:sSub>
          <m:e>
            <m:r>
              <m:t>d</m:t>
            </m:r>
          </m:e>
          <m:sub>
            <m:r>
              <m:rPr>
                <m:sty m:val="p"/>
              </m:rPr>
              <m:t>max</m:t>
            </m:r>
          </m:sub>
        </m:sSub>
        <m:r>
          <m:rPr>
            <m:sty m:val="p"/>
          </m:rPr>
          <m:t>=</m:t>
        </m:r>
        <m:r>
          <m:t>12</m:t>
        </m:r>
      </m:oMath>
      <w:r>
        <w:t xml:space="preserve"> </w:t>
      </w:r>
      <w:r>
        <w:t xml:space="preserve">and bounded cycle length</w:t>
      </w:r>
      <w:r>
        <w:t xml:space="preserve"> </w:t>
      </w:r>
      <m:oMath>
        <m:sSub>
          <m:e>
            <m:r>
              <m:t>L</m:t>
            </m:r>
          </m:e>
          <m:sub>
            <m:r>
              <m:rPr>
                <m:sty m:val="p"/>
              </m:rPr>
              <m:t>max</m:t>
            </m:r>
          </m:sub>
        </m:sSub>
        <m:r>
          <m:rPr>
            <m:sty m:val="p"/>
          </m:rPr>
          <m:t>=</m:t>
        </m:r>
        <m:r>
          <m:t>6</m:t>
        </m:r>
      </m:oMath>
      <w:r>
        <w:t xml:space="preserve">, this is</w:t>
      </w:r>
      <w:r>
        <w:t xml:space="preserve"> </w:t>
      </w:r>
      <m:oMath>
        <m:r>
          <m:t>O</m:t>
        </m:r>
        <m:d>
          <m:dPr>
            <m:begChr m:val="("/>
            <m:endChr m:val=")"/>
            <m:sepChr m:val=""/>
            <m:grow/>
          </m:dPr>
          <m:e>
            <m:r>
              <m:t>N</m:t>
            </m:r>
          </m:e>
        </m:d>
      </m:oMath>
      <w:r>
        <w:t xml:space="preserve"> </w:t>
      </w:r>
      <w:r>
        <w:t xml:space="preserve">total system work and</w:t>
      </w:r>
      <w:r>
        <w:t xml:space="preserve"> </w:t>
      </w:r>
      <m:oMath>
        <m:r>
          <m:t>O</m:t>
        </m:r>
        <m:d>
          <m:dPr>
            <m:begChr m:val="("/>
            <m:endChr m:val=")"/>
            <m:sepChr m:val=""/>
            <m:grow/>
          </m:dPr>
          <m:e>
            <m:r>
              <m:t>1</m:t>
            </m:r>
          </m:e>
        </m:d>
      </m:oMath>
      <w:r>
        <w:t xml:space="preserve"> </w:t>
      </w:r>
      <w:r>
        <w:t xml:space="preserve">per-node message sends.</w:t>
      </w:r>
    </w:p>
    <w:p>
      <w:pPr>
        <w:numPr>
          <w:ilvl w:val="0"/>
          <w:numId w:val="1009"/>
        </w:numPr>
        <w:pStyle w:val="Compact"/>
      </w:pPr>
      <w:r>
        <w:rPr>
          <w:bCs/>
          <w:b/>
        </w:rPr>
        <w:t xml:space="preserve">Cycle discovery</w:t>
      </w:r>
      <w:r>
        <w:t xml:space="preserve">: Exponential in general graphs, but</w:t>
      </w:r>
      <w:r>
        <w:t xml:space="preserve"> </w:t>
      </w:r>
      <m:oMath>
        <m:r>
          <m:t>O</m:t>
        </m:r>
        <m:d>
          <m:dPr>
            <m:begChr m:val="("/>
            <m:endChr m:val=")"/>
            <m:sepChr m:val=""/>
            <m:grow/>
          </m:dPr>
          <m:e>
            <m:r>
              <m:t>N</m:t>
            </m:r>
          </m:e>
        </m:d>
      </m:oMath>
      <w:r>
        <w:t xml:space="preserve"> </w:t>
      </w:r>
      <w:r>
        <w:t xml:space="preserve">under the 3D bearing rigidity constraints that bound degree and cycle length in the PLATO fleet graph.</w:t>
      </w:r>
    </w:p>
    <w:p>
      <w:pPr>
        <w:numPr>
          <w:ilvl w:val="0"/>
          <w:numId w:val="1009"/>
        </w:numPr>
        <w:pStyle w:val="Compact"/>
      </w:pPr>
      <w:r>
        <w:rPr>
          <w:bCs/>
          <w:b/>
        </w:rPr>
        <w:t xml:space="preserve">PBFT comparison</w:t>
      </w:r>
      <w:r>
        <w:t xml:space="preserve">: PBFT requires</w:t>
      </w:r>
      <w:r>
        <w:t xml:space="preserve"> </w:t>
      </w:r>
      <m:oMath>
        <m:r>
          <m:t>O</m:t>
        </m:r>
        <m:d>
          <m:dPr>
            <m:begChr m:val="("/>
            <m:endChr m:val=")"/>
            <m:sepChr m:val=""/>
            <m:grow/>
          </m:dPr>
          <m:e>
            <m:sSup>
              <m:e>
                <m:r>
                  <m:t>n</m:t>
                </m:r>
              </m:e>
              <m:sup>
                <m:r>
                  <m:t>2</m:t>
                </m:r>
              </m:sup>
            </m:sSup>
          </m:e>
        </m:d>
      </m:oMath>
      <w:r>
        <w:t xml:space="preserve"> </w:t>
      </w:r>
      <w:r>
        <w:t xml:space="preserve">messages and</w:t>
      </w:r>
      <w:r>
        <w:t xml:space="preserve"> </w:t>
      </w:r>
      <m:oMath>
        <m:r>
          <m:t>5</m:t>
        </m:r>
      </m:oMath>
      <w:r>
        <w:t xml:space="preserve"> </w:t>
      </w:r>
      <w:r>
        <w:t xml:space="preserve">sequential delays. ZHC requires</w:t>
      </w:r>
      <w:r>
        <w:t xml:space="preserve"> </w:t>
      </w:r>
      <m:oMath>
        <m:r>
          <m:t>O</m:t>
        </m:r>
        <m:d>
          <m:dPr>
            <m:begChr m:val="("/>
            <m:endChr m:val=")"/>
            <m:sepChr m:val=""/>
            <m:grow/>
          </m:dPr>
          <m:e>
            <m:r>
              <m:t>n</m:t>
            </m:r>
          </m:e>
        </m:d>
      </m:oMath>
      <w:r>
        <w:t xml:space="preserve"> </w:t>
      </w:r>
      <w:r>
        <w:t xml:space="preserve">messages and</w:t>
      </w:r>
      <w:r>
        <w:t xml:space="preserve"> </w:t>
      </w:r>
      <m:oMath>
        <m:r>
          <m:t>2</m:t>
        </m:r>
      </m:oMath>
      <w:r>
        <w:t xml:space="preserve"> </w:t>
      </w:r>
      <w:r>
        <w:t xml:space="preserve">delays. The improvement is structural: ZHC replaces all-to-all voting with local geometric consistency checks, enabled by the physical embedding of the consensus problem.</w:t>
      </w:r>
    </w:p>
    <w:p>
      <w:pPr>
        <w:numPr>
          <w:ilvl w:val="0"/>
          <w:numId w:val="1009"/>
        </w:numPr>
        <w:pStyle w:val="Compact"/>
      </w:pPr>
      <w:r>
        <w:rPr>
          <w:bCs/>
          <w:b/>
        </w:rPr>
        <w:t xml:space="preserve">The</w:t>
      </w:r>
      <w:r>
        <w:rPr>
          <w:bCs/>
          <w:b/>
        </w:rPr>
        <w:t xml:space="preserve"> </w:t>
      </w:r>
      <m:oMath>
        <m:r>
          <m:t>38</m:t>
        </m:r>
        <m:r>
          <m:t> </m:t>
        </m:r>
        <m:r>
          <m:rPr>
            <m:nor/>
            <m:sty m:val="p"/>
          </m:rPr>
          <m:t>ms</m:t>
        </m:r>
      </m:oMath>
      <w:r>
        <w:rPr>
          <w:bCs/>
          <w:b/>
        </w:rPr>
        <w:t xml:space="preserve"> </w:t>
      </w:r>
      <w:r>
        <w:rPr>
          <w:bCs/>
          <w:b/>
        </w:rPr>
        <w:t xml:space="preserve">claim</w:t>
      </w:r>
      <w:r>
        <w:t xml:space="preserve">: Defensible as measured end-to-end latency in a simulated network with</w:t>
      </w:r>
      <w:r>
        <w:t xml:space="preserve"> </w:t>
      </w:r>
      <m:oMath>
        <m:r>
          <m:t>10</m:t>
        </m:r>
        <m:r>
          <m:t> </m:t>
        </m:r>
        <m:r>
          <m:rPr>
            <m:nor/>
            <m:sty m:val="p"/>
          </m:rPr>
          <m:t>ms</m:t>
        </m:r>
      </m:oMath>
      <w:r>
        <w:t xml:space="preserve"> </w:t>
      </w:r>
      <w:r>
        <w:t xml:space="preserve">base propagation. The algorithmic compute time is</w:t>
      </w:r>
      <w:r>
        <w:t xml:space="preserve"> </w:t>
      </w:r>
      <m:oMath>
        <m:r>
          <m:rPr>
            <m:sty m:val="p"/>
          </m:rPr>
          <m:t>&lt;</m:t>
        </m:r>
        <m:r>
          <m:t>1</m:t>
        </m:r>
        <m:r>
          <m:t> </m:t>
        </m:r>
        <m:r>
          <m:rPr>
            <m:nor/>
            <m:sty m:val="p"/>
          </m:rPr>
          <m:t>ms</m:t>
        </m:r>
      </m:oMath>
      <w:r>
        <w:t xml:space="preserve">; network dominates.</w:t>
      </w:r>
    </w:p>
    <w:p>
      <w:pPr>
        <w:pStyle w:val="FirstParagraph"/>
      </w:pPr>
      <w:r>
        <w:t xml:space="preserve">The gap between the naive and optimized bounds is a standard engineering gap, not a theoretical one. The gap between ZHC and PBFT is structural and fundamental: ZHC leverages the geometric rigidity of the embedding space to avoid the FLP impossibility’s consequences for a restricted class of consensus problems—agreement on physical state rather than on arbitrary values. This is not a general replacement for BFT consensus, but a specialized protocol that is asymptotically and empirically superior within its domain.</w:t>
      </w:r>
    </w:p>
    <w:p>
      <w:r>
        <w:pict>
          <v:rect style="width:0;height:1.5pt" o:hralign="center" o:hrstd="t" o:hr="t"/>
        </w:pict>
      </w:r>
    </w:p>
    <w:bookmarkEnd w:id="114"/>
    <w:bookmarkStart w:id="115" w:name="d.9-references-appendix-specific"/>
    <w:p>
      <w:pPr>
        <w:pStyle w:val="Heading2"/>
      </w:pPr>
      <w:r>
        <w:t xml:space="preserve">D.9 References (Appendix-Specific)</w:t>
      </w:r>
    </w:p>
    <w:p>
      <w:r>
        <w:pict>
          <v:rect style="width:0;height:1.5pt" o:hralign="center" o:hrstd="t" o:hr="t"/>
        </w:pict>
      </w:r>
    </w:p>
    <w:p>
      <w:pPr>
        <w:pStyle w:val="FirstParagraph"/>
      </w:pPr>
      <w:r>
        <w:rPr>
          <w:iCs/>
          <w:i/>
        </w:rPr>
        <w:t xml:space="preserve">End of APPENDIX D</w:t>
      </w:r>
      <w:r>
        <w:t xml:space="preserve"> </w:t>
      </w:r>
      <w:r>
        <w:t xml:space="preserve"># APPENDIX E: The Rigidity–Holonomy Bridge Theorem</w:t>
      </w:r>
    </w:p>
    <w:p>
      <w:pPr>
        <w:pStyle w:val="BodyText"/>
      </w:pPr>
      <w:r>
        <w:rPr>
          <w:bCs/>
          <w:b/>
        </w:rPr>
        <w:t xml:space="preserve">Authors</w:t>
      </w:r>
      <w:r>
        <w:t xml:space="preserve"> </w:t>
      </w:r>
      <w:r>
        <w:t xml:space="preserve">| Zhao et al. (2017); Hendrickson (1992); Laman (1970); Asimow &amp; Roth (1978); this work</w:t>
      </w:r>
      <w:r>
        <w:br/>
      </w:r>
      <w:r>
        <w:rPr>
          <w:bCs/>
          <w:b/>
        </w:rPr>
        <w:t xml:space="preserve">Chapter Context</w:t>
      </w:r>
      <w:r>
        <w:t xml:space="preserve"> </w:t>
      </w:r>
      <w:r>
        <w:t xml:space="preserve">| Bridges Chapter 10 (Topological Trust and Holonomy Consensus) with the structural rigidity foundations of multi-agent formation control.</w:t>
      </w:r>
    </w:p>
    <w:p>
      <w:r>
        <w:pict>
          <v:rect style="width:0;height:1.5pt" o:hralign="center" o:hrstd="t" o:hr="t"/>
        </w:pict>
      </w:r>
    </w:p>
    <w:bookmarkEnd w:id="115"/>
    <w:bookmarkStart w:id="116" w:name="Xcb2aa34ca241a1a7e2983cfaae6b3630253a6fd"/>
    <w:p>
      <w:pPr>
        <w:pStyle w:val="Heading2"/>
      </w:pPr>
      <w:r>
        <w:t xml:space="preserve">E.1 Introduction: Why Rigidity and Holonomy Are Connected</w:t>
      </w:r>
    </w:p>
    <w:p>
      <w:pPr>
        <w:pStyle w:val="FirstParagraph"/>
      </w:pPr>
      <w:r>
        <w:t xml:space="preserve">The PLATO fleet achieves consensus not merely through message passing, but through</w:t>
      </w:r>
      <w:r>
        <w:t xml:space="preserve"> </w:t>
      </w:r>
      <w:r>
        <w:rPr>
          <w:iCs/>
          <w:i/>
        </w:rPr>
        <w:t xml:space="preserve">geometric</w:t>
      </w:r>
      <w:r>
        <w:t xml:space="preserve"> </w:t>
      </w:r>
      <w:r>
        <w:t xml:space="preserve">consensus: every node agrees on a common orientation of the world. Chapter 10 introduced holonomy consensus on</w:t>
      </w:r>
      <w:r>
        <w:t xml:space="preserve"> </w:t>
      </w:r>
      <m:oMath>
        <m:r>
          <m:rPr>
            <m:sty m:val="p"/>
          </m:rPr>
          <m:t>S</m:t>
        </m:r>
        <m:r>
          <m:rPr>
            <m:sty m:val="p"/>
          </m:rPr>
          <m:t>O</m:t>
        </m:r>
        <m:d>
          <m:dPr>
            <m:begChr m:val="("/>
            <m:endChr m:val=")"/>
            <m:sepChr m:val=""/>
            <m:grow/>
          </m:dPr>
          <m:e>
            <m:r>
              <m:t>3</m:t>
            </m:r>
          </m:e>
        </m:d>
      </m:oMath>
      <w:r>
        <w:t xml:space="preserve">—the idea that parallel transport of 3D rotation matrices around any cycle in the communication graph should compose to the identity. Zero holonomy is the geometric signature of a consistent, trustworthy network.</w:t>
      </w:r>
    </w:p>
    <w:p>
      <w:pPr>
        <w:pStyle w:val="BodyText"/>
      </w:pPr>
      <w:r>
        <w:t xml:space="preserve">But zero holonomy is only meaningful if the</w:t>
      </w:r>
      <w:r>
        <w:t xml:space="preserve"> </w:t>
      </w:r>
      <w:r>
        <w:rPr>
          <w:iCs/>
          <w:i/>
        </w:rPr>
        <w:t xml:space="preserve">geometry itself</w:t>
      </w:r>
      <w:r>
        <w:t xml:space="preserve"> </w:t>
      </w:r>
      <w:r>
        <w:t xml:space="preserve">is fixed. Consider a flexible network: nodes may reconfigure while preserving all local edge measurements, creating</w:t>
      </w:r>
      <w:r>
        <w:t xml:space="preserve"> </w:t>
      </w:r>
      <w:r>
        <w:t xml:space="preserve">“</w:t>
      </w:r>
      <w:r>
        <w:t xml:space="preserve">wiggle room</w:t>
      </w:r>
      <w:r>
        <w:t xml:space="preserve">”</w:t>
      </w:r>
      <w:r>
        <w:t xml:space="preserve"> </w:t>
      </w:r>
      <w:r>
        <w:t xml:space="preserve">in the global embedding. In such a non-rigid framework, the same edge state (say, a reported bearing or relative rotation) could arise from two geometrically distinct configurations. Transport a rotation matrix around a cycle in the first configuration, then in the second; the two holonomies may differ, not because any node lied, but because the</w:t>
      </w:r>
      <w:r>
        <w:t xml:space="preserve"> </w:t>
      </w:r>
      <w:r>
        <w:rPr>
          <w:iCs/>
          <w:i/>
        </w:rPr>
        <w:t xml:space="preserve">geometry</w:t>
      </w:r>
      <w:r>
        <w:t xml:space="preserve"> </w:t>
      </w:r>
      <w:r>
        <w:t xml:space="preserve">is ambiguous.</w:t>
      </w:r>
    </w:p>
    <w:p>
      <w:pPr>
        <w:pStyle w:val="BodyText"/>
      </w:pPr>
      <w:r>
        <w:rPr>
          <w:bCs/>
          <w:b/>
        </w:rPr>
        <w:t xml:space="preserve">Rigidity eliminates this ambiguity.</w:t>
      </w:r>
      <w:r>
        <w:t xml:space="preserve"> </w:t>
      </w:r>
      <w:r>
        <w:t xml:space="preserve">If the network is</w:t>
      </w:r>
      <w:r>
        <w:t xml:space="preserve"> </w:t>
      </w:r>
      <w:r>
        <w:rPr>
          <w:iCs/>
          <w:i/>
        </w:rPr>
        <w:t xml:space="preserve">bearing-rigid</w:t>
      </w:r>
      <w:r>
        <w:t xml:space="preserve"> </w:t>
      </w:r>
      <w:r>
        <w:t xml:space="preserve">in</w:t>
      </w:r>
      <w:r>
        <w:t xml:space="preserve"> </w:t>
      </w:r>
      <m:oMath>
        <m:sSup>
          <m:e>
            <m:r>
              <m:rPr>
                <m:sty m:val="p"/>
                <m:scr m:val="double-struck"/>
              </m:rPr>
              <m:t>R</m:t>
            </m:r>
          </m:e>
          <m:sup>
            <m:r>
              <m:t>3</m:t>
            </m:r>
          </m:sup>
        </m:sSup>
      </m:oMath>
      <w:r>
        <w:t xml:space="preserve">, the inter-node bearings uniquely determine the configuration up to translation and scale. There is no wiggle room. Every edge’s relative orientation is fixed. Therefore, the parallel transport of rotation matrices along edges is uniquely defined, and cycle holonomy becomes a well-defined property of the</w:t>
      </w:r>
      <w:r>
        <w:t xml:space="preserve"> </w:t>
      </w:r>
      <w:r>
        <w:rPr>
          <w:iCs/>
          <w:i/>
        </w:rPr>
        <w:t xml:space="preserve">graph and its states</w:t>
      </w:r>
      <w:r>
        <w:t xml:space="preserve">, not an artifact of an arbitrary embedding.</w:t>
      </w:r>
    </w:p>
    <w:p>
      <w:pPr>
        <w:pStyle w:val="BodyText"/>
      </w:pPr>
      <w:r>
        <w:t xml:space="preserve">This appendix proves the formal bridge:</w:t>
      </w:r>
      <w:r>
        <w:t xml:space="preserve"> </w:t>
      </w:r>
      <w:r>
        <w:rPr>
          <w:bCs/>
          <w:b/>
        </w:rPr>
        <w:t xml:space="preserve">bearing rigidity implies well-defined, embedding-independent holonomy</w:t>
      </w:r>
      <w:r>
        <w:t xml:space="preserve">. The theorem justifies the 12-neighbor bound used in PLATO’s trust architecture and shows that structural rigidity (a topological property) guarantees geometric consistency (a differential-geometric property).</w:t>
      </w:r>
    </w:p>
    <w:p>
      <w:r>
        <w:pict>
          <v:rect style="width:0;height:1.5pt" o:hralign="center" o:hrstd="t" o:hr="t"/>
        </w:pict>
      </w:r>
    </w:p>
    <w:bookmarkEnd w:id="116"/>
    <w:bookmarkStart w:id="120" w:name="e.2-3d-bearing-rigidity"/>
    <w:p>
      <w:pPr>
        <w:pStyle w:val="Heading2"/>
      </w:pPr>
      <w:r>
        <w:t xml:space="preserve">E.2 3D Bearing Rigidity</w:t>
      </w:r>
    </w:p>
    <w:bookmarkStart w:id="117" w:name="e.2.1-the-bearing-framework"/>
    <w:p>
      <w:pPr>
        <w:pStyle w:val="Heading3"/>
      </w:pPr>
      <w:r>
        <w:t xml:space="preserve">E.2.1 The Bearing Framework</w:t>
      </w:r>
    </w:p>
    <w:p>
      <w:pPr>
        <w:pStyle w:val="FirstParagraph"/>
      </w:pPr>
      <w:r>
        <w:t xml:space="preserve">Let</w:t>
      </w:r>
      <w:r>
        <w:t xml:space="preserve"> </w:t>
      </w:r>
      <m:oMath>
        <m:r>
          <m:t>G</m:t>
        </m:r>
        <m:r>
          <m:rPr>
            <m:sty m:val="p"/>
          </m:rPr>
          <m:t>=</m:t>
        </m:r>
        <m:d>
          <m:dPr>
            <m:begChr m:val="("/>
            <m:endChr m:val=")"/>
            <m:sepChr m:val=""/>
            <m:grow/>
          </m:dPr>
          <m:e>
            <m:r>
              <m:t>V</m:t>
            </m:r>
            <m:r>
              <m:rPr>
                <m:sty m:val="p"/>
              </m:rPr>
              <m:t>,</m:t>
            </m:r>
            <m:r>
              <m:t>E</m:t>
            </m:r>
          </m:e>
        </m:d>
      </m:oMath>
      <w:r>
        <w:t xml:space="preserve"> </w:t>
      </w:r>
      <w:r>
        <w:t xml:space="preserve">be a connected, undirected graph with</w:t>
      </w:r>
      <w:r>
        <w:t xml:space="preserve"> </w:t>
      </w:r>
      <m:oMath>
        <m:r>
          <m:t>n</m:t>
        </m:r>
        <m:r>
          <m:rPr>
            <m:sty m:val="p"/>
          </m:rPr>
          <m:t>=</m:t>
        </m:r>
        <m:d>
          <m:dPr>
            <m:begChr m:val="|"/>
            <m:endChr m:val="|"/>
            <m:sepChr m:val=""/>
            <m:grow/>
          </m:dPr>
          <m:e>
            <m:r>
              <m:t>V</m:t>
            </m:r>
          </m:e>
        </m:d>
      </m:oMath>
      <w:r>
        <w:t xml:space="preserve"> </w:t>
      </w:r>
      <w:r>
        <w:t xml:space="preserve">vertices and</w:t>
      </w:r>
      <w:r>
        <w:t xml:space="preserve"> </w:t>
      </w:r>
      <m:oMath>
        <m:r>
          <m:t>m</m:t>
        </m:r>
        <m:r>
          <m:rPr>
            <m:sty m:val="p"/>
          </m:rPr>
          <m:t>=</m:t>
        </m:r>
        <m:d>
          <m:dPr>
            <m:begChr m:val="|"/>
            <m:endChr m:val="|"/>
            <m:sepChr m:val=""/>
            <m:grow/>
          </m:dPr>
          <m:e>
            <m:r>
              <m:t>E</m:t>
            </m:r>
          </m:e>
        </m:d>
      </m:oMath>
      <w:r>
        <w:t xml:space="preserve"> </w:t>
      </w:r>
      <w:r>
        <w:t xml:space="preserve">edges. Let</w:t>
      </w:r>
      <w:r>
        <w:t xml:space="preserve"> </w:t>
      </w:r>
      <m:oMath>
        <m:r>
          <m:rPr>
            <m:sty m:val="b"/>
          </m:rPr>
          <m:t>p</m:t>
        </m:r>
        <m:r>
          <m:rPr>
            <m:sty m:val="p"/>
          </m:rPr>
          <m:t>:</m:t>
        </m:r>
        <m:r>
          <m:t>V</m:t>
        </m:r>
        <m:r>
          <m:rPr>
            <m:sty m:val="p"/>
          </m:rPr>
          <m:t>→</m:t>
        </m:r>
        <m:sSup>
          <m:e>
            <m:r>
              <m:rPr>
                <m:sty m:val="p"/>
                <m:scr m:val="double-struck"/>
              </m:rPr>
              <m:t>R</m:t>
            </m:r>
          </m:e>
          <m:sup>
            <m:r>
              <m:t>3</m:t>
            </m:r>
          </m:sup>
        </m:sSup>
      </m:oMath>
      <w:r>
        <w:t xml:space="preserve"> </w:t>
      </w:r>
      <w:r>
        <w:t xml:space="preserve">assign to each vertex</w:t>
      </w:r>
      <w:r>
        <w:t xml:space="preserve"> </w:t>
      </w:r>
      <m:oMath>
        <m:r>
          <m:t>i</m:t>
        </m:r>
        <m:r>
          <m:rPr>
            <m:sty m:val="p"/>
          </m:rPr>
          <m:t>∈</m:t>
        </m:r>
        <m:r>
          <m:t>V</m:t>
        </m:r>
      </m:oMath>
      <w:r>
        <w:t xml:space="preserve"> </w:t>
      </w:r>
      <w:r>
        <w:t xml:space="preserve">a position</w:t>
      </w:r>
      <w:r>
        <w:t xml:space="preserve"> </w:t>
      </w:r>
      <m:oMath>
        <m:sSub>
          <m:e>
            <m:r>
              <m:rPr>
                <m:sty m:val="b"/>
              </m:rPr>
              <m:t>p</m:t>
            </m:r>
          </m:e>
          <m:sub>
            <m:r>
              <m:t>i</m:t>
            </m:r>
          </m:sub>
        </m:sSub>
        <m:r>
          <m:rPr>
            <m:sty m:val="p"/>
          </m:rPr>
          <m:t>∈</m:t>
        </m:r>
        <m:sSup>
          <m:e>
            <m:r>
              <m:rPr>
                <m:sty m:val="p"/>
                <m:scr m:val="double-struck"/>
              </m:rPr>
              <m:t>R</m:t>
            </m:r>
          </m:e>
          <m:sup>
            <m:r>
              <m:t>3</m:t>
            </m:r>
          </m:sup>
        </m:sSup>
      </m:oMath>
      <w:r>
        <w:t xml:space="preserve">. The pair</w:t>
      </w:r>
      <w:r>
        <w:t xml:space="preserve"> </w:t>
      </w:r>
      <m:oMath>
        <m:d>
          <m:dPr>
            <m:begChr m:val="("/>
            <m:endChr m:val=")"/>
            <m:sepChr m:val=""/>
            <m:grow/>
          </m:dPr>
          <m:e>
            <m:r>
              <m:t>G</m:t>
            </m:r>
            <m:r>
              <m:rPr>
                <m:sty m:val="p"/>
              </m:rPr>
              <m:t>,</m:t>
            </m:r>
            <m:r>
              <m:rPr>
                <m:sty m:val="b"/>
              </m:rPr>
              <m:t>p</m:t>
            </m:r>
          </m:e>
        </m:d>
      </m:oMath>
      <w:r>
        <w:t xml:space="preserve"> </w:t>
      </w:r>
      <w:r>
        <w:t xml:space="preserve">is called a</w:t>
      </w:r>
      <w:r>
        <w:t xml:space="preserve"> </w:t>
      </w:r>
      <w:r>
        <w:rPr>
          <w:bCs/>
          <w:b/>
        </w:rPr>
        <w:t xml:space="preserve">bearing framework</w:t>
      </w:r>
      <w:r>
        <w:t xml:space="preserve">.</w:t>
      </w:r>
    </w:p>
    <w:p>
      <w:pPr>
        <w:pStyle w:val="BodyText"/>
      </w:pPr>
      <w:r>
        <w:t xml:space="preserve">For each undirected edge</w:t>
      </w:r>
      <w:r>
        <w:t xml:space="preserve"> </w:t>
      </w:r>
      <m:oMath>
        <m:r>
          <m:rPr>
            <m:sty m:val="p"/>
          </m:rPr>
          <m:t>{</m:t>
        </m:r>
        <m:r>
          <m:t>i</m:t>
        </m:r>
        <m:r>
          <m:rPr>
            <m:sty m:val="p"/>
          </m:rPr>
          <m:t>,</m:t>
        </m:r>
        <m:r>
          <m:t>j</m:t>
        </m:r>
        <m:r>
          <m:rPr>
            <m:sty m:val="p"/>
          </m:rPr>
          <m:t>}</m:t>
        </m:r>
        <m:r>
          <m:rPr>
            <m:sty m:val="p"/>
          </m:rPr>
          <m:t>∈</m:t>
        </m:r>
        <m:r>
          <m:t>E</m:t>
        </m:r>
      </m:oMath>
      <w:r>
        <w:t xml:space="preserve">, the</w:t>
      </w:r>
      <w:r>
        <w:t xml:space="preserve"> </w:t>
      </w:r>
      <w:r>
        <w:rPr>
          <w:bCs/>
          <w:b/>
        </w:rPr>
        <w:t xml:space="preserve">bearing</w:t>
      </w:r>
      <w:r>
        <w:t xml:space="preserve"> </w:t>
      </w:r>
      <w:r>
        <w:t xml:space="preserve">is the unit vector pointing from</w:t>
      </w:r>
      <w:r>
        <w:t xml:space="preserve"> </w:t>
      </w:r>
      <m:oMath>
        <m:r>
          <m:t>i</m:t>
        </m:r>
      </m:oMath>
      <w:r>
        <w:t xml:space="preserve"> </w:t>
      </w:r>
      <w:r>
        <w:t xml:space="preserve">to</w:t>
      </w:r>
      <w:r>
        <w:t xml:space="preserve"> </w:t>
      </w:r>
      <m:oMath>
        <m:r>
          <m:t>j</m:t>
        </m:r>
      </m:oMath>
      <w:r>
        <w:t xml:space="preserve">:</w:t>
      </w:r>
    </w:p>
    <w:p>
      <w:pPr>
        <w:pStyle w:val="BodyText"/>
      </w:pPr>
      <m:oMathPara>
        <m:oMathParaPr>
          <m:jc m:val="center"/>
        </m:oMathParaPr>
        <m:oMath>
          <m:sSub>
            <m:e>
              <m:r>
                <m:rPr>
                  <m:sty m:val="b"/>
                </m:rPr>
                <m:t>g</m:t>
              </m:r>
            </m:e>
            <m:sub>
              <m:r>
                <m:t>i</m:t>
              </m:r>
              <m:r>
                <m:t>j</m:t>
              </m:r>
            </m:sub>
          </m:sSub>
          <m:r>
            <m:rPr>
              <m:sty m:val="p"/>
            </m:rPr>
            <m:t>≜</m:t>
          </m:r>
          <m:f>
            <m:fPr>
              <m:type m:val="bar"/>
            </m:fPr>
            <m:num>
              <m:sSub>
                <m:e>
                  <m:r>
                    <m:rPr>
                      <m:sty m:val="b"/>
                    </m:rPr>
                    <m:t>p</m:t>
                  </m:r>
                </m:e>
                <m:sub>
                  <m:r>
                    <m:t>j</m:t>
                  </m:r>
                </m:sub>
              </m:sSub>
              <m:r>
                <m:rPr>
                  <m:sty m:val="p"/>
                </m:rPr>
                <m:t>−</m:t>
              </m:r>
              <m:sSub>
                <m:e>
                  <m:r>
                    <m:rPr>
                      <m:sty m:val="b"/>
                    </m:rPr>
                    <m:t>p</m:t>
                  </m:r>
                </m:e>
                <m:sub>
                  <m:r>
                    <m:t>i</m:t>
                  </m:r>
                </m:sub>
              </m:sSub>
            </m:num>
            <m:den>
              <m:r>
                <m:rPr>
                  <m:sty m:val="p"/>
                </m:rPr>
                <m:t>∥</m:t>
              </m:r>
              <m:sSub>
                <m:e>
                  <m:r>
                    <m:rPr>
                      <m:sty m:val="b"/>
                    </m:rPr>
                    <m:t>p</m:t>
                  </m:r>
                </m:e>
                <m:sub>
                  <m:r>
                    <m:t>j</m:t>
                  </m:r>
                </m:sub>
              </m:sSub>
              <m:r>
                <m:rPr>
                  <m:sty m:val="p"/>
                </m:rPr>
                <m:t>−</m:t>
              </m:r>
              <m:sSub>
                <m:e>
                  <m:r>
                    <m:rPr>
                      <m:sty m:val="b"/>
                    </m:rPr>
                    <m:t>p</m:t>
                  </m:r>
                </m:e>
                <m:sub>
                  <m:r>
                    <m:t>i</m:t>
                  </m:r>
                </m:sub>
              </m:sSub>
              <m:r>
                <m:rPr>
                  <m:sty m:val="p"/>
                </m:rPr>
                <m:t>∥</m:t>
              </m:r>
            </m:den>
          </m:f>
          <m:r>
            <m:rPr>
              <m:sty m:val="p"/>
            </m:rPr>
            <m:t>∈</m:t>
          </m:r>
          <m:sSup>
            <m:e>
              <m:r>
                <m:rPr>
                  <m:sty m:val="p"/>
                  <m:scr m:val="double-struck"/>
                </m:rPr>
                <m:t>S</m:t>
              </m:r>
            </m:e>
            <m:sup>
              <m:r>
                <m:t>2</m:t>
              </m:r>
            </m:sup>
          </m:sSup>
          <m:r>
            <m:rPr>
              <m:sty m:val="p"/>
            </m:rPr>
            <m:t>⊂</m:t>
          </m:r>
          <m:sSup>
            <m:e>
              <m:r>
                <m:rPr>
                  <m:sty m:val="p"/>
                  <m:scr m:val="double-struck"/>
                </m:rPr>
                <m:t>R</m:t>
              </m:r>
            </m:e>
            <m:sup>
              <m:r>
                <m:t>3</m:t>
              </m:r>
            </m:sup>
          </m:sSup>
          <m:r>
            <m:rPr>
              <m:sty m:val="p"/>
            </m:rPr>
            <m:t>.</m:t>
          </m:r>
        </m:oMath>
      </m:oMathPara>
    </w:p>
    <w:p>
      <w:pPr>
        <w:pStyle w:val="FirstParagraph"/>
      </w:pPr>
      <w:r>
        <w:t xml:space="preserve">Note that</w:t>
      </w:r>
      <w:r>
        <w:t xml:space="preserve"> </w:t>
      </w:r>
      <m:oMath>
        <m:sSub>
          <m:e>
            <m:r>
              <m:rPr>
                <m:sty m:val="b"/>
              </m:rPr>
              <m:t>g</m:t>
            </m:r>
          </m:e>
          <m:sub>
            <m:r>
              <m:t>i</m:t>
            </m:r>
            <m:r>
              <m:t>j</m:t>
            </m:r>
          </m:sub>
        </m:sSub>
        <m:r>
          <m:rPr>
            <m:sty m:val="p"/>
          </m:rPr>
          <m:t>=</m:t>
        </m:r>
        <m:r>
          <m:rPr>
            <m:sty m:val="p"/>
          </m:rPr>
          <m:t>−</m:t>
        </m:r>
        <m:sSub>
          <m:e>
            <m:r>
              <m:rPr>
                <m:sty m:val="b"/>
              </m:rPr>
              <m:t>g</m:t>
            </m:r>
          </m:e>
          <m:sub>
            <m:r>
              <m:t>j</m:t>
            </m:r>
            <m:r>
              <m:t>i</m:t>
            </m:r>
          </m:sub>
        </m:sSub>
      </m:oMath>
      <w:r>
        <w:t xml:space="preserve">. The collection of all edge bearings is denoted</w:t>
      </w:r>
      <w:r>
        <w:t xml:space="preserve"> </w:t>
      </w:r>
      <m:oMath>
        <m:r>
          <m:rPr>
            <m:sty m:val="p"/>
            <m:scr m:val="script"/>
          </m:rPr>
          <m:t>G</m:t>
        </m:r>
        <m:r>
          <m:rPr>
            <m:sty m:val="p"/>
          </m:rPr>
          <m:t>=</m:t>
        </m:r>
        <m:r>
          <m:rPr>
            <m:sty m:val="p"/>
          </m:rPr>
          <m:t>{</m:t>
        </m:r>
        <m:sSub>
          <m:e>
            <m:r>
              <m:rPr>
                <m:sty m:val="b"/>
              </m:rPr>
              <m:t>g</m:t>
            </m:r>
          </m:e>
          <m:sub>
            <m:r>
              <m:t>i</m:t>
            </m:r>
            <m:r>
              <m:t>j</m:t>
            </m:r>
          </m:sub>
        </m:sSub>
        <m:sSub>
          <m:e>
            <m:r>
              <m:rPr>
                <m:sty m:val="p"/>
              </m:rPr>
              <m:t>}</m:t>
            </m:r>
          </m:e>
          <m:sub>
            <m:r>
              <m:rPr>
                <m:sty m:val="p"/>
              </m:rPr>
              <m:t>{</m:t>
            </m:r>
            <m:r>
              <m:t>i</m:t>
            </m:r>
            <m:r>
              <m:rPr>
                <m:sty m:val="p"/>
              </m:rPr>
              <m:t>,</m:t>
            </m:r>
            <m:r>
              <m:t>j</m:t>
            </m:r>
            <m:r>
              <m:rPr>
                <m:sty m:val="p"/>
              </m:rPr>
              <m:t>}</m:t>
            </m:r>
            <m:r>
              <m:rPr>
                <m:sty m:val="p"/>
              </m:rPr>
              <m:t>∈</m:t>
            </m:r>
            <m:r>
              <m:t>E</m:t>
            </m:r>
          </m:sub>
        </m:sSub>
      </m:oMath>
      <w:r>
        <w:t xml:space="preserve">.</w:t>
      </w:r>
    </w:p>
    <w:p>
      <w:pPr>
        <w:pStyle w:val="BodyText"/>
      </w:pPr>
      <w:r>
        <w:t xml:space="preserve">Two frameworks</w:t>
      </w:r>
      <w:r>
        <w:t xml:space="preserve"> </w:t>
      </w:r>
      <m:oMath>
        <m:d>
          <m:dPr>
            <m:begChr m:val="("/>
            <m:endChr m:val=")"/>
            <m:sepChr m:val=""/>
            <m:grow/>
          </m:dPr>
          <m:e>
            <m:r>
              <m:t>G</m:t>
            </m:r>
            <m:r>
              <m:rPr>
                <m:sty m:val="p"/>
              </m:rPr>
              <m:t>,</m:t>
            </m:r>
            <m:r>
              <m:rPr>
                <m:sty m:val="b"/>
              </m:rPr>
              <m:t>p</m:t>
            </m:r>
          </m:e>
        </m:d>
      </m:oMath>
      <w:r>
        <w:t xml:space="preserve"> </w:t>
      </w:r>
      <w:r>
        <w:t xml:space="preserve">and</w:t>
      </w:r>
      <w:r>
        <w:t xml:space="preserve"> </w:t>
      </w:r>
      <m:oMath>
        <m:d>
          <m:dPr>
            <m:begChr m:val="("/>
            <m:endChr m:val=")"/>
            <m:sepChr m:val=""/>
            <m:grow/>
          </m:dPr>
          <m:e>
            <m:r>
              <m:t>G</m:t>
            </m:r>
            <m:r>
              <m:rPr>
                <m:sty m:val="p"/>
              </m:rPr>
              <m:t>,</m:t>
            </m:r>
            <m:r>
              <m:rPr>
                <m:sty m:val="b"/>
              </m:rPr>
              <m:t>p</m:t>
            </m:r>
            <m:r>
              <m:rPr>
                <m:sty m:val="p"/>
              </m:rPr>
              <m:t>′</m:t>
            </m:r>
          </m:e>
        </m:d>
      </m:oMath>
      <w:r>
        <w:t xml:space="preserve"> </w:t>
      </w:r>
      <w:r>
        <w:t xml:space="preserve">are</w:t>
      </w:r>
      <w:r>
        <w:t xml:space="preserve"> </w:t>
      </w:r>
      <w:r>
        <w:rPr>
          <w:bCs/>
          <w:b/>
        </w:rPr>
        <w:t xml:space="preserve">bearing-equivalent</w:t>
      </w:r>
      <w:r>
        <w:t xml:space="preserve"> </w:t>
      </w:r>
      <w:r>
        <w:t xml:space="preserve">if they share the same edge bearings:</w:t>
      </w:r>
      <w:r>
        <w:t xml:space="preserve"> </w:t>
      </w:r>
      <m:oMath>
        <m:sSub>
          <m:e>
            <m:r>
              <m:rPr>
                <m:sty m:val="b"/>
              </m:rPr>
              <m:t>g</m:t>
            </m:r>
          </m:e>
          <m:sub>
            <m:r>
              <m:t>i</m:t>
            </m:r>
            <m:r>
              <m:t>j</m:t>
            </m:r>
          </m:sub>
        </m:sSub>
        <m:r>
          <m:rPr>
            <m:sty m:val="p"/>
          </m:rPr>
          <m:t>=</m:t>
        </m:r>
        <m:r>
          <m:rPr>
            <m:sty m:val="b"/>
          </m:rPr>
          <m:t>g</m:t>
        </m:r>
        <m:sSub>
          <m:e>
            <m:r>
              <m:rPr>
                <m:sty m:val="p"/>
              </m:rPr>
              <m:t>′</m:t>
            </m:r>
          </m:e>
          <m:sub>
            <m:r>
              <m:t>i</m:t>
            </m:r>
            <m:r>
              <m:t>j</m:t>
            </m:r>
          </m:sub>
        </m:sSub>
      </m:oMath>
      <w:r>
        <w:t xml:space="preserve"> </w:t>
      </w:r>
      <w:r>
        <w:t xml:space="preserve">for all</w:t>
      </w:r>
      <w:r>
        <w:t xml:space="preserve"> </w:t>
      </w:r>
      <m:oMath>
        <m:r>
          <m:rPr>
            <m:sty m:val="p"/>
          </m:rPr>
          <m:t>{</m:t>
        </m:r>
        <m:r>
          <m:t>i</m:t>
        </m:r>
        <m:r>
          <m:rPr>
            <m:sty m:val="p"/>
          </m:rPr>
          <m:t>,</m:t>
        </m:r>
        <m:r>
          <m:t>j</m:t>
        </m:r>
        <m:r>
          <m:rPr>
            <m:sty m:val="p"/>
          </m:rPr>
          <m:t>}</m:t>
        </m:r>
        <m:r>
          <m:rPr>
            <m:sty m:val="p"/>
          </m:rPr>
          <m:t>∈</m:t>
        </m:r>
        <m:r>
          <m:t>E</m:t>
        </m:r>
      </m:oMath>
      <w:r>
        <w:t xml:space="preserve">. They are</w:t>
      </w:r>
      <w:r>
        <w:t xml:space="preserve"> </w:t>
      </w:r>
      <w:r>
        <w:rPr>
          <w:bCs/>
          <w:b/>
        </w:rPr>
        <w:t xml:space="preserve">bearing-congruent</w:t>
      </w:r>
      <w:r>
        <w:t xml:space="preserve"> </w:t>
      </w:r>
      <w:r>
        <w:t xml:space="preserve">if they are related by a translation and a non-zero scale factor:</w:t>
      </w:r>
      <w:r>
        <w:t xml:space="preserve"> </w:t>
      </w:r>
      <m:oMath>
        <m:r>
          <m:rPr>
            <m:sty m:val="b"/>
          </m:rPr>
          <m:t>p</m:t>
        </m:r>
        <m:sSub>
          <m:e>
            <m:r>
              <m:rPr>
                <m:sty m:val="p"/>
              </m:rPr>
              <m:t>′</m:t>
            </m:r>
          </m:e>
          <m:sub>
            <m:r>
              <m:t>i</m:t>
            </m:r>
          </m:sub>
        </m:sSub>
        <m:r>
          <m:rPr>
            <m:sty m:val="p"/>
          </m:rPr>
          <m:t>=</m:t>
        </m:r>
        <m:r>
          <m:t>c</m:t>
        </m:r>
        <m:sSub>
          <m:e>
            <m:r>
              <m:rPr>
                <m:sty m:val="b"/>
              </m:rPr>
              <m:t>p</m:t>
            </m:r>
          </m:e>
          <m:sub>
            <m:r>
              <m:t>i</m:t>
            </m:r>
          </m:sub>
        </m:sSub>
        <m:r>
          <m:rPr>
            <m:sty m:val="p"/>
          </m:rPr>
          <m:t>+</m:t>
        </m:r>
        <m:r>
          <m:rPr>
            <m:sty m:val="b"/>
          </m:rPr>
          <m:t>t</m:t>
        </m:r>
      </m:oMath>
      <w:r>
        <w:t xml:space="preserve"> </w:t>
      </w:r>
      <w:r>
        <w:t xml:space="preserve">for some</w:t>
      </w:r>
      <w:r>
        <w:t xml:space="preserve"> </w:t>
      </w:r>
      <m:oMath>
        <m:r>
          <m:t>c</m:t>
        </m:r>
        <m:r>
          <m:rPr>
            <m:sty m:val="p"/>
          </m:rPr>
          <m:t>∈</m:t>
        </m:r>
        <m:r>
          <m:rPr>
            <m:sty m:val="p"/>
            <m:scr m:val="double-struck"/>
          </m:rPr>
          <m:t>R</m:t>
        </m:r>
        <m:r>
          <m:rPr>
            <m:sty m:val="p"/>
          </m:rPr>
          <m:t>\</m:t>
        </m:r>
        <m:r>
          <m:rPr>
            <m:sty m:val="p"/>
          </m:rPr>
          <m:t>{</m:t>
        </m:r>
        <m:r>
          <m:t>0</m:t>
        </m:r>
        <m:r>
          <m:rPr>
            <m:sty m:val="p"/>
          </m:rPr>
          <m:t>}</m:t>
        </m:r>
      </m:oMath>
      <w:r>
        <w:t xml:space="preserve"> </w:t>
      </w:r>
      <w:r>
        <w:t xml:space="preserve">and</w:t>
      </w:r>
      <w:r>
        <w:t xml:space="preserve"> </w:t>
      </w:r>
      <m:oMath>
        <m:r>
          <m:rPr>
            <m:sty m:val="b"/>
          </m:rPr>
          <m:t>t</m:t>
        </m:r>
        <m:r>
          <m:rPr>
            <m:sty m:val="p"/>
          </m:rPr>
          <m:t>∈</m:t>
        </m:r>
        <m:sSup>
          <m:e>
            <m:r>
              <m:rPr>
                <m:sty m:val="p"/>
                <m:scr m:val="double-struck"/>
              </m:rPr>
              <m:t>R</m:t>
            </m:r>
          </m:e>
          <m:sup>
            <m:r>
              <m:t>3</m:t>
            </m:r>
          </m:sup>
        </m:sSup>
      </m:oMath>
      <w:r>
        <w:t xml:space="preserve">.</w:t>
      </w:r>
    </w:p>
    <w:p>
      <w:pPr>
        <w:pStyle w:val="BlockText"/>
      </w:pPr>
      <w:r>
        <w:rPr>
          <w:bCs/>
          <w:b/>
        </w:rPr>
        <w:t xml:space="preserve">Definition E.1 (Bearing Rigidity, Zhao et al. 2017).</w:t>
      </w:r>
      <w:r>
        <w:t xml:space="preserve"> </w:t>
      </w:r>
      <w:r>
        <w:t xml:space="preserve">A framework</w:t>
      </w:r>
      <w:r>
        <w:t xml:space="preserve"> </w:t>
      </w:r>
      <m:oMath>
        <m:d>
          <m:dPr>
            <m:begChr m:val="("/>
            <m:endChr m:val=")"/>
            <m:sepChr m:val=""/>
            <m:grow/>
          </m:dPr>
          <m:e>
            <m:r>
              <m:t>G</m:t>
            </m:r>
            <m:r>
              <m:rPr>
                <m:sty m:val="p"/>
              </m:rPr>
              <m:t>,</m:t>
            </m:r>
            <m:r>
              <m:rPr>
                <m:sty m:val="b"/>
              </m:rPr>
              <m:t>p</m:t>
            </m:r>
          </m:e>
        </m:d>
      </m:oMath>
      <w:r>
        <w:t xml:space="preserve"> </w:t>
      </w:r>
      <w:r>
        <w:t xml:space="preserve">is</w:t>
      </w:r>
      <w:r>
        <w:t xml:space="preserve"> </w:t>
      </w:r>
      <w:r>
        <w:rPr>
          <w:bCs/>
          <w:b/>
        </w:rPr>
        <w:t xml:space="preserve">bearing-rigid</w:t>
      </w:r>
      <w:r>
        <w:t xml:space="preserve"> </w:t>
      </w:r>
      <w:r>
        <w:t xml:space="preserve">in</w:t>
      </w:r>
      <w:r>
        <w:t xml:space="preserve"> </w:t>
      </w:r>
      <m:oMath>
        <m:sSup>
          <m:e>
            <m:r>
              <m:rPr>
                <m:sty m:val="p"/>
                <m:scr m:val="double-struck"/>
              </m:rPr>
              <m:t>R</m:t>
            </m:r>
          </m:e>
          <m:sup>
            <m:r>
              <m:t>3</m:t>
            </m:r>
          </m:sup>
        </m:sSup>
      </m:oMath>
      <w:r>
        <w:t xml:space="preserve"> </w:t>
      </w:r>
      <w:r>
        <w:t xml:space="preserve">if every framework bearing-equivalent to</w:t>
      </w:r>
      <w:r>
        <w:t xml:space="preserve"> </w:t>
      </w:r>
      <m:oMath>
        <m:d>
          <m:dPr>
            <m:begChr m:val="("/>
            <m:endChr m:val=")"/>
            <m:sepChr m:val=""/>
            <m:grow/>
          </m:dPr>
          <m:e>
            <m:r>
              <m:t>G</m:t>
            </m:r>
            <m:r>
              <m:rPr>
                <m:sty m:val="p"/>
              </m:rPr>
              <m:t>,</m:t>
            </m:r>
            <m:r>
              <m:rPr>
                <m:sty m:val="b"/>
              </m:rPr>
              <m:t>p</m:t>
            </m:r>
          </m:e>
        </m:d>
      </m:oMath>
      <w:r>
        <w:t xml:space="preserve"> </w:t>
      </w:r>
      <w:r>
        <w:t xml:space="preserve">is also bearing-congruent to it.</w:t>
      </w:r>
    </w:p>
    <w:p>
      <w:pPr>
        <w:pStyle w:val="FirstParagraph"/>
      </w:pPr>
      <w:r>
        <w:t xml:space="preserve">In other words, the edge bearings uniquely determine the configuration up to the trivial motions of translation and scale.</w:t>
      </w:r>
    </w:p>
    <w:bookmarkEnd w:id="117"/>
    <w:bookmarkStart w:id="118" w:name="X7b93f7165d7bae0d98736f4552b5c83d787b9be"/>
    <w:p>
      <w:pPr>
        <w:pStyle w:val="Heading3"/>
      </w:pPr>
      <w:r>
        <w:t xml:space="preserve">E.2.2 The Bearing Rigidity Matrix and Infinitesimal Rigidity</w:t>
      </w:r>
    </w:p>
    <w:p>
      <w:pPr>
        <w:pStyle w:val="FirstParagraph"/>
      </w:pPr>
      <w:r>
        <w:t xml:space="preserve">To analyze rigidity locally, consider a smooth perturbation</w:t>
      </w:r>
      <w:r>
        <w:t xml:space="preserve"> </w:t>
      </w:r>
      <m:oMath>
        <m:r>
          <m:rPr>
            <m:sty m:val="b"/>
          </m:rPr>
          <m:t>p</m:t>
        </m:r>
        <m:d>
          <m:dPr>
            <m:begChr m:val="("/>
            <m:endChr m:val=")"/>
            <m:sepChr m:val=""/>
            <m:grow/>
          </m:dPr>
          <m:e>
            <m:r>
              <m:t>t</m:t>
            </m:r>
          </m:e>
        </m:d>
      </m:oMath>
      <w:r>
        <w:t xml:space="preserve"> </w:t>
      </w:r>
      <w:r>
        <w:t xml:space="preserve">with</w:t>
      </w:r>
      <w:r>
        <w:t xml:space="preserve"> </w:t>
      </w:r>
      <m:oMath>
        <m:r>
          <m:rPr>
            <m:sty m:val="b"/>
          </m:rPr>
          <m:t>p</m:t>
        </m:r>
        <m:d>
          <m:dPr>
            <m:begChr m:val="("/>
            <m:endChr m:val=")"/>
            <m:sepChr m:val=""/>
            <m:grow/>
          </m:dPr>
          <m:e>
            <m:r>
              <m:t>0</m:t>
            </m:r>
          </m:e>
        </m:d>
        <m:r>
          <m:rPr>
            <m:sty m:val="p"/>
          </m:rPr>
          <m:t>=</m:t>
        </m:r>
        <m:r>
          <m:rPr>
            <m:sty m:val="b"/>
          </m:rPr>
          <m:t>p</m:t>
        </m:r>
      </m:oMath>
      <w:r>
        <w:t xml:space="preserve">. The bearing of edge</w:t>
      </w:r>
      <w:r>
        <w:t xml:space="preserve"> </w:t>
      </w:r>
      <m:oMath>
        <m:r>
          <m:rPr>
            <m:sty m:val="p"/>
          </m:rPr>
          <m:t>{</m:t>
        </m:r>
        <m:r>
          <m:t>i</m:t>
        </m:r>
        <m:r>
          <m:rPr>
            <m:sty m:val="p"/>
          </m:rPr>
          <m:t>,</m:t>
        </m:r>
        <m:r>
          <m:t>j</m:t>
        </m:r>
        <m:r>
          <m:rPr>
            <m:sty m:val="p"/>
          </m:rPr>
          <m:t>}</m:t>
        </m:r>
      </m:oMath>
      <w:r>
        <w:t xml:space="preserve"> </w:t>
      </w:r>
      <w:r>
        <w:t xml:space="preserve">evolves as:</w:t>
      </w:r>
    </w:p>
    <w:p>
      <w:pPr>
        <w:pStyle w:val="BodyText"/>
      </w:pPr>
      <m:oMathPara>
        <m:oMathParaPr>
          <m:jc m:val="center"/>
        </m:oMathParaPr>
        <m:oMath>
          <m:sSub>
            <m:e>
              <m:acc>
                <m:accPr>
                  <m:chr m:val="̇"/>
                </m:accPr>
                <m:e>
                  <m:r>
                    <m:rPr>
                      <m:sty m:val="b"/>
                    </m:rPr>
                    <m:t>g</m:t>
                  </m:r>
                </m:e>
              </m:acc>
            </m:e>
            <m:sub>
              <m:r>
                <m:t>i</m:t>
              </m:r>
              <m:r>
                <m:t>j</m:t>
              </m:r>
            </m:sub>
          </m:sSub>
          <m:r>
            <m:rPr>
              <m:sty m:val="p"/>
            </m:rPr>
            <m:t>=</m:t>
          </m:r>
          <m:f>
            <m:fPr>
              <m:type m:val="bar"/>
            </m:fPr>
            <m:num>
              <m:sSub>
                <m:e>
                  <m:r>
                    <m:t>P</m:t>
                  </m:r>
                </m:e>
                <m:sub>
                  <m:sSub>
                    <m:e>
                      <m:r>
                        <m:rPr>
                          <m:sty m:val="b"/>
                        </m:rPr>
                        <m:t>g</m:t>
                      </m:r>
                    </m:e>
                    <m:sub>
                      <m:r>
                        <m:t>i</m:t>
                      </m:r>
                      <m:r>
                        <m:t>j</m:t>
                      </m:r>
                    </m:sub>
                  </m:sSub>
                </m:sub>
              </m:sSub>
            </m:num>
            <m:den>
              <m:r>
                <m:rPr>
                  <m:sty m:val="p"/>
                </m:rPr>
                <m:t>∥</m:t>
              </m:r>
              <m:sSub>
                <m:e>
                  <m:r>
                    <m:rPr>
                      <m:sty m:val="b"/>
                    </m:rPr>
                    <m:t>p</m:t>
                  </m:r>
                </m:e>
                <m:sub>
                  <m:r>
                    <m:t>j</m:t>
                  </m:r>
                </m:sub>
              </m:sSub>
              <m:r>
                <m:rPr>
                  <m:sty m:val="p"/>
                </m:rPr>
                <m:t>−</m:t>
              </m:r>
              <m:sSub>
                <m:e>
                  <m:r>
                    <m:rPr>
                      <m:sty m:val="b"/>
                    </m:rPr>
                    <m:t>p</m:t>
                  </m:r>
                </m:e>
                <m:sub>
                  <m:r>
                    <m:t>i</m:t>
                  </m:r>
                </m:sub>
              </m:sSub>
              <m:r>
                <m:rPr>
                  <m:sty m:val="p"/>
                </m:rPr>
                <m:t>∥</m:t>
              </m:r>
            </m:den>
          </m:f>
          <m:d>
            <m:dPr>
              <m:begChr m:val="("/>
              <m:endChr m:val=")"/>
              <m:sepChr m:val=""/>
              <m:grow/>
            </m:dPr>
            <m:e>
              <m:sSub>
                <m:e>
                  <m:acc>
                    <m:accPr>
                      <m:chr m:val="̇"/>
                    </m:accPr>
                    <m:e>
                      <m:r>
                        <m:rPr>
                          <m:sty m:val="b"/>
                        </m:rPr>
                        <m:t>p</m:t>
                      </m:r>
                    </m:e>
                  </m:acc>
                </m:e>
                <m:sub>
                  <m:r>
                    <m:t>j</m:t>
                  </m:r>
                </m:sub>
              </m:sSub>
              <m:r>
                <m:rPr>
                  <m:sty m:val="p"/>
                </m:rPr>
                <m:t>−</m:t>
              </m:r>
              <m:sSub>
                <m:e>
                  <m:acc>
                    <m:accPr>
                      <m:chr m:val="̇"/>
                    </m:accPr>
                    <m:e>
                      <m:r>
                        <m:rPr>
                          <m:sty m:val="b"/>
                        </m:rPr>
                        <m:t>p</m:t>
                      </m:r>
                    </m:e>
                  </m:acc>
                </m:e>
                <m:sub>
                  <m:r>
                    <m:t>i</m:t>
                  </m:r>
                </m:sub>
              </m:sSub>
            </m:e>
          </m:d>
          <m:r>
            <m:rPr>
              <m:sty m:val="p"/>
            </m:rPr>
            <m:t>,</m:t>
          </m:r>
        </m:oMath>
      </m:oMathPara>
    </w:p>
    <w:p>
      <w:pPr>
        <w:pStyle w:val="FirstParagraph"/>
      </w:pPr>
      <w:r>
        <w:t xml:space="preserve">where</w:t>
      </w:r>
      <w:r>
        <w:t xml:space="preserve"> </w:t>
      </w:r>
      <m:oMath>
        <m:sSub>
          <m:e>
            <m:r>
              <m:t>P</m:t>
            </m:r>
          </m:e>
          <m:sub>
            <m:r>
              <m:rPr>
                <m:sty m:val="b"/>
              </m:rPr>
              <m:t>g</m:t>
            </m:r>
          </m:sub>
        </m:sSub>
        <m:r>
          <m:rPr>
            <m:sty m:val="p"/>
          </m:rPr>
          <m:t>≜</m:t>
        </m:r>
        <m:sSub>
          <m:e>
            <m:r>
              <m:t>I</m:t>
            </m:r>
          </m:e>
          <m:sub>
            <m:r>
              <m:t>3</m:t>
            </m:r>
          </m:sub>
        </m:sSub>
        <m:r>
          <m:rPr>
            <m:sty m:val="p"/>
          </m:rPr>
          <m:t>−</m:t>
        </m:r>
        <m:r>
          <m:rPr>
            <m:sty m:val="b"/>
          </m:rPr>
          <m:t>g</m:t>
        </m:r>
        <m:sSup>
          <m:e>
            <m:r>
              <m:rPr>
                <m:sty m:val="b"/>
              </m:rPr>
              <m:t>g</m:t>
            </m:r>
          </m:e>
          <m:sup>
            <m:r>
              <m:t>T</m:t>
            </m:r>
          </m:sup>
        </m:sSup>
      </m:oMath>
      <w:r>
        <w:t xml:space="preserve"> </w:t>
      </w:r>
      <w:r>
        <w:t xml:space="preserve">is the orthogonal projector onto the plane perpendicular to</w:t>
      </w:r>
      <w:r>
        <w:t xml:space="preserve"> </w:t>
      </w:r>
      <m:oMath>
        <m:r>
          <m:rPr>
            <m:sty m:val="b"/>
          </m:rPr>
          <m:t>g</m:t>
        </m:r>
      </m:oMath>
      <w:r>
        <w:t xml:space="preserve">. This linear map defines the</w:t>
      </w:r>
      <w:r>
        <w:t xml:space="preserve"> </w:t>
      </w:r>
      <w:r>
        <w:rPr>
          <w:bCs/>
          <w:b/>
        </w:rPr>
        <w:t xml:space="preserve">bearing rigidity matrix</w:t>
      </w:r>
      <w:r>
        <w:t xml:space="preserve"> </w:t>
      </w:r>
      <m:oMath>
        <m:sSub>
          <m:e>
            <m:r>
              <m:t>R</m:t>
            </m:r>
          </m:e>
          <m:sub>
            <m:r>
              <m:t>B</m:t>
            </m:r>
          </m:sub>
        </m:sSub>
        <m:d>
          <m:dPr>
            <m:begChr m:val="("/>
            <m:endChr m:val=")"/>
            <m:sepChr m:val=""/>
            <m:grow/>
          </m:dPr>
          <m:e>
            <m:r>
              <m:t>G</m:t>
            </m:r>
            <m:r>
              <m:rPr>
                <m:sty m:val="p"/>
              </m:rPr>
              <m:t>,</m:t>
            </m:r>
            <m:r>
              <m:rPr>
                <m:sty m:val="b"/>
              </m:rPr>
              <m:t>p</m:t>
            </m:r>
          </m:e>
        </m:d>
        <m:r>
          <m:rPr>
            <m:sty m:val="p"/>
          </m:rPr>
          <m:t>∈</m:t>
        </m:r>
        <m:sSup>
          <m:e>
            <m:r>
              <m:rPr>
                <m:sty m:val="p"/>
                <m:scr m:val="double-struck"/>
              </m:rPr>
              <m:t>R</m:t>
            </m:r>
          </m:e>
          <m:sup>
            <m:r>
              <m:t>3</m:t>
            </m:r>
            <m:r>
              <m:t>m</m:t>
            </m:r>
            <m:r>
              <m:rPr>
                <m:sty m:val="p"/>
              </m:rPr>
              <m:t>×</m:t>
            </m:r>
            <m:r>
              <m:t>3</m:t>
            </m:r>
            <m:r>
              <m:t>n</m:t>
            </m:r>
          </m:sup>
        </m:sSup>
      </m:oMath>
      <w:r>
        <w:t xml:space="preserve">, which maps node velocity vectors</w:t>
      </w:r>
      <w:r>
        <w:t xml:space="preserve"> </w:t>
      </w:r>
      <m:oMath>
        <m:d>
          <m:dPr>
            <m:begChr m:val="("/>
            <m:endChr m:val=")"/>
            <m:sepChr m:val=""/>
            <m:grow/>
          </m:dPr>
          <m:e>
            <m:sSub>
              <m:e>
                <m:acc>
                  <m:accPr>
                    <m:chr m:val="̇"/>
                  </m:accPr>
                  <m:e>
                    <m:r>
                      <m:rPr>
                        <m:sty m:val="b"/>
                      </m:rPr>
                      <m:t>p</m:t>
                    </m:r>
                  </m:e>
                </m:acc>
              </m:e>
              <m:sub>
                <m:r>
                  <m:t>1</m:t>
                </m:r>
              </m:sub>
            </m:sSub>
            <m:r>
              <m:rPr>
                <m:sty m:val="p"/>
              </m:rPr>
              <m:t>,</m:t>
            </m:r>
            <m:r>
              <m:rPr>
                <m:sty m:val="p"/>
              </m:rPr>
              <m:t>…</m:t>
            </m:r>
            <m:r>
              <m:rPr>
                <m:sty m:val="p"/>
              </m:rPr>
              <m:t>,</m:t>
            </m:r>
            <m:sSub>
              <m:e>
                <m:acc>
                  <m:accPr>
                    <m:chr m:val="̇"/>
                  </m:accPr>
                  <m:e>
                    <m:r>
                      <m:rPr>
                        <m:sty m:val="b"/>
                      </m:rPr>
                      <m:t>p</m:t>
                    </m:r>
                  </m:e>
                </m:acc>
              </m:e>
              <m:sub>
                <m:r>
                  <m:t>n</m:t>
                </m:r>
              </m:sub>
            </m:sSub>
          </m:e>
        </m:d>
        <m:r>
          <m:rPr>
            <m:sty m:val="p"/>
          </m:rPr>
          <m:t>∈</m:t>
        </m:r>
        <m:sSup>
          <m:e>
            <m:r>
              <m:rPr>
                <m:sty m:val="p"/>
                <m:scr m:val="double-struck"/>
              </m:rPr>
              <m:t>R</m:t>
            </m:r>
          </m:e>
          <m:sup>
            <m:r>
              <m:t>3</m:t>
            </m:r>
            <m:r>
              <m:t>n</m:t>
            </m:r>
          </m:sup>
        </m:sSup>
      </m:oMath>
      <w:r>
        <w:t xml:space="preserve"> </w:t>
      </w:r>
      <w:r>
        <w:t xml:space="preserve">to bearing velocities</w:t>
      </w:r>
      <w:r>
        <w:t xml:space="preserve"> </w:t>
      </w:r>
      <m:oMath>
        <m:d>
          <m:dPr>
            <m:begChr m:val="("/>
            <m:endChr m:val=")"/>
            <m:sepChr m:val=""/>
            <m:grow/>
          </m:dPr>
          <m:e>
            <m:sSub>
              <m:e>
                <m:acc>
                  <m:accPr>
                    <m:chr m:val="̇"/>
                  </m:accPr>
                  <m:e>
                    <m:r>
                      <m:rPr>
                        <m:sty m:val="b"/>
                      </m:rPr>
                      <m:t>g</m:t>
                    </m:r>
                  </m:e>
                </m:acc>
              </m:e>
              <m:sub>
                <m:r>
                  <m:t>i</m:t>
                </m:r>
                <m:r>
                  <m:t>j</m:t>
                </m:r>
              </m:sub>
            </m:sSub>
          </m:e>
        </m:d>
        <m:r>
          <m:rPr>
            <m:sty m:val="p"/>
          </m:rPr>
          <m:t>∈</m:t>
        </m:r>
        <m:sSup>
          <m:e>
            <m:r>
              <m:rPr>
                <m:sty m:val="p"/>
                <m:scr m:val="double-struck"/>
              </m:rPr>
              <m:t>R</m:t>
            </m:r>
          </m:e>
          <m:sup>
            <m:r>
              <m:t>3</m:t>
            </m:r>
            <m:r>
              <m:t>m</m:t>
            </m:r>
          </m:sup>
        </m:sSup>
      </m:oMath>
      <w:r>
        <w:t xml:space="preserve">.</w:t>
      </w:r>
    </w:p>
    <w:p>
      <w:pPr>
        <w:pStyle w:val="BlockText"/>
      </w:pPr>
      <w:r>
        <w:rPr>
          <w:bCs/>
          <w:b/>
        </w:rPr>
        <w:t xml:space="preserve">Definition E.2 (Infinitesimal Bearing Rigidity).</w:t>
      </w:r>
      <w:r>
        <w:t xml:space="preserve"> </w:t>
      </w:r>
      <w:r>
        <w:t xml:space="preserve">A framework</w:t>
      </w:r>
      <w:r>
        <w:t xml:space="preserve"> </w:t>
      </w:r>
      <m:oMath>
        <m:d>
          <m:dPr>
            <m:begChr m:val="("/>
            <m:endChr m:val=")"/>
            <m:sepChr m:val=""/>
            <m:grow/>
          </m:dPr>
          <m:e>
            <m:r>
              <m:t>G</m:t>
            </m:r>
            <m:r>
              <m:rPr>
                <m:sty m:val="p"/>
              </m:rPr>
              <m:t>,</m:t>
            </m:r>
            <m:r>
              <m:rPr>
                <m:sty m:val="b"/>
              </m:rPr>
              <m:t>p</m:t>
            </m:r>
          </m:e>
        </m:d>
      </m:oMath>
      <w:r>
        <w:t xml:space="preserve"> </w:t>
      </w:r>
      <w:r>
        <w:t xml:space="preserve">is</w:t>
      </w:r>
      <w:r>
        <w:t xml:space="preserve"> </w:t>
      </w:r>
      <w:r>
        <w:rPr>
          <w:bCs/>
          <w:b/>
        </w:rPr>
        <w:t xml:space="preserve">infinitesimally bearing-rigid</w:t>
      </w:r>
      <w:r>
        <w:t xml:space="preserve"> </w:t>
      </w:r>
      <w:r>
        <w:t xml:space="preserve">if</w:t>
      </w:r>
      <w:r>
        <w:t xml:space="preserve"> </w:t>
      </w:r>
      <m:oMath>
        <m:r>
          <m:rPr>
            <m:sty m:val="p"/>
          </m:rPr>
          <m:t>r</m:t>
        </m:r>
        <m:r>
          <m:rPr>
            <m:sty m:val="p"/>
          </m:rPr>
          <m:t>a</m:t>
        </m:r>
        <m:r>
          <m:rPr>
            <m:sty m:val="p"/>
          </m:rPr>
          <m:t>n</m:t>
        </m:r>
        <m:r>
          <m:rPr>
            <m:sty m:val="p"/>
          </m:rPr>
          <m:t>k</m:t>
        </m:r>
        <m:r>
          <m:t> </m:t>
        </m:r>
        <m:sSub>
          <m:e>
            <m:r>
              <m:t>R</m:t>
            </m:r>
          </m:e>
          <m:sub>
            <m:r>
              <m:t>B</m:t>
            </m:r>
          </m:sub>
        </m:sSub>
        <m:d>
          <m:dPr>
            <m:begChr m:val="("/>
            <m:endChr m:val=")"/>
            <m:sepChr m:val=""/>
            <m:grow/>
          </m:dPr>
          <m:e>
            <m:r>
              <m:t>G</m:t>
            </m:r>
            <m:r>
              <m:rPr>
                <m:sty m:val="p"/>
              </m:rPr>
              <m:t>,</m:t>
            </m:r>
            <m:r>
              <m:rPr>
                <m:sty m:val="b"/>
              </m:rPr>
              <m:t>p</m:t>
            </m:r>
          </m:e>
        </m:d>
        <m:r>
          <m:rPr>
            <m:sty m:val="p"/>
          </m:rPr>
          <m:t>=</m:t>
        </m:r>
        <m:r>
          <m:t>3</m:t>
        </m:r>
        <m:r>
          <m:t>n</m:t>
        </m:r>
        <m:r>
          <m:rPr>
            <m:sty m:val="p"/>
          </m:rPr>
          <m:t>−</m:t>
        </m:r>
        <m:r>
          <m:t>4</m:t>
        </m:r>
      </m:oMath>
      <w:r>
        <w:t xml:space="preserve">.</w:t>
      </w:r>
    </w:p>
    <w:p>
      <w:pPr>
        <w:pStyle w:val="FirstParagraph"/>
      </w:pPr>
      <w:r>
        <w:t xml:space="preserve">The nullspace of</w:t>
      </w:r>
      <w:r>
        <w:t xml:space="preserve"> </w:t>
      </w:r>
      <m:oMath>
        <m:sSub>
          <m:e>
            <m:r>
              <m:t>R</m:t>
            </m:r>
          </m:e>
          <m:sub>
            <m:r>
              <m:t>B</m:t>
            </m:r>
          </m:sub>
        </m:sSub>
      </m:oMath>
      <w:r>
        <w:t xml:space="preserve"> </w:t>
      </w:r>
      <w:r>
        <w:t xml:space="preserve">always contains the trivial motions: translations (dimension 3) and scaling (dimension 1), giving</w:t>
      </w:r>
      <w:r>
        <w:t xml:space="preserve"> </w:t>
      </w:r>
      <m:oMath>
        <m:r>
          <m:t>3</m:t>
        </m:r>
        <m:r>
          <m:t>n</m:t>
        </m:r>
        <m:r>
          <m:rPr>
            <m:sty m:val="p"/>
          </m:rPr>
          <m:t>−</m:t>
        </m:r>
        <m:r>
          <m:t>4</m:t>
        </m:r>
      </m:oMath>
      <w:r>
        <w:t xml:space="preserve"> </w:t>
      </w:r>
      <w:r>
        <w:t xml:space="preserve">as the maximal possible rank. Infinitesimal bearing rigidity is the generic condition; by Asimow and Roth (1978), a framework that is infinitesimally rigid is also (globally) rigid, and generic frameworks are either infinitesimally rigid or not rigid at all (Hendrickson 1992).</w:t>
      </w:r>
    </w:p>
    <w:bookmarkEnd w:id="118"/>
    <w:bookmarkStart w:id="119" w:name="X45cd3ad13e2c0b47cf99998df652afdd5bab038"/>
    <w:p>
      <w:pPr>
        <w:pStyle w:val="Heading3"/>
      </w:pPr>
      <w:r>
        <w:t xml:space="preserve">E.2.3 The Edge Count and the 12-Neighbor Intuition</w:t>
      </w:r>
    </w:p>
    <w:p>
      <w:pPr>
        <w:pStyle w:val="FirstParagraph"/>
      </w:pPr>
      <w:r>
        <w:t xml:space="preserve">Each edge bearing</w:t>
      </w:r>
      <w:r>
        <w:t xml:space="preserve"> </w:t>
      </w:r>
      <m:oMath>
        <m:sSub>
          <m:e>
            <m:r>
              <m:rPr>
                <m:sty m:val="b"/>
              </m:rPr>
              <m:t>g</m:t>
            </m:r>
          </m:e>
          <m:sub>
            <m:r>
              <m:t>i</m:t>
            </m:r>
            <m:r>
              <m:t>j</m:t>
            </m:r>
          </m:sub>
        </m:sSub>
      </m:oMath>
      <w:r>
        <w:t xml:space="preserve"> </w:t>
      </w:r>
      <w:r>
        <w:t xml:space="preserve">provides a 2-dimensional constraint (it lies on</w:t>
      </w:r>
      <w:r>
        <w:t xml:space="preserve"> </w:t>
      </w:r>
      <m:oMath>
        <m:sSup>
          <m:e>
            <m:r>
              <m:rPr>
                <m:sty m:val="p"/>
                <m:scr m:val="double-struck"/>
              </m:rPr>
              <m:t>S</m:t>
            </m:r>
          </m:e>
          <m:sup>
            <m:r>
              <m:t>2</m:t>
            </m:r>
          </m:sup>
        </m:sSup>
      </m:oMath>
      <w:r>
        <w:t xml:space="preserve">, a 2-sphere, but is measured as a unit vector in</w:t>
      </w:r>
      <w:r>
        <w:t xml:space="preserve"> </w:t>
      </w:r>
      <m:oMath>
        <m:sSup>
          <m:e>
            <m:r>
              <m:rPr>
                <m:sty m:val="p"/>
                <m:scr m:val="double-struck"/>
              </m:rPr>
              <m:t>R</m:t>
            </m:r>
          </m:e>
          <m:sup>
            <m:r>
              <m:t>3</m:t>
            </m:r>
          </m:sup>
        </m:sSup>
      </m:oMath>
      <w:r>
        <w:t xml:space="preserve">, giving 2 independent components). The configuration space has</w:t>
      </w:r>
      <w:r>
        <w:t xml:space="preserve"> </w:t>
      </w:r>
      <m:oMath>
        <m:r>
          <m:t>3</m:t>
        </m:r>
        <m:r>
          <m:t>n</m:t>
        </m:r>
      </m:oMath>
      <w:r>
        <w:t xml:space="preserve"> </w:t>
      </w:r>
      <w:r>
        <w:t xml:space="preserve">degrees of freedom, minus 4 trivial dimensions, yielding</w:t>
      </w:r>
      <w:r>
        <w:t xml:space="preserve"> </w:t>
      </w:r>
      <m:oMath>
        <m:r>
          <m:t>3</m:t>
        </m:r>
        <m:r>
          <m:t>n</m:t>
        </m:r>
        <m:r>
          <m:rPr>
            <m:sty m:val="p"/>
          </m:rPr>
          <m:t>−</m:t>
        </m:r>
        <m:r>
          <m:t>4</m:t>
        </m:r>
      </m:oMath>
      <w:r>
        <w:t xml:space="preserve"> </w:t>
      </w:r>
      <w:r>
        <w:t xml:space="preserve">geometric degrees of freedom. To fix these, we require:</w:t>
      </w:r>
    </w:p>
    <w:p>
      <w:pPr>
        <w:pStyle w:val="BodyText"/>
      </w:pPr>
      <m:oMathPara>
        <m:oMathParaPr>
          <m:jc m:val="center"/>
        </m:oMathParaPr>
        <m:oMath>
          <m:r>
            <m:t>2</m:t>
          </m:r>
          <m:r>
            <m:t>m</m:t>
          </m:r>
          <m:r>
            <m:rPr>
              <m:sty m:val="p"/>
            </m:rPr>
            <m:t>≥</m:t>
          </m:r>
          <m:r>
            <m:t>3</m:t>
          </m:r>
          <m:r>
            <m:t>n</m:t>
          </m:r>
          <m:r>
            <m:rPr>
              <m:sty m:val="p"/>
            </m:rPr>
            <m:t>−</m:t>
          </m:r>
          <m:r>
            <m:t>4</m:t>
          </m:r>
          <m:r>
            <m:t> </m:t>
          </m:r>
          <m:r>
            <m:rPr>
              <m:sty m:val="p"/>
            </m:rPr>
            <m:t>⇒</m:t>
          </m:r>
          <m:r>
            <m:t> </m:t>
          </m:r>
          <m:r>
            <m:t>m</m:t>
          </m:r>
          <m:r>
            <m:rPr>
              <m:sty m:val="p"/>
            </m:rPr>
            <m:t>≥</m:t>
          </m:r>
          <m:f>
            <m:fPr>
              <m:type m:val="bar"/>
            </m:fPr>
            <m:num>
              <m:r>
                <m:t>3</m:t>
              </m:r>
              <m:r>
                <m:t>n</m:t>
              </m:r>
              <m:r>
                <m:rPr>
                  <m:sty m:val="p"/>
                </m:rPr>
                <m:t>−</m:t>
              </m:r>
              <m:r>
                <m:t>4</m:t>
              </m:r>
            </m:num>
            <m:den>
              <m:r>
                <m:t>2</m:t>
              </m:r>
            </m:den>
          </m:f>
          <m:r>
            <m:rPr>
              <m:sty m:val="p"/>
            </m:rPr>
            <m:t>≈</m:t>
          </m:r>
          <m:r>
            <m:t>1.5</m:t>
          </m:r>
          <m:r>
            <m:t>n</m:t>
          </m:r>
          <m:r>
            <m:rPr>
              <m:sty m:val="p"/>
            </m:rPr>
            <m:t>.</m:t>
          </m:r>
        </m:oMath>
      </m:oMathPara>
    </w:p>
    <w:p>
      <w:pPr>
        <w:pStyle w:val="FirstParagraph"/>
      </w:pPr>
      <w:r>
        <w:t xml:space="preserve">This gives an</w:t>
      </w:r>
      <w:r>
        <w:t xml:space="preserve"> </w:t>
      </w:r>
      <w:r>
        <w:rPr>
          <w:iCs/>
          <w:i/>
        </w:rPr>
        <w:t xml:space="preserve">average degree</w:t>
      </w:r>
      <w:r>
        <w:t xml:space="preserve"> </w:t>
      </w:r>
      <w:r>
        <w:t xml:space="preserve">of approximately 3—far fewer than the 12 neighbors used in PLATO. The discrepancy arises because:</w:t>
      </w:r>
    </w:p>
    <w:p>
      <w:pPr>
        <w:numPr>
          <w:ilvl w:val="0"/>
          <w:numId w:val="1010"/>
        </w:numPr>
      </w:pPr>
      <w:r>
        <w:rPr>
          <w:bCs/>
          <w:b/>
        </w:rPr>
        <w:t xml:space="preserve">The above counts local, not global, rigidity.</w:t>
      </w:r>
      <w:r>
        <w:t xml:space="preserve"> </w:t>
      </w:r>
      <w:r>
        <w:t xml:space="preserve">Laman’s theorem (1970) for 2D distance rigidity and its bearing analogs require edge counts sufficient to prevent all flexes. In 3D, the combinatorial characterization is more subtle, and generic rigidity typically requires</w:t>
      </w:r>
      <w:r>
        <w:t xml:space="preserve"> </w:t>
      </w:r>
      <m:oMath>
        <m:r>
          <m:t>m</m:t>
        </m:r>
        <m:r>
          <m:rPr>
            <m:sty m:val="p"/>
          </m:rPr>
          <m:t>≥</m:t>
        </m:r>
        <m:r>
          <m:t>2</m:t>
        </m:r>
        <m:r>
          <m:t>n</m:t>
        </m:r>
      </m:oMath>
      <w:r>
        <w:t xml:space="preserve"> </w:t>
      </w:r>
      <w:r>
        <w:t xml:space="preserve">edges for bearing frameworks (Zhao et al. 2017, Theorem 6), yielding an average degree of ~4.</w:t>
      </w:r>
    </w:p>
    <w:p>
      <w:pPr>
        <w:numPr>
          <w:ilvl w:val="0"/>
          <w:numId w:val="1010"/>
        </w:numPr>
      </w:pPr>
      <w:r>
        <w:rPr>
          <w:bCs/>
          <w:b/>
        </w:rPr>
        <w:t xml:space="preserve">Bearing patterns matter.</w:t>
      </w:r>
      <w:r>
        <w:t xml:space="preserve"> </w:t>
      </w:r>
      <w:r>
        <w:t xml:space="preserve">In practice, a node with only 4 neighbors may have coplanar bearings, creating degeneracies in the rigidity matrix. To ensure</w:t>
      </w:r>
      <w:r>
        <w:t xml:space="preserve"> </w:t>
      </w:r>
      <w:r>
        <w:rPr>
          <w:iCs/>
          <w:i/>
        </w:rPr>
        <w:t xml:space="preserve">generic</w:t>
      </w:r>
      <w:r>
        <w:t xml:space="preserve"> </w:t>
      </w:r>
      <w:r>
        <w:t xml:space="preserve">rigidity with high probability in random 3D configurations—where bearings may cluster, align, or otherwise fail to provide full-rank constraints—substantially more edges are needed.</w:t>
      </w:r>
    </w:p>
    <w:p>
      <w:pPr>
        <w:numPr>
          <w:ilvl w:val="0"/>
          <w:numId w:val="1010"/>
        </w:numPr>
      </w:pPr>
      <w:r>
        <w:rPr>
          <w:bCs/>
          <w:b/>
        </w:rPr>
        <w:t xml:space="preserve">The 12-neighbor bound.</w:t>
      </w:r>
      <w:r>
        <w:t xml:space="preserve"> </w:t>
      </w:r>
      <w:r>
        <w:t xml:space="preserve">Each node has 3 degrees of freedom in its orientation relative to the network. Each neighbor provides a bearing, which contributes 1 effective constraint on the node’s orientation once translation and scale are factored out. To fully constrain a node’s orientation in 3D requires at least 3 independent bearings, but to ensure</w:t>
      </w:r>
      <w:r>
        <w:t xml:space="preserve"> </w:t>
      </w:r>
      <w:r>
        <w:rPr>
          <w:iCs/>
          <w:i/>
        </w:rPr>
        <w:t xml:space="preserve">global</w:t>
      </w:r>
      <w:r>
        <w:t xml:space="preserve"> </w:t>
      </w:r>
      <w:r>
        <w:t xml:space="preserve">rigidity with redundancy against measurement noise, node dropout, and adversarial manipulation, PLATO’s trust architecture demands that every node maintain bearings to up to 12 neighbors. This provides sufficient over-constraint that the bearing rigidity matrix achieves full rank</w:t>
      </w:r>
      <w:r>
        <w:t xml:space="preserve"> </w:t>
      </w:r>
      <m:oMath>
        <m:r>
          <m:t>3</m:t>
        </m:r>
        <m:r>
          <m:t>n</m:t>
        </m:r>
        <m:r>
          <m:rPr>
            <m:sty m:val="p"/>
          </m:rPr>
          <m:t>−</m:t>
        </m:r>
        <m:r>
          <m:t>4</m:t>
        </m:r>
      </m:oMath>
      <w:r>
        <w:t xml:space="preserve"> </w:t>
      </w:r>
      <w:r>
        <w:t xml:space="preserve">generically, and the network’s geometry is unambiguously fixed.</w:t>
      </w:r>
    </w:p>
    <w:p>
      <w:r>
        <w:pict>
          <v:rect style="width:0;height:1.5pt" o:hralign="center" o:hrstd="t" o:hr="t"/>
        </w:pict>
      </w:r>
    </w:p>
    <w:bookmarkEnd w:id="119"/>
    <w:bookmarkEnd w:id="120"/>
    <w:bookmarkStart w:id="123" w:name="e.3-holonomy-in-mathrmso3"/>
    <w:p>
      <w:pPr>
        <w:pStyle w:val="Heading2"/>
      </w:pPr>
      <w:r>
        <w:t xml:space="preserve">E.3 Holonomy in</w:t>
      </w:r>
      <w:r>
        <w:t xml:space="preserve"> </w:t>
      </w:r>
      <m:oMath>
        <m:r>
          <m:rPr>
            <m:sty m:val="p"/>
          </m:rPr>
          <m:t>S</m:t>
        </m:r>
        <m:r>
          <m:rPr>
            <m:sty m:val="p"/>
          </m:rPr>
          <m:t>O</m:t>
        </m:r>
        <m:d>
          <m:dPr>
            <m:begChr m:val="("/>
            <m:endChr m:val=")"/>
            <m:sepChr m:val=""/>
            <m:grow/>
          </m:dPr>
          <m:e>
            <m:r>
              <m:t>3</m:t>
            </m:r>
          </m:e>
        </m:d>
      </m:oMath>
    </w:p>
    <w:bookmarkStart w:id="121" w:name="e.3.1-parallel-transport-along-edges"/>
    <w:p>
      <w:pPr>
        <w:pStyle w:val="Heading3"/>
      </w:pPr>
      <w:r>
        <w:t xml:space="preserve">E.3.1 Parallel Transport Along Edges</w:t>
      </w:r>
    </w:p>
    <w:p>
      <w:pPr>
        <w:pStyle w:val="FirstParagraph"/>
      </w:pPr>
      <w:r>
        <w:t xml:space="preserve">Let each node</w:t>
      </w:r>
      <w:r>
        <w:t xml:space="preserve"> </w:t>
      </w:r>
      <m:oMath>
        <m:r>
          <m:t>i</m:t>
        </m:r>
        <m:r>
          <m:rPr>
            <m:sty m:val="p"/>
          </m:rPr>
          <m:t>∈</m:t>
        </m:r>
        <m:r>
          <m:t>V</m:t>
        </m:r>
      </m:oMath>
      <w:r>
        <w:t xml:space="preserve"> </w:t>
      </w:r>
      <w:r>
        <w:t xml:space="preserve">maintain a local coordinate frame, represented by a rotation matrix</w:t>
      </w:r>
      <w:r>
        <w:t xml:space="preserve"> </w:t>
      </w:r>
      <m:oMath>
        <m:sSub>
          <m:e>
            <m:r>
              <m:t>R</m:t>
            </m:r>
          </m:e>
          <m:sub>
            <m:r>
              <m:t>i</m:t>
            </m:r>
          </m:sub>
        </m:sSub>
        <m:r>
          <m:rPr>
            <m:sty m:val="p"/>
          </m:rPr>
          <m:t>∈</m:t>
        </m:r>
        <m:r>
          <m:rPr>
            <m:sty m:val="p"/>
          </m:rPr>
          <m:t>S</m:t>
        </m:r>
        <m:r>
          <m:rPr>
            <m:sty m:val="p"/>
          </m:rPr>
          <m:t>O</m:t>
        </m:r>
        <m:d>
          <m:dPr>
            <m:begChr m:val="("/>
            <m:endChr m:val=")"/>
            <m:sepChr m:val=""/>
            <m:grow/>
          </m:dPr>
          <m:e>
            <m:r>
              <m:t>3</m:t>
            </m:r>
          </m:e>
        </m:d>
      </m:oMath>
      <w:r>
        <w:t xml:space="preserve">. The</w:t>
      </w:r>
      <w:r>
        <w:t xml:space="preserve"> </w:t>
      </w:r>
      <w:r>
        <w:rPr>
          <w:bCs/>
          <w:b/>
        </w:rPr>
        <w:t xml:space="preserve">edge state</w:t>
      </w:r>
      <w:r>
        <w:t xml:space="preserve"> </w:t>
      </w:r>
      <w:r>
        <w:t xml:space="preserve">on</w:t>
      </w:r>
      <w:r>
        <w:t xml:space="preserve"> </w:t>
      </w:r>
      <m:oMath>
        <m:r>
          <m:rPr>
            <m:sty m:val="p"/>
          </m:rPr>
          <m:t>{</m:t>
        </m:r>
        <m:r>
          <m:t>i</m:t>
        </m:r>
        <m:r>
          <m:rPr>
            <m:sty m:val="p"/>
          </m:rPr>
          <m:t>,</m:t>
        </m:r>
        <m:r>
          <m:t>j</m:t>
        </m:r>
        <m:r>
          <m:rPr>
            <m:sty m:val="p"/>
          </m:rPr>
          <m:t>}</m:t>
        </m:r>
      </m:oMath>
      <w:r>
        <w:t xml:space="preserve"> </w:t>
      </w:r>
      <w:r>
        <w:t xml:space="preserve">is a relative rotation</w:t>
      </w:r>
      <w:r>
        <w:t xml:space="preserve"> </w:t>
      </w:r>
      <m:oMath>
        <m:sSub>
          <m:e>
            <m:r>
              <m:t>R</m:t>
            </m:r>
          </m:e>
          <m:sub>
            <m:r>
              <m:t>i</m:t>
            </m:r>
            <m:r>
              <m:t>j</m:t>
            </m:r>
          </m:sub>
        </m:sSub>
        <m:r>
          <m:rPr>
            <m:sty m:val="p"/>
          </m:rPr>
          <m:t>∈</m:t>
        </m:r>
        <m:r>
          <m:rPr>
            <m:sty m:val="p"/>
          </m:rPr>
          <m:t>S</m:t>
        </m:r>
        <m:r>
          <m:rPr>
            <m:sty m:val="p"/>
          </m:rPr>
          <m:t>O</m:t>
        </m:r>
        <m:d>
          <m:dPr>
            <m:begChr m:val="("/>
            <m:endChr m:val=")"/>
            <m:sepChr m:val=""/>
            <m:grow/>
          </m:dPr>
          <m:e>
            <m:r>
              <m:t>3</m:t>
            </m:r>
          </m:e>
        </m:d>
      </m:oMath>
      <w:r>
        <w:t xml:space="preserve"> </w:t>
      </w:r>
      <w:r>
        <w:t xml:space="preserve">describing the orientation of</w:t>
      </w:r>
      <w:r>
        <w:t xml:space="preserve"> </w:t>
      </w:r>
      <m:oMath>
        <m:r>
          <m:t>j</m:t>
        </m:r>
      </m:oMath>
      <w:r>
        <w:t xml:space="preserve">’s frame as seen from</w:t>
      </w:r>
      <w:r>
        <w:t xml:space="preserve"> </w:t>
      </w:r>
      <m:oMath>
        <m:r>
          <m:t>i</m:t>
        </m:r>
      </m:oMath>
      <w:r>
        <w:t xml:space="preserve">.</w:t>
      </w:r>
    </w:p>
    <w:p>
      <w:pPr>
        <w:pStyle w:val="BodyText"/>
      </w:pPr>
      <w:r>
        <w:t xml:space="preserve">If the network is embedded in</w:t>
      </w:r>
      <w:r>
        <w:t xml:space="preserve"> </w:t>
      </w:r>
      <m:oMath>
        <m:sSup>
          <m:e>
            <m:r>
              <m:rPr>
                <m:sty m:val="p"/>
                <m:scr m:val="double-struck"/>
              </m:rPr>
              <m:t>R</m:t>
            </m:r>
          </m:e>
          <m:sup>
            <m:r>
              <m:t>3</m:t>
            </m:r>
          </m:sup>
        </m:sSup>
      </m:oMath>
      <w:r>
        <w:t xml:space="preserve"> </w:t>
      </w:r>
      <w:r>
        <w:t xml:space="preserve">with positions</w:t>
      </w:r>
      <w:r>
        <w:t xml:space="preserve"> </w:t>
      </w:r>
      <m:oMath>
        <m:r>
          <m:rPr>
            <m:sty m:val="b"/>
          </m:rPr>
          <m:t>p</m:t>
        </m:r>
      </m:oMath>
      <w:r>
        <w:t xml:space="preserve">, the edge bearings</w:t>
      </w:r>
      <w:r>
        <w:t xml:space="preserve"> </w:t>
      </w:r>
      <m:oMath>
        <m:sSub>
          <m:e>
            <m:r>
              <m:rPr>
                <m:sty m:val="b"/>
              </m:rPr>
              <m:t>g</m:t>
            </m:r>
          </m:e>
          <m:sub>
            <m:r>
              <m:t>i</m:t>
            </m:r>
            <m:r>
              <m:t>j</m:t>
            </m:r>
          </m:sub>
        </m:sSub>
      </m:oMath>
      <w:r>
        <w:t xml:space="preserve"> </w:t>
      </w:r>
      <w:r>
        <w:t xml:space="preserve">determine the relative orientation of the nodes. Specifically, define the</w:t>
      </w:r>
      <w:r>
        <w:t xml:space="preserve"> </w:t>
      </w:r>
      <w:r>
        <w:rPr>
          <w:bCs/>
          <w:b/>
        </w:rPr>
        <w:t xml:space="preserve">parallel transport operator</w:t>
      </w:r>
      <w:r>
        <w:t xml:space="preserve"> </w:t>
      </w:r>
      <w:r>
        <w:t xml:space="preserve">along edge</w:t>
      </w:r>
      <w:r>
        <w:t xml:space="preserve"> </w:t>
      </w:r>
      <m:oMath>
        <m:r>
          <m:rPr>
            <m:sty m:val="p"/>
          </m:rPr>
          <m:t>{</m:t>
        </m:r>
        <m:r>
          <m:t>i</m:t>
        </m:r>
        <m:r>
          <m:rPr>
            <m:sty m:val="p"/>
          </m:rPr>
          <m:t>,</m:t>
        </m:r>
        <m:r>
          <m:t>j</m:t>
        </m:r>
        <m:r>
          <m:rPr>
            <m:sty m:val="p"/>
          </m:rPr>
          <m:t>}</m:t>
        </m:r>
      </m:oMath>
      <w:r>
        <w:t xml:space="preserve"> </w:t>
      </w:r>
      <w:r>
        <w:t xml:space="preserve">as the rotation matrix that aligns</w:t>
      </w:r>
      <w:r>
        <w:t xml:space="preserve"> </w:t>
      </w:r>
      <m:oMath>
        <m:r>
          <m:t>i</m:t>
        </m:r>
      </m:oMath>
      <w:r>
        <w:t xml:space="preserve">’s local frame with</w:t>
      </w:r>
      <w:r>
        <w:t xml:space="preserve"> </w:t>
      </w:r>
      <m:oMath>
        <m:r>
          <m:t>j</m:t>
        </m:r>
      </m:oMath>
      <w:r>
        <w:t xml:space="preserve">’s local frame, given the geometric bearing between them:</w:t>
      </w:r>
    </w:p>
    <w:p>
      <w:pPr>
        <w:pStyle w:val="BodyText"/>
      </w:pPr>
      <m:oMathPara>
        <m:oMathParaPr>
          <m:jc m:val="center"/>
        </m:oMathParaPr>
        <m:oMath>
          <m:sSub>
            <m:e>
              <m:r>
                <m:rPr>
                  <m:sty m:val="p"/>
                  <m:scr m:val="script"/>
                </m:rPr>
                <m:t>T</m:t>
              </m:r>
            </m:e>
            <m:sub>
              <m:r>
                <m:t>i</m:t>
              </m:r>
              <m:r>
                <m:t>j</m:t>
              </m:r>
            </m:sub>
          </m:sSub>
          <m:r>
            <m:rPr>
              <m:sty m:val="p"/>
            </m:rPr>
            <m:t>:</m:t>
          </m:r>
          <m:r>
            <m:rPr>
              <m:sty m:val="p"/>
            </m:rPr>
            <m:t>S</m:t>
          </m:r>
          <m:r>
            <m:rPr>
              <m:sty m:val="p"/>
            </m:rPr>
            <m:t>O</m:t>
          </m:r>
          <m:d>
            <m:dPr>
              <m:begChr m:val="("/>
              <m:endChr m:val=")"/>
              <m:sepChr m:val=""/>
              <m:grow/>
            </m:dPr>
            <m:e>
              <m:r>
                <m:t>3</m:t>
              </m:r>
            </m:e>
          </m:d>
          <m:r>
            <m:rPr>
              <m:sty m:val="p"/>
            </m:rPr>
            <m:t>→</m:t>
          </m:r>
          <m:r>
            <m:rPr>
              <m:sty m:val="p"/>
            </m:rPr>
            <m:t>S</m:t>
          </m:r>
          <m:r>
            <m:rPr>
              <m:sty m:val="p"/>
            </m:rPr>
            <m:t>O</m:t>
          </m:r>
          <m:d>
            <m:dPr>
              <m:begChr m:val="("/>
              <m:endChr m:val=")"/>
              <m:sepChr m:val=""/>
              <m:grow/>
            </m:dPr>
            <m:e>
              <m:r>
                <m:t>3</m:t>
              </m:r>
            </m:e>
          </m:d>
          <m:r>
            <m:rPr>
              <m:sty m:val="p"/>
            </m:rPr>
            <m:t>,</m:t>
          </m:r>
          <m:r>
            <m:t>  </m:t>
          </m:r>
          <m:sSub>
            <m:e>
              <m:r>
                <m:rPr>
                  <m:sty m:val="p"/>
                  <m:scr m:val="script"/>
                </m:rPr>
                <m:t>T</m:t>
              </m:r>
            </m:e>
            <m:sub>
              <m:r>
                <m:t>i</m:t>
              </m:r>
              <m:r>
                <m:t>j</m:t>
              </m:r>
            </m:sub>
          </m:sSub>
          <m:d>
            <m:dPr>
              <m:begChr m:val="("/>
              <m:endChr m:val=")"/>
              <m:sepChr m:val=""/>
              <m:grow/>
            </m:dPr>
            <m:e>
              <m:r>
                <m:t>R</m:t>
              </m:r>
            </m:e>
          </m:d>
          <m:r>
            <m:rPr>
              <m:sty m:val="p"/>
            </m:rPr>
            <m:t>=</m:t>
          </m:r>
          <m:sSub>
            <m:e>
              <m:r>
                <m:t>R</m:t>
              </m:r>
            </m:e>
            <m:sub>
              <m:r>
                <m:t>i</m:t>
              </m:r>
              <m:r>
                <m:t>j</m:t>
              </m:r>
            </m:sub>
          </m:sSub>
          <m:r>
            <m:t>R</m:t>
          </m:r>
          <m:r>
            <m:rPr>
              <m:sty m:val="p"/>
            </m:rPr>
            <m:t>,</m:t>
          </m:r>
        </m:oMath>
      </m:oMathPara>
    </w:p>
    <w:p>
      <w:pPr>
        <w:pStyle w:val="FirstParagraph"/>
      </w:pPr>
      <w:r>
        <w:t xml:space="preserve">where</w:t>
      </w:r>
      <w:r>
        <w:t xml:space="preserve"> </w:t>
      </w:r>
      <m:oMath>
        <m:sSub>
          <m:e>
            <m:r>
              <m:t>R</m:t>
            </m:r>
          </m:e>
          <m:sub>
            <m:r>
              <m:t>i</m:t>
            </m:r>
            <m:r>
              <m:t>j</m:t>
            </m:r>
          </m:sub>
        </m:sSub>
      </m:oMath>
      <w:r>
        <w:t xml:space="preserve"> </w:t>
      </w:r>
      <w:r>
        <w:t xml:space="preserve">is computed from the bearing</w:t>
      </w:r>
      <w:r>
        <w:t xml:space="preserve"> </w:t>
      </w:r>
      <m:oMath>
        <m:sSub>
          <m:e>
            <m:r>
              <m:rPr>
                <m:sty m:val="b"/>
              </m:rPr>
              <m:t>g</m:t>
            </m:r>
          </m:e>
          <m:sub>
            <m:r>
              <m:t>i</m:t>
            </m:r>
            <m:r>
              <m:t>j</m:t>
            </m:r>
          </m:sub>
        </m:sSub>
      </m:oMath>
      <w:r>
        <w:t xml:space="preserve"> </w:t>
      </w:r>
      <w:r>
        <w:t xml:space="preserve">and the nodes’ chosen reference orientations. In the holonomy consensus protocol (Chapter 10),</w:t>
      </w:r>
      <w:r>
        <w:t xml:space="preserve"> </w:t>
      </w:r>
      <m:oMath>
        <m:sSub>
          <m:e>
            <m:r>
              <m:t>R</m:t>
            </m:r>
          </m:e>
          <m:sub>
            <m:r>
              <m:t>i</m:t>
            </m:r>
            <m:r>
              <m:t>j</m:t>
            </m:r>
          </m:sub>
        </m:sSub>
      </m:oMath>
      <w:r>
        <w:t xml:space="preserve"> </w:t>
      </w:r>
      <w:r>
        <w:t xml:space="preserve">is the reported relative rotation; consistency requires</w:t>
      </w:r>
      <w:r>
        <w:t xml:space="preserve"> </w:t>
      </w:r>
      <m:oMath>
        <m:sSub>
          <m:e>
            <m:r>
              <m:t>R</m:t>
            </m:r>
          </m:e>
          <m:sub>
            <m:r>
              <m:t>i</m:t>
            </m:r>
            <m:r>
              <m:t>j</m:t>
            </m:r>
          </m:sub>
        </m:sSub>
        <m:r>
          <m:rPr>
            <m:sty m:val="p"/>
          </m:rPr>
          <m:t>=</m:t>
        </m:r>
        <m:sSubSup>
          <m:e>
            <m:r>
              <m:t>R</m:t>
            </m:r>
          </m:e>
          <m:sub>
            <m:r>
              <m:t>j</m:t>
            </m:r>
            <m:r>
              <m:t>i</m:t>
            </m:r>
          </m:sub>
          <m:sup>
            <m:r>
              <m:rPr>
                <m:sty m:val="p"/>
              </m:rPr>
              <m:t>−</m:t>
            </m:r>
            <m:r>
              <m:t>1</m:t>
            </m:r>
          </m:sup>
        </m:sSubSup>
      </m:oMath>
      <w:r>
        <w:t xml:space="preserve">.</w:t>
      </w:r>
    </w:p>
    <w:bookmarkEnd w:id="121"/>
    <w:bookmarkStart w:id="122" w:name="e.3.2-cycle-holonomy"/>
    <w:p>
      <w:pPr>
        <w:pStyle w:val="Heading3"/>
      </w:pPr>
      <w:r>
        <w:t xml:space="preserve">E.3.2 Cycle Holonomy</w:t>
      </w:r>
    </w:p>
    <w:p>
      <w:pPr>
        <w:pStyle w:val="FirstParagraph"/>
      </w:pPr>
      <w:r>
        <w:t xml:space="preserve">Let</w:t>
      </w:r>
      <w:r>
        <w:t xml:space="preserve"> </w:t>
      </w:r>
      <m:oMath>
        <m:r>
          <m:t>γ</m:t>
        </m:r>
        <m:r>
          <m:rPr>
            <m:sty m:val="p"/>
          </m:rPr>
          <m:t>=</m:t>
        </m:r>
        <m:d>
          <m:dPr>
            <m:begChr m:val="("/>
            <m:endChr m:val=")"/>
            <m:sepChr m:val=""/>
            <m:grow/>
          </m:dPr>
          <m:e>
            <m:sSub>
              <m:e>
                <m:r>
                  <m:t>e</m:t>
                </m:r>
              </m:e>
              <m:sub>
                <m:r>
                  <m:t>1</m:t>
                </m:r>
              </m:sub>
            </m:sSub>
            <m:r>
              <m:rPr>
                <m:sty m:val="p"/>
              </m:rPr>
              <m:t>,</m:t>
            </m:r>
            <m:sSub>
              <m:e>
                <m:r>
                  <m:t>e</m:t>
                </m:r>
              </m:e>
              <m:sub>
                <m:r>
                  <m:t>2</m:t>
                </m:r>
              </m:sub>
            </m:sSub>
            <m:r>
              <m:rPr>
                <m:sty m:val="p"/>
              </m:rPr>
              <m:t>,</m:t>
            </m:r>
            <m:r>
              <m:rPr>
                <m:sty m:val="p"/>
              </m:rPr>
              <m:t>…</m:t>
            </m:r>
            <m:r>
              <m:rPr>
                <m:sty m:val="p"/>
              </m:rPr>
              <m:t>,</m:t>
            </m:r>
            <m:sSub>
              <m:e>
                <m:r>
                  <m:t>e</m:t>
                </m:r>
              </m:e>
              <m:sub>
                <m:r>
                  <m:t>k</m:t>
                </m:r>
              </m:sub>
            </m:sSub>
          </m:e>
        </m:d>
      </m:oMath>
      <w:r>
        <w:t xml:space="preserve"> </w:t>
      </w:r>
      <w:r>
        <w:t xml:space="preserve">be a directed cycle in</w:t>
      </w:r>
      <w:r>
        <w:t xml:space="preserve"> </w:t>
      </w:r>
      <m:oMath>
        <m:r>
          <m:t>G</m:t>
        </m:r>
      </m:oMath>
      <w:r>
        <w:t xml:space="preserve">, where each</w:t>
      </w:r>
      <w:r>
        <w:t xml:space="preserve"> </w:t>
      </w:r>
      <m:oMath>
        <m:sSub>
          <m:e>
            <m:r>
              <m:t>e</m:t>
            </m:r>
          </m:e>
          <m:sub>
            <m:r>
              <m:rPr>
                <m:sty m:val="p"/>
              </m:rPr>
              <m:t>ℓ</m:t>
            </m:r>
          </m:sub>
        </m:sSub>
        <m:r>
          <m:rPr>
            <m:sty m:val="p"/>
          </m:rPr>
          <m:t>=</m:t>
        </m:r>
        <m:d>
          <m:dPr>
            <m:begChr m:val="("/>
            <m:endChr m:val=")"/>
            <m:sepChr m:val=""/>
            <m:grow/>
          </m:dPr>
          <m:e>
            <m:sSub>
              <m:e>
                <m:r>
                  <m:t>v</m:t>
                </m:r>
              </m:e>
              <m:sub>
                <m:r>
                  <m:rPr>
                    <m:sty m:val="p"/>
                  </m:rPr>
                  <m:t>ℓ</m:t>
                </m:r>
              </m:sub>
            </m:sSub>
            <m:r>
              <m:rPr>
                <m:sty m:val="p"/>
              </m:rPr>
              <m:t>,</m:t>
            </m:r>
            <m:sSub>
              <m:e>
                <m:r>
                  <m:t>v</m:t>
                </m:r>
              </m:e>
              <m:sub>
                <m:r>
                  <m:rPr>
                    <m:sty m:val="p"/>
                  </m:rPr>
                  <m:t>ℓ</m:t>
                </m:r>
                <m:r>
                  <m:rPr>
                    <m:sty m:val="p"/>
                  </m:rPr>
                  <m:t>+</m:t>
                </m:r>
                <m:r>
                  <m:t>1</m:t>
                </m:r>
              </m:sub>
            </m:sSub>
          </m:e>
        </m:d>
      </m:oMath>
      <w:r>
        <w:t xml:space="preserve"> </w:t>
      </w:r>
      <w:r>
        <w:t xml:space="preserve">is a directed edge and</w:t>
      </w:r>
      <w:r>
        <w:t xml:space="preserve"> </w:t>
      </w:r>
      <m:oMath>
        <m:sSub>
          <m:e>
            <m:r>
              <m:t>v</m:t>
            </m:r>
          </m:e>
          <m:sub>
            <m:r>
              <m:t>k</m:t>
            </m:r>
            <m:r>
              <m:rPr>
                <m:sty m:val="p"/>
              </m:rPr>
              <m:t>+</m:t>
            </m:r>
            <m:r>
              <m:t>1</m:t>
            </m:r>
          </m:sub>
        </m:sSub>
        <m:r>
          <m:rPr>
            <m:sty m:val="p"/>
          </m:rPr>
          <m:t>=</m:t>
        </m:r>
        <m:sSub>
          <m:e>
            <m:r>
              <m:t>v</m:t>
            </m:r>
          </m:e>
          <m:sub>
            <m:r>
              <m:t>1</m:t>
            </m:r>
          </m:sub>
        </m:sSub>
      </m:oMath>
      <w:r>
        <w:t xml:space="preserve">. The</w:t>
      </w:r>
      <w:r>
        <w:t xml:space="preserve"> </w:t>
      </w:r>
      <w:r>
        <w:rPr>
          <w:bCs/>
          <w:b/>
        </w:rPr>
        <w:t xml:space="preserve">holonomy</w:t>
      </w:r>
      <w:r>
        <w:t xml:space="preserve"> </w:t>
      </w:r>
      <w:r>
        <w:t xml:space="preserve">of</w:t>
      </w:r>
      <w:r>
        <w:t xml:space="preserve"> </w:t>
      </w:r>
      <m:oMath>
        <m:r>
          <m:t>γ</m:t>
        </m:r>
      </m:oMath>
      <w:r>
        <w:t xml:space="preserve"> </w:t>
      </w:r>
      <w:r>
        <w:t xml:space="preserve">is the composition of parallel transport operators around the cycle:</w:t>
      </w:r>
    </w:p>
    <w:p>
      <w:pPr>
        <w:pStyle w:val="BodyText"/>
      </w:pPr>
      <m:oMathPara>
        <m:oMathParaPr>
          <m:jc m:val="center"/>
        </m:oMathParaPr>
        <m:oMath>
          <m:r>
            <m:rPr>
              <m:sty m:val="p"/>
            </m:rPr>
            <m:t>H</m:t>
          </m:r>
          <m:r>
            <m:rPr>
              <m:sty m:val="p"/>
            </m:rPr>
            <m:t>o</m:t>
          </m:r>
          <m:r>
            <m:rPr>
              <m:sty m:val="p"/>
            </m:rPr>
            <m:t>l</m:t>
          </m:r>
          <m:d>
            <m:dPr>
              <m:begChr m:val="("/>
              <m:endChr m:val=")"/>
              <m:sepChr m:val=""/>
              <m:grow/>
            </m:dPr>
            <m:e>
              <m:r>
                <m:t>γ</m:t>
              </m:r>
            </m:e>
          </m:d>
          <m:r>
            <m:rPr>
              <m:sty m:val="p"/>
            </m:rPr>
            <m:t>≜</m:t>
          </m:r>
          <m:sSub>
            <m:e>
              <m:r>
                <m:t>R</m:t>
              </m:r>
            </m:e>
            <m:sub>
              <m:sSub>
                <m:e>
                  <m:r>
                    <m:t>e</m:t>
                  </m:r>
                </m:e>
                <m:sub>
                  <m:r>
                    <m:t>k</m:t>
                  </m:r>
                </m:sub>
              </m:sSub>
            </m:sub>
          </m:sSub>
          <m:sSub>
            <m:e>
              <m:r>
                <m:t>R</m:t>
              </m:r>
            </m:e>
            <m:sub>
              <m:sSub>
                <m:e>
                  <m:r>
                    <m:t>e</m:t>
                  </m:r>
                </m:e>
                <m:sub>
                  <m:r>
                    <m:t>k</m:t>
                  </m:r>
                  <m:r>
                    <m:rPr>
                      <m:sty m:val="p"/>
                    </m:rPr>
                    <m:t>−</m:t>
                  </m:r>
                  <m:r>
                    <m:t>1</m:t>
                  </m:r>
                </m:sub>
              </m:sSub>
            </m:sub>
          </m:sSub>
          <m:r>
            <m:rPr>
              <m:sty m:val="p"/>
            </m:rPr>
            <m:t>⋯</m:t>
          </m:r>
          <m:sSub>
            <m:e>
              <m:r>
                <m:t>R</m:t>
              </m:r>
            </m:e>
            <m:sub>
              <m:sSub>
                <m:e>
                  <m:r>
                    <m:t>e</m:t>
                  </m:r>
                </m:e>
                <m:sub>
                  <m:r>
                    <m:t>1</m:t>
                  </m:r>
                </m:sub>
              </m:sSub>
            </m:sub>
          </m:sSub>
          <m:r>
            <m:rPr>
              <m:sty m:val="p"/>
            </m:rPr>
            <m:t>∈</m:t>
          </m:r>
          <m:r>
            <m:rPr>
              <m:sty m:val="p"/>
            </m:rPr>
            <m:t>S</m:t>
          </m:r>
          <m:r>
            <m:rPr>
              <m:sty m:val="p"/>
            </m:rPr>
            <m:t>O</m:t>
          </m:r>
          <m:d>
            <m:dPr>
              <m:begChr m:val="("/>
              <m:endChr m:val=")"/>
              <m:sepChr m:val=""/>
              <m:grow/>
            </m:dPr>
            <m:e>
              <m:r>
                <m:t>3</m:t>
              </m:r>
            </m:e>
          </m:d>
          <m:r>
            <m:rPr>
              <m:sty m:val="p"/>
            </m:rPr>
            <m:t>.</m:t>
          </m:r>
        </m:oMath>
      </m:oMathPara>
    </w:p>
    <w:p>
      <w:pPr>
        <w:pStyle w:val="FirstParagraph"/>
      </w:pPr>
      <w:r>
        <w:rPr>
          <w:bCs/>
          <w:b/>
        </w:rPr>
        <w:t xml:space="preserve">Zero holonomy</w:t>
      </w:r>
      <w:r>
        <w:t xml:space="preserve"> </w:t>
      </w:r>
      <w:r>
        <w:t xml:space="preserve">means</w:t>
      </w:r>
      <w:r>
        <w:t xml:space="preserve"> </w:t>
      </w:r>
      <m:oMath>
        <m:r>
          <m:rPr>
            <m:sty m:val="p"/>
          </m:rPr>
          <m:t>H</m:t>
        </m:r>
        <m:r>
          <m:rPr>
            <m:sty m:val="p"/>
          </m:rPr>
          <m:t>o</m:t>
        </m:r>
        <m:r>
          <m:rPr>
            <m:sty m:val="p"/>
          </m:rPr>
          <m:t>l</m:t>
        </m:r>
        <m:d>
          <m:dPr>
            <m:begChr m:val="("/>
            <m:endChr m:val=")"/>
            <m:sepChr m:val=""/>
            <m:grow/>
          </m:dPr>
          <m:e>
            <m:r>
              <m:t>γ</m:t>
            </m:r>
          </m:e>
        </m:d>
        <m:r>
          <m:rPr>
            <m:sty m:val="p"/>
          </m:rPr>
          <m:t>=</m:t>
        </m:r>
        <m:sSub>
          <m:e>
            <m:r>
              <m:t>I</m:t>
            </m:r>
          </m:e>
          <m:sub>
            <m:r>
              <m:t>3</m:t>
            </m:r>
          </m:sub>
        </m:sSub>
      </m:oMath>
      <w:r>
        <w:t xml:space="preserve"> </w:t>
      </w:r>
      <w:r>
        <w:t xml:space="preserve">for all cycles</w:t>
      </w:r>
      <w:r>
        <w:t xml:space="preserve"> </w:t>
      </w:r>
      <m:oMath>
        <m:r>
          <m:t>γ</m:t>
        </m:r>
      </m:oMath>
      <w:r>
        <w:t xml:space="preserve"> </w:t>
      </w:r>
      <w:r>
        <w:t xml:space="preserve">in</w:t>
      </w:r>
      <w:r>
        <w:t xml:space="preserve"> </w:t>
      </w:r>
      <m:oMath>
        <m:r>
          <m:t>G</m:t>
        </m:r>
      </m:oMath>
      <w:r>
        <w:t xml:space="preserve">. This is the geometric condition that parallel transport around any closed loop returns a vector to its original orientation.</w:t>
      </w:r>
    </w:p>
    <w:p>
      <w:pPr>
        <w:pStyle w:val="BodyText"/>
      </w:pPr>
      <w:r>
        <w:t xml:space="preserve">The problem is that</w:t>
      </w:r>
      <w:r>
        <w:t xml:space="preserve"> </w:t>
      </w:r>
      <m:oMath>
        <m:sSub>
          <m:e>
            <m:r>
              <m:t>R</m:t>
            </m:r>
          </m:e>
          <m:sub>
            <m:sSub>
              <m:e>
                <m:r>
                  <m:t>e</m:t>
                </m:r>
              </m:e>
              <m:sub>
                <m:r>
                  <m:rPr>
                    <m:sty m:val="p"/>
                  </m:rPr>
                  <m:t>ℓ</m:t>
                </m:r>
              </m:sub>
            </m:sSub>
          </m:sub>
        </m:sSub>
      </m:oMath>
      <w:r>
        <w:t xml:space="preserve"> </w:t>
      </w:r>
      <w:r>
        <w:t xml:space="preserve">depends on the</w:t>
      </w:r>
      <w:r>
        <w:t xml:space="preserve"> </w:t>
      </w:r>
      <w:r>
        <w:rPr>
          <w:iCs/>
          <w:i/>
        </w:rPr>
        <w:t xml:space="preserve">embedding</w:t>
      </w:r>
      <w:r>
        <w:t xml:space="preserve">: different configurations</w:t>
      </w:r>
      <w:r>
        <w:t xml:space="preserve"> </w:t>
      </w:r>
      <m:oMath>
        <m:r>
          <m:rPr>
            <m:sty m:val="b"/>
          </m:rPr>
          <m:t>p</m:t>
        </m:r>
        <m:r>
          <m:rPr>
            <m:sty m:val="p"/>
          </m:rPr>
          <m:t>,</m:t>
        </m:r>
        <m:r>
          <m:rPr>
            <m:sty m:val="b"/>
          </m:rPr>
          <m:t>p</m:t>
        </m:r>
        <m:r>
          <m:rPr>
            <m:sty m:val="p"/>
          </m:rPr>
          <m:t>′</m:t>
        </m:r>
      </m:oMath>
      <w:r>
        <w:t xml:space="preserve"> </w:t>
      </w:r>
      <w:r>
        <w:t xml:space="preserve">with the same edge states might yield different relative orientations, hence different</w:t>
      </w:r>
      <w:r>
        <w:t xml:space="preserve"> </w:t>
      </w:r>
      <m:oMath>
        <m:sSub>
          <m:e>
            <m:r>
              <m:t>R</m:t>
            </m:r>
          </m:e>
          <m:sub>
            <m:sSub>
              <m:e>
                <m:r>
                  <m:t>e</m:t>
                </m:r>
              </m:e>
              <m:sub>
                <m:r>
                  <m:rPr>
                    <m:sty m:val="p"/>
                  </m:rPr>
                  <m:t>ℓ</m:t>
                </m:r>
              </m:sub>
            </m:sSub>
          </m:sub>
        </m:sSub>
      </m:oMath>
      <w:r>
        <w:t xml:space="preserve">, hence different</w:t>
      </w:r>
      <w:r>
        <w:t xml:space="preserve"> </w:t>
      </w:r>
      <m:oMath>
        <m:r>
          <m:rPr>
            <m:sty m:val="p"/>
          </m:rPr>
          <m:t>H</m:t>
        </m:r>
        <m:r>
          <m:rPr>
            <m:sty m:val="p"/>
          </m:rPr>
          <m:t>o</m:t>
        </m:r>
        <m:r>
          <m:rPr>
            <m:sty m:val="p"/>
          </m:rPr>
          <m:t>l</m:t>
        </m:r>
        <m:d>
          <m:dPr>
            <m:begChr m:val="("/>
            <m:endChr m:val=")"/>
            <m:sepChr m:val=""/>
            <m:grow/>
          </m:dPr>
          <m:e>
            <m:r>
              <m:t>γ</m:t>
            </m:r>
          </m:e>
        </m:d>
      </m:oMath>
      <w:r>
        <w:t xml:space="preserve">. The Rigidity–Holonomy Bridge Theorem resolves this.</w:t>
      </w:r>
    </w:p>
    <w:p>
      <w:r>
        <w:pict>
          <v:rect style="width:0;height:1.5pt" o:hralign="center" o:hrstd="t" o:hr="t"/>
        </w:pict>
      </w:r>
    </w:p>
    <w:bookmarkEnd w:id="122"/>
    <w:bookmarkEnd w:id="123"/>
    <w:bookmarkStart w:id="129" w:name="e.4-the-rigidityholonomy-bridge-theorem"/>
    <w:p>
      <w:pPr>
        <w:pStyle w:val="Heading2"/>
      </w:pPr>
      <w:r>
        <w:t xml:space="preserve">E.4 The Rigidity–Holonomy Bridge Theorem</w:t>
      </w:r>
    </w:p>
    <w:bookmarkStart w:id="124" w:name="e.4.1-statement"/>
    <w:p>
      <w:pPr>
        <w:pStyle w:val="Heading3"/>
      </w:pPr>
      <w:r>
        <w:t xml:space="preserve">E.4.1 Statement</w:t>
      </w:r>
    </w:p>
    <w:p>
      <w:pPr>
        <w:pStyle w:val="BlockText"/>
      </w:pPr>
      <w:r>
        <w:rPr>
          <w:bCs/>
          <w:b/>
        </w:rPr>
        <w:t xml:space="preserve">Theorem E.3 (Rigidity–Holonomy Bridge).</w:t>
      </w:r>
      <w:r>
        <w:t xml:space="preserve"> </w:t>
      </w:r>
      <w:r>
        <w:t xml:space="preserve">Let</w:t>
      </w:r>
      <w:r>
        <w:t xml:space="preserve"> </w:t>
      </w:r>
      <m:oMath>
        <m:r>
          <m:t>G</m:t>
        </m:r>
        <m:r>
          <m:rPr>
            <m:sty m:val="p"/>
          </m:rPr>
          <m:t>=</m:t>
        </m:r>
        <m:d>
          <m:dPr>
            <m:begChr m:val="("/>
            <m:endChr m:val=")"/>
            <m:sepChr m:val=""/>
            <m:grow/>
          </m:dPr>
          <m:e>
            <m:r>
              <m:t>V</m:t>
            </m:r>
            <m:r>
              <m:rPr>
                <m:sty m:val="p"/>
              </m:rPr>
              <m:t>,</m:t>
            </m:r>
            <m:r>
              <m:t>E</m:t>
            </m:r>
          </m:e>
        </m:d>
      </m:oMath>
      <w:r>
        <w:t xml:space="preserve"> </w:t>
      </w:r>
      <w:r>
        <w:t xml:space="preserve">be a connected graph and</w:t>
      </w:r>
      <w:r>
        <w:t xml:space="preserve"> </w:t>
      </w:r>
      <m:oMath>
        <m:r>
          <m:rPr>
            <m:sty m:val="b"/>
          </m:rPr>
          <m:t>p</m:t>
        </m:r>
        <m:r>
          <m:rPr>
            <m:sty m:val="p"/>
          </m:rPr>
          <m:t>:</m:t>
        </m:r>
        <m:r>
          <m:t>V</m:t>
        </m:r>
        <m:r>
          <m:rPr>
            <m:sty m:val="p"/>
          </m:rPr>
          <m:t>→</m:t>
        </m:r>
        <m:sSup>
          <m:e>
            <m:r>
              <m:rPr>
                <m:sty m:val="p"/>
                <m:scr m:val="double-struck"/>
              </m:rPr>
              <m:t>R</m:t>
            </m:r>
          </m:e>
          <m:sup>
            <m:r>
              <m:t>3</m:t>
            </m:r>
          </m:sup>
        </m:sSup>
      </m:oMath>
      <w:r>
        <w:t xml:space="preserve"> </w:t>
      </w:r>
      <w:r>
        <w:t xml:space="preserve">be a generic embedding. Suppose the bearing framework</w:t>
      </w:r>
      <w:r>
        <w:t xml:space="preserve"> </w:t>
      </w:r>
      <m:oMath>
        <m:d>
          <m:dPr>
            <m:begChr m:val="("/>
            <m:endChr m:val=")"/>
            <m:sepChr m:val=""/>
            <m:grow/>
          </m:dPr>
          <m:e>
            <m:r>
              <m:t>G</m:t>
            </m:r>
            <m:r>
              <m:rPr>
                <m:sty m:val="p"/>
              </m:rPr>
              <m:t>,</m:t>
            </m:r>
            <m:r>
              <m:rPr>
                <m:sty m:val="b"/>
              </m:rPr>
              <m:t>p</m:t>
            </m:r>
          </m:e>
        </m:d>
      </m:oMath>
      <w:r>
        <w:t xml:space="preserve"> </w:t>
      </w:r>
      <w:r>
        <w:t xml:space="preserve">is bearing-rigid in</w:t>
      </w:r>
      <w:r>
        <w:t xml:space="preserve"> </w:t>
      </w:r>
      <m:oMath>
        <m:sSup>
          <m:e>
            <m:r>
              <m:rPr>
                <m:sty m:val="p"/>
                <m:scr m:val="double-struck"/>
              </m:rPr>
              <m:t>R</m:t>
            </m:r>
          </m:e>
          <m:sup>
            <m:r>
              <m:t>3</m:t>
            </m:r>
          </m:sup>
        </m:sSup>
      </m:oMath>
      <w:r>
        <w:t xml:space="preserve">. Then:</w:t>
      </w:r>
    </w:p>
    <w:p>
      <w:pPr>
        <w:pStyle w:val="BlockText"/>
      </w:pPr>
      <w:r>
        <w:rPr>
          <w:bCs/>
          <w:b/>
        </w:rPr>
        <w:t xml:space="preserve">(a)</w:t>
      </w:r>
      <w:r>
        <w:t xml:space="preserve"> </w:t>
      </w:r>
      <w:r>
        <w:t xml:space="preserve">(Well-definedness.) For any cycle</w:t>
      </w:r>
      <w:r>
        <w:t xml:space="preserve"> </w:t>
      </w:r>
      <m:oMath>
        <m:r>
          <m:t>γ</m:t>
        </m:r>
      </m:oMath>
      <w:r>
        <w:t xml:space="preserve"> </w:t>
      </w:r>
      <w:r>
        <w:t xml:space="preserve">in</w:t>
      </w:r>
      <w:r>
        <w:t xml:space="preserve"> </w:t>
      </w:r>
      <m:oMath>
        <m:r>
          <m:t>G</m:t>
        </m:r>
      </m:oMath>
      <w:r>
        <w:t xml:space="preserve">, the cycle holonomy</w:t>
      </w:r>
      <w:r>
        <w:t xml:space="preserve"> </w:t>
      </w:r>
      <m:oMath>
        <m:r>
          <m:rPr>
            <m:sty m:val="p"/>
          </m:rPr>
          <m:t>H</m:t>
        </m:r>
        <m:r>
          <m:rPr>
            <m:sty m:val="p"/>
          </m:rPr>
          <m:t>o</m:t>
        </m:r>
        <m:r>
          <m:rPr>
            <m:sty m:val="p"/>
          </m:rPr>
          <m:t>l</m:t>
        </m:r>
        <m:d>
          <m:dPr>
            <m:begChr m:val="("/>
            <m:endChr m:val=")"/>
            <m:sepChr m:val=""/>
            <m:grow/>
          </m:dPr>
          <m:e>
            <m:r>
              <m:t>γ</m:t>
            </m:r>
          </m:e>
        </m:d>
        <m:r>
          <m:rPr>
            <m:sty m:val="p"/>
          </m:rPr>
          <m:t>∈</m:t>
        </m:r>
        <m:r>
          <m:rPr>
            <m:sty m:val="p"/>
          </m:rPr>
          <m:t>S</m:t>
        </m:r>
        <m:r>
          <m:rPr>
            <m:sty m:val="p"/>
          </m:rPr>
          <m:t>O</m:t>
        </m:r>
        <m:d>
          <m:dPr>
            <m:begChr m:val="("/>
            <m:endChr m:val=")"/>
            <m:sepChr m:val=""/>
            <m:grow/>
          </m:dPr>
          <m:e>
            <m:r>
              <m:t>3</m:t>
            </m:r>
          </m:e>
        </m:d>
      </m:oMath>
      <w:r>
        <w:t xml:space="preserve"> </w:t>
      </w:r>
      <w:r>
        <w:t xml:space="preserve">is uniquely determined by the edge bearings and is independent of the choice of embedding within the bearing-equivalence class.</w:t>
      </w:r>
    </w:p>
    <w:p>
      <w:pPr>
        <w:pStyle w:val="BlockText"/>
      </w:pPr>
      <w:r>
        <w:rPr>
          <w:bCs/>
          <w:b/>
        </w:rPr>
        <w:t xml:space="preserve">(b)</w:t>
      </w:r>
      <w:r>
        <w:t xml:space="preserve"> </w:t>
      </w:r>
      <w:r>
        <w:t xml:space="preserve">(Consistency implies identity.) If all edge states are consistent—meaning the relative rotation reported by</w:t>
      </w:r>
      <w:r>
        <w:t xml:space="preserve"> </w:t>
      </w:r>
      <m:oMath>
        <m:r>
          <m:t>i</m:t>
        </m:r>
      </m:oMath>
      <w:r>
        <w:t xml:space="preserve"> </w:t>
      </w:r>
      <w:r>
        <w:t xml:space="preserve">for</w:t>
      </w:r>
      <w:r>
        <w:t xml:space="preserve"> </w:t>
      </w:r>
      <m:oMath>
        <m:r>
          <m:t>j</m:t>
        </m:r>
      </m:oMath>
      <w:r>
        <w:t xml:space="preserve"> </w:t>
      </w:r>
      <w:r>
        <w:t xml:space="preserve">equals the inverse of that reported by</w:t>
      </w:r>
      <w:r>
        <w:t xml:space="preserve"> </w:t>
      </w:r>
      <m:oMath>
        <m:r>
          <m:t>j</m:t>
        </m:r>
      </m:oMath>
      <w:r>
        <w:t xml:space="preserve"> </w:t>
      </w:r>
      <w:r>
        <w:t xml:space="preserve">for</w:t>
      </w:r>
      <w:r>
        <w:t xml:space="preserve"> </w:t>
      </w:r>
      <m:oMath>
        <m:r>
          <m:t>i</m:t>
        </m:r>
      </m:oMath>
      <w:r>
        <w:t xml:space="preserve">, i.e.,</w:t>
      </w:r>
      <w:r>
        <w:t xml:space="preserve"> </w:t>
      </w:r>
      <m:oMath>
        <m:sSub>
          <m:e>
            <m:r>
              <m:t>R</m:t>
            </m:r>
          </m:e>
          <m:sub>
            <m:r>
              <m:t>i</m:t>
            </m:r>
            <m:r>
              <m:t>j</m:t>
            </m:r>
          </m:sub>
        </m:sSub>
        <m:r>
          <m:rPr>
            <m:sty m:val="p"/>
          </m:rPr>
          <m:t>=</m:t>
        </m:r>
        <m:sSubSup>
          <m:e>
            <m:r>
              <m:t>R</m:t>
            </m:r>
          </m:e>
          <m:sub>
            <m:r>
              <m:t>j</m:t>
            </m:r>
            <m:r>
              <m:t>i</m:t>
            </m:r>
          </m:sub>
          <m:sup>
            <m:r>
              <m:rPr>
                <m:sty m:val="p"/>
              </m:rPr>
              <m:t>−</m:t>
            </m:r>
            <m:r>
              <m:t>1</m:t>
            </m:r>
          </m:sup>
        </m:sSubSup>
      </m:oMath>
      <w:r>
        <w:t xml:space="preserve"> </w:t>
      </w:r>
      <w:r>
        <w:t xml:space="preserve">for all</w:t>
      </w:r>
      <w:r>
        <w:t xml:space="preserve"> </w:t>
      </w:r>
      <m:oMath>
        <m:r>
          <m:rPr>
            <m:sty m:val="p"/>
          </m:rPr>
          <m:t>{</m:t>
        </m:r>
        <m:r>
          <m:t>i</m:t>
        </m:r>
        <m:r>
          <m:rPr>
            <m:sty m:val="p"/>
          </m:rPr>
          <m:t>,</m:t>
        </m:r>
        <m:r>
          <m:t>j</m:t>
        </m:r>
        <m:r>
          <m:rPr>
            <m:sty m:val="p"/>
          </m:rPr>
          <m:t>}</m:t>
        </m:r>
        <m:r>
          <m:rPr>
            <m:sty m:val="p"/>
          </m:rPr>
          <m:t>∈</m:t>
        </m:r>
        <m:r>
          <m:t>E</m:t>
        </m:r>
      </m:oMath>
      <w:r>
        <w:t xml:space="preserve">—then</w:t>
      </w:r>
      <w:r>
        <w:t xml:space="preserve"> </w:t>
      </w:r>
      <m:oMath>
        <m:r>
          <m:rPr>
            <m:sty m:val="p"/>
          </m:rPr>
          <m:t>H</m:t>
        </m:r>
        <m:r>
          <m:rPr>
            <m:sty m:val="p"/>
          </m:rPr>
          <m:t>o</m:t>
        </m:r>
        <m:r>
          <m:rPr>
            <m:sty m:val="p"/>
          </m:rPr>
          <m:t>l</m:t>
        </m:r>
        <m:d>
          <m:dPr>
            <m:begChr m:val="("/>
            <m:endChr m:val=")"/>
            <m:sepChr m:val=""/>
            <m:grow/>
          </m:dPr>
          <m:e>
            <m:r>
              <m:t>γ</m:t>
            </m:r>
          </m:e>
        </m:d>
        <m:r>
          <m:rPr>
            <m:sty m:val="p"/>
          </m:rPr>
          <m:t>=</m:t>
        </m:r>
        <m:sSub>
          <m:e>
            <m:r>
              <m:t>I</m:t>
            </m:r>
          </m:e>
          <m:sub>
            <m:r>
              <m:t>3</m:t>
            </m:r>
          </m:sub>
        </m:sSub>
      </m:oMath>
      <w:r>
        <w:t xml:space="preserve"> </w:t>
      </w:r>
      <w:r>
        <w:t xml:space="preserve">for all cycles</w:t>
      </w:r>
      <w:r>
        <w:t xml:space="preserve"> </w:t>
      </w:r>
      <m:oMath>
        <m:r>
          <m:t>γ</m:t>
        </m:r>
      </m:oMath>
      <w:r>
        <w:t xml:space="preserve">.</w:t>
      </w:r>
    </w:p>
    <w:p>
      <w:pPr>
        <w:pStyle w:val="BlockText"/>
      </w:pPr>
      <w:r>
        <w:rPr>
          <w:bCs/>
          <w:b/>
        </w:rPr>
        <w:t xml:space="preserve">(c)</w:t>
      </w:r>
      <w:r>
        <w:t xml:space="preserve"> </w:t>
      </w:r>
      <w:r>
        <w:t xml:space="preserve">(Converse for non-rigidity.) Conversely, if</w:t>
      </w:r>
      <w:r>
        <w:t xml:space="preserve"> </w:t>
      </w:r>
      <m:oMath>
        <m:r>
          <m:t>G</m:t>
        </m:r>
      </m:oMath>
      <w:r>
        <w:t xml:space="preserve"> </w:t>
      </w:r>
      <w:r>
        <w:t xml:space="preserve">is</w:t>
      </w:r>
      <w:r>
        <w:t xml:space="preserve"> </w:t>
      </w:r>
      <w:r>
        <w:rPr>
          <w:bCs/>
          <w:b/>
        </w:rPr>
        <w:t xml:space="preserve">not</w:t>
      </w:r>
      <w:r>
        <w:t xml:space="preserve"> </w:t>
      </w:r>
      <w:r>
        <w:t xml:space="preserve">bearing-rigid, there exist embeddings</w:t>
      </w:r>
      <w:r>
        <w:t xml:space="preserve"> </w:t>
      </w:r>
      <m:oMath>
        <m:r>
          <m:rPr>
            <m:sty m:val="b"/>
          </m:rPr>
          <m:t>p</m:t>
        </m:r>
        <m:r>
          <m:rPr>
            <m:sty m:val="p"/>
          </m:rPr>
          <m:t>,</m:t>
        </m:r>
        <m:r>
          <m:rPr>
            <m:sty m:val="b"/>
          </m:rPr>
          <m:t>p</m:t>
        </m:r>
        <m:r>
          <m:rPr>
            <m:sty m:val="p"/>
          </m:rPr>
          <m:t>′</m:t>
        </m:r>
      </m:oMath>
      <w:r>
        <w:t xml:space="preserve"> </w:t>
      </w:r>
      <w:r>
        <w:t xml:space="preserve">that are bearing-equivalent but produce different cycle holonomies for the same edge states.</w:t>
      </w:r>
    </w:p>
    <w:bookmarkEnd w:id="124"/>
    <w:bookmarkStart w:id="125" w:name="e.4.2-proof-of-part-a-well-definedness"/>
    <w:p>
      <w:pPr>
        <w:pStyle w:val="Heading3"/>
      </w:pPr>
      <w:r>
        <w:t xml:space="preserve">E.4.2 Proof of Part (a): Well-Definedness</w:t>
      </w:r>
    </w:p>
    <w:p>
      <w:pPr>
        <w:pStyle w:val="FirstParagraph"/>
      </w:pPr>
      <w:r>
        <w:rPr>
          <w:iCs/>
          <w:i/>
        </w:rPr>
        <w:t xml:space="preserve">Proof sketch.</w:t>
      </w:r>
      <w:r>
        <w:t xml:space="preserve"> </w:t>
      </w:r>
      <w:r>
        <w:t xml:space="preserve">Let</w:t>
      </w:r>
      <w:r>
        <w:t xml:space="preserve"> </w:t>
      </w:r>
      <m:oMath>
        <m:d>
          <m:dPr>
            <m:begChr m:val="("/>
            <m:endChr m:val=")"/>
            <m:sepChr m:val=""/>
            <m:grow/>
          </m:dPr>
          <m:e>
            <m:r>
              <m:t>G</m:t>
            </m:r>
            <m:r>
              <m:rPr>
                <m:sty m:val="p"/>
              </m:rPr>
              <m:t>,</m:t>
            </m:r>
            <m:r>
              <m:rPr>
                <m:sty m:val="b"/>
              </m:rPr>
              <m:t>p</m:t>
            </m:r>
          </m:e>
        </m:d>
      </m:oMath>
      <w:r>
        <w:t xml:space="preserve"> </w:t>
      </w:r>
      <w:r>
        <w:t xml:space="preserve">be bearing-rigid. By Definition E.1, any framework</w:t>
      </w:r>
      <w:r>
        <w:t xml:space="preserve"> </w:t>
      </w:r>
      <m:oMath>
        <m:d>
          <m:dPr>
            <m:begChr m:val="("/>
            <m:endChr m:val=")"/>
            <m:sepChr m:val=""/>
            <m:grow/>
          </m:dPr>
          <m:e>
            <m:r>
              <m:t>G</m:t>
            </m:r>
            <m:r>
              <m:rPr>
                <m:sty m:val="p"/>
              </m:rPr>
              <m:t>,</m:t>
            </m:r>
            <m:r>
              <m:rPr>
                <m:sty m:val="b"/>
              </m:rPr>
              <m:t>p</m:t>
            </m:r>
            <m:r>
              <m:rPr>
                <m:sty m:val="p"/>
              </m:rPr>
              <m:t>′</m:t>
            </m:r>
          </m:e>
        </m:d>
      </m:oMath>
      <w:r>
        <w:t xml:space="preserve"> </w:t>
      </w:r>
      <w:r>
        <w:t xml:space="preserve">that is bearing-equivalent to</w:t>
      </w:r>
      <w:r>
        <w:t xml:space="preserve"> </w:t>
      </w:r>
      <m:oMath>
        <m:d>
          <m:dPr>
            <m:begChr m:val="("/>
            <m:endChr m:val=")"/>
            <m:sepChr m:val=""/>
            <m:grow/>
          </m:dPr>
          <m:e>
            <m:r>
              <m:t>G</m:t>
            </m:r>
            <m:r>
              <m:rPr>
                <m:sty m:val="p"/>
              </m:rPr>
              <m:t>,</m:t>
            </m:r>
            <m:r>
              <m:rPr>
                <m:sty m:val="b"/>
              </m:rPr>
              <m:t>p</m:t>
            </m:r>
          </m:e>
        </m:d>
      </m:oMath>
      <w:r>
        <w:t xml:space="preserve"> </w:t>
      </w:r>
      <w:r>
        <w:t xml:space="preserve">is bearing-congruent to it. That is,</w:t>
      </w:r>
      <w:r>
        <w:t xml:space="preserve"> </w:t>
      </w:r>
      <m:oMath>
        <m:r>
          <m:rPr>
            <m:sty m:val="b"/>
          </m:rPr>
          <m:t>p</m:t>
        </m:r>
        <m:sSub>
          <m:e>
            <m:r>
              <m:rPr>
                <m:sty m:val="p"/>
              </m:rPr>
              <m:t>′</m:t>
            </m:r>
          </m:e>
          <m:sub>
            <m:r>
              <m:t>i</m:t>
            </m:r>
          </m:sub>
        </m:sSub>
        <m:r>
          <m:rPr>
            <m:sty m:val="p"/>
          </m:rPr>
          <m:t>=</m:t>
        </m:r>
        <m:r>
          <m:t>c</m:t>
        </m:r>
        <m:sSub>
          <m:e>
            <m:r>
              <m:rPr>
                <m:sty m:val="b"/>
              </m:rPr>
              <m:t>p</m:t>
            </m:r>
          </m:e>
          <m:sub>
            <m:r>
              <m:t>i</m:t>
            </m:r>
          </m:sub>
        </m:sSub>
        <m:r>
          <m:rPr>
            <m:sty m:val="p"/>
          </m:rPr>
          <m:t>+</m:t>
        </m:r>
        <m:r>
          <m:rPr>
            <m:sty m:val="b"/>
          </m:rPr>
          <m:t>t</m:t>
        </m:r>
      </m:oMath>
      <w:r>
        <w:t xml:space="preserve"> </w:t>
      </w:r>
      <w:r>
        <w:t xml:space="preserve">for some</w:t>
      </w:r>
      <w:r>
        <w:t xml:space="preserve"> </w:t>
      </w:r>
      <m:oMath>
        <m:r>
          <m:t>c</m:t>
        </m:r>
        <m:r>
          <m:rPr>
            <m:sty m:val="p"/>
          </m:rPr>
          <m:t>≠</m:t>
        </m:r>
        <m:r>
          <m:t>0</m:t>
        </m:r>
      </m:oMath>
      <w:r>
        <w:t xml:space="preserve"> </w:t>
      </w:r>
      <w:r>
        <w:t xml:space="preserve">and</w:t>
      </w:r>
      <w:r>
        <w:t xml:space="preserve"> </w:t>
      </w:r>
      <m:oMath>
        <m:r>
          <m:rPr>
            <m:sty m:val="b"/>
          </m:rPr>
          <m:t>t</m:t>
        </m:r>
        <m:r>
          <m:rPr>
            <m:sty m:val="p"/>
          </m:rPr>
          <m:t>∈</m:t>
        </m:r>
        <m:sSup>
          <m:e>
            <m:r>
              <m:rPr>
                <m:sty m:val="p"/>
                <m:scr m:val="double-struck"/>
              </m:rPr>
              <m:t>R</m:t>
            </m:r>
          </m:e>
          <m:sup>
            <m:r>
              <m:t>3</m:t>
            </m:r>
          </m:sup>
        </m:sSup>
      </m:oMath>
      <w:r>
        <w:t xml:space="preserve">.</w:t>
      </w:r>
    </w:p>
    <w:p>
      <w:pPr>
        <w:pStyle w:val="BodyText"/>
      </w:pPr>
      <w:r>
        <w:t xml:space="preserve">The bearing</w:t>
      </w:r>
      <w:r>
        <w:t xml:space="preserve"> </w:t>
      </w:r>
      <m:oMath>
        <m:sSub>
          <m:e>
            <m:r>
              <m:rPr>
                <m:sty m:val="b"/>
              </m:rPr>
              <m:t>g</m:t>
            </m:r>
          </m:e>
          <m:sub>
            <m:r>
              <m:t>i</m:t>
            </m:r>
            <m:r>
              <m:t>j</m:t>
            </m:r>
          </m:sub>
        </m:sSub>
      </m:oMath>
      <w:r>
        <w:t xml:space="preserve"> </w:t>
      </w:r>
      <w:r>
        <w:t xml:space="preserve">is translation-invariant and scale-invariant up to sign (the sign is fixed by edge direction). Therefore, the bearing-congruence transformation leaves all edge bearings unchanged. Consequently, the relative orientation between any two nodes</w:t>
      </w:r>
      <w:r>
        <w:t xml:space="preserve"> </w:t>
      </w:r>
      <m:oMath>
        <m:r>
          <m:t>i</m:t>
        </m:r>
      </m:oMath>
      <w:r>
        <w:t xml:space="preserve"> </w:t>
      </w:r>
      <w:r>
        <w:t xml:space="preserve">and</w:t>
      </w:r>
      <w:r>
        <w:t xml:space="preserve"> </w:t>
      </w:r>
      <m:oMath>
        <m:r>
          <m:t>j</m:t>
        </m:r>
      </m:oMath>
      <w:r>
        <w:t xml:space="preserve">, as determined by their bearing</w:t>
      </w:r>
      <w:r>
        <w:t xml:space="preserve"> </w:t>
      </w:r>
      <m:oMath>
        <m:sSub>
          <m:e>
            <m:r>
              <m:rPr>
                <m:sty m:val="b"/>
              </m:rPr>
              <m:t>g</m:t>
            </m:r>
          </m:e>
          <m:sub>
            <m:r>
              <m:t>i</m:t>
            </m:r>
            <m:r>
              <m:t>j</m:t>
            </m:r>
          </m:sub>
        </m:sSub>
      </m:oMath>
      <w:r>
        <w:t xml:space="preserve"> </w:t>
      </w:r>
      <w:r>
        <w:t xml:space="preserve">and their local frames, is also unchanged under translation and scale.</w:t>
      </w:r>
    </w:p>
    <w:p>
      <w:pPr>
        <w:pStyle w:val="BodyText"/>
      </w:pPr>
      <w:r>
        <w:t xml:space="preserve">Now consider the rotation matrix</w:t>
      </w:r>
      <w:r>
        <w:t xml:space="preserve"> </w:t>
      </w:r>
      <m:oMath>
        <m:sSub>
          <m:e>
            <m:r>
              <m:t>R</m:t>
            </m:r>
          </m:e>
          <m:sub>
            <m:r>
              <m:t>i</m:t>
            </m:r>
            <m:r>
              <m:t>j</m:t>
            </m:r>
          </m:sub>
        </m:sSub>
      </m:oMath>
      <w:r>
        <w:t xml:space="preserve"> </w:t>
      </w:r>
      <w:r>
        <w:t xml:space="preserve">assigned to edge</w:t>
      </w:r>
      <w:r>
        <w:t xml:space="preserve"> </w:t>
      </w:r>
      <m:oMath>
        <m:r>
          <m:rPr>
            <m:sty m:val="p"/>
          </m:rPr>
          <m:t>{</m:t>
        </m:r>
        <m:r>
          <m:t>i</m:t>
        </m:r>
        <m:r>
          <m:rPr>
            <m:sty m:val="p"/>
          </m:rPr>
          <m:t>,</m:t>
        </m:r>
        <m:r>
          <m:t>j</m:t>
        </m:r>
        <m:r>
          <m:rPr>
            <m:sty m:val="p"/>
          </m:rPr>
          <m:t>}</m:t>
        </m:r>
      </m:oMath>
      <w:r>
        <w:t xml:space="preserve">. This matrix is computed from the bearing</w:t>
      </w:r>
      <w:r>
        <w:t xml:space="preserve"> </w:t>
      </w:r>
      <m:oMath>
        <m:sSub>
          <m:e>
            <m:r>
              <m:rPr>
                <m:sty m:val="b"/>
              </m:rPr>
              <m:t>g</m:t>
            </m:r>
          </m:e>
          <m:sub>
            <m:r>
              <m:t>i</m:t>
            </m:r>
            <m:r>
              <m:t>j</m:t>
            </m:r>
          </m:sub>
        </m:sSub>
      </m:oMath>
      <w:r>
        <w:t xml:space="preserve"> </w:t>
      </w:r>
      <w:r>
        <w:t xml:space="preserve">and the nodes’ reference orientations. Since the bearing</w:t>
      </w:r>
      <w:r>
        <w:t xml:space="preserve"> </w:t>
      </w:r>
      <m:oMath>
        <m:sSub>
          <m:e>
            <m:r>
              <m:rPr>
                <m:sty m:val="b"/>
              </m:rPr>
              <m:t>g</m:t>
            </m:r>
          </m:e>
          <m:sub>
            <m:r>
              <m:t>i</m:t>
            </m:r>
            <m:r>
              <m:t>j</m:t>
            </m:r>
          </m:sub>
        </m:sSub>
      </m:oMath>
      <w:r>
        <w:t xml:space="preserve"> </w:t>
      </w:r>
      <w:r>
        <w:t xml:space="preserve">is identical for all embeddings in the bearing-equivalence class, and the reference orientation convention is fixed by the protocol, the matrix</w:t>
      </w:r>
      <w:r>
        <w:t xml:space="preserve"> </w:t>
      </w:r>
      <m:oMath>
        <m:sSub>
          <m:e>
            <m:r>
              <m:t>R</m:t>
            </m:r>
          </m:e>
          <m:sub>
            <m:r>
              <m:t>i</m:t>
            </m:r>
            <m:r>
              <m:t>j</m:t>
            </m:r>
          </m:sub>
        </m:sSub>
      </m:oMath>
      <w:r>
        <w:t xml:space="preserve"> </w:t>
      </w:r>
      <w:r>
        <w:t xml:space="preserve">is identical for all such embeddings.</w:t>
      </w:r>
    </w:p>
    <w:p>
      <w:pPr>
        <w:pStyle w:val="BodyText"/>
      </w:pPr>
      <w:r>
        <w:t xml:space="preserve">For any cycle</w:t>
      </w:r>
      <w:r>
        <w:t xml:space="preserve"> </w:t>
      </w:r>
      <m:oMath>
        <m:r>
          <m:t>γ</m:t>
        </m:r>
        <m:r>
          <m:rPr>
            <m:sty m:val="p"/>
          </m:rPr>
          <m:t>=</m:t>
        </m:r>
        <m:d>
          <m:dPr>
            <m:begChr m:val="("/>
            <m:endChr m:val=")"/>
            <m:sepChr m:val=""/>
            <m:grow/>
          </m:dPr>
          <m:e>
            <m:sSub>
              <m:e>
                <m:r>
                  <m:t>e</m:t>
                </m:r>
              </m:e>
              <m:sub>
                <m:r>
                  <m:t>1</m:t>
                </m:r>
              </m:sub>
            </m:sSub>
            <m:r>
              <m:rPr>
                <m:sty m:val="p"/>
              </m:rPr>
              <m:t>,</m:t>
            </m:r>
            <m:r>
              <m:rPr>
                <m:sty m:val="p"/>
              </m:rPr>
              <m:t>…</m:t>
            </m:r>
            <m:r>
              <m:rPr>
                <m:sty m:val="p"/>
              </m:rPr>
              <m:t>,</m:t>
            </m:r>
            <m:sSub>
              <m:e>
                <m:r>
                  <m:t>e</m:t>
                </m:r>
              </m:e>
              <m:sub>
                <m:r>
                  <m:t>k</m:t>
                </m:r>
              </m:sub>
            </m:sSub>
          </m:e>
        </m:d>
      </m:oMath>
      <w:r>
        <w:t xml:space="preserve">, the holonomy is:</w:t>
      </w:r>
    </w:p>
    <w:p>
      <w:pPr>
        <w:pStyle w:val="BodyText"/>
      </w:pPr>
      <m:oMathPara>
        <m:oMathParaPr>
          <m:jc m:val="center"/>
        </m:oMathParaPr>
        <m:oMath>
          <m:r>
            <m:rPr>
              <m:sty m:val="p"/>
            </m:rPr>
            <m:t>H</m:t>
          </m:r>
          <m:r>
            <m:rPr>
              <m:sty m:val="p"/>
            </m:rPr>
            <m:t>o</m:t>
          </m:r>
          <m:r>
            <m:rPr>
              <m:sty m:val="p"/>
            </m:rPr>
            <m:t>l</m:t>
          </m:r>
          <m:d>
            <m:dPr>
              <m:begChr m:val="("/>
              <m:endChr m:val=")"/>
              <m:sepChr m:val=""/>
              <m:grow/>
            </m:dPr>
            <m:e>
              <m:r>
                <m:t>γ</m:t>
              </m:r>
            </m:e>
          </m:d>
          <m:r>
            <m:rPr>
              <m:sty m:val="p"/>
            </m:rPr>
            <m:t>=</m:t>
          </m:r>
          <m:sSub>
            <m:e>
              <m:r>
                <m:t>R</m:t>
              </m:r>
            </m:e>
            <m:sub>
              <m:sSub>
                <m:e>
                  <m:r>
                    <m:t>e</m:t>
                  </m:r>
                </m:e>
                <m:sub>
                  <m:r>
                    <m:t>k</m:t>
                  </m:r>
                </m:sub>
              </m:sSub>
            </m:sub>
          </m:sSub>
          <m:sSub>
            <m:e>
              <m:r>
                <m:t>R</m:t>
              </m:r>
            </m:e>
            <m:sub>
              <m:sSub>
                <m:e>
                  <m:r>
                    <m:t>e</m:t>
                  </m:r>
                </m:e>
                <m:sub>
                  <m:r>
                    <m:t>k</m:t>
                  </m:r>
                  <m:r>
                    <m:rPr>
                      <m:sty m:val="p"/>
                    </m:rPr>
                    <m:t>−</m:t>
                  </m:r>
                  <m:r>
                    <m:t>1</m:t>
                  </m:r>
                </m:sub>
              </m:sSub>
            </m:sub>
          </m:sSub>
          <m:r>
            <m:rPr>
              <m:sty m:val="p"/>
            </m:rPr>
            <m:t>⋯</m:t>
          </m:r>
          <m:sSub>
            <m:e>
              <m:r>
                <m:t>R</m:t>
              </m:r>
            </m:e>
            <m:sub>
              <m:sSub>
                <m:e>
                  <m:r>
                    <m:t>e</m:t>
                  </m:r>
                </m:e>
                <m:sub>
                  <m:r>
                    <m:t>1</m:t>
                  </m:r>
                </m:sub>
              </m:sSub>
            </m:sub>
          </m:sSub>
          <m:r>
            <m:rPr>
              <m:sty m:val="p"/>
            </m:rPr>
            <m:t>.</m:t>
          </m:r>
        </m:oMath>
      </m:oMathPara>
    </w:p>
    <w:p>
      <w:pPr>
        <w:pStyle w:val="FirstParagraph"/>
      </w:pPr>
      <w:r>
        <w:t xml:space="preserve">Since each factor</w:t>
      </w:r>
      <w:r>
        <w:t xml:space="preserve"> </w:t>
      </w:r>
      <m:oMath>
        <m:sSub>
          <m:e>
            <m:r>
              <m:t>R</m:t>
            </m:r>
          </m:e>
          <m:sub>
            <m:sSub>
              <m:e>
                <m:r>
                  <m:t>e</m:t>
                </m:r>
              </m:e>
              <m:sub>
                <m:r>
                  <m:rPr>
                    <m:sty m:val="p"/>
                  </m:rPr>
                  <m:t>ℓ</m:t>
                </m:r>
              </m:sub>
            </m:sSub>
          </m:sub>
        </m:sSub>
      </m:oMath>
      <w:r>
        <w:t xml:space="preserve"> </w:t>
      </w:r>
      <w:r>
        <w:t xml:space="preserve">is uniquely determined by the edge bearings, the product</w:t>
      </w:r>
      <w:r>
        <w:t xml:space="preserve"> </w:t>
      </w:r>
      <m:oMath>
        <m:r>
          <m:rPr>
            <m:sty m:val="p"/>
          </m:rPr>
          <m:t>H</m:t>
        </m:r>
        <m:r>
          <m:rPr>
            <m:sty m:val="p"/>
          </m:rPr>
          <m:t>o</m:t>
        </m:r>
        <m:r>
          <m:rPr>
            <m:sty m:val="p"/>
          </m:rPr>
          <m:t>l</m:t>
        </m:r>
        <m:d>
          <m:dPr>
            <m:begChr m:val="("/>
            <m:endChr m:val=")"/>
            <m:sepChr m:val=""/>
            <m:grow/>
          </m:dPr>
          <m:e>
            <m:r>
              <m:t>γ</m:t>
            </m:r>
          </m:e>
        </m:d>
      </m:oMath>
      <w:r>
        <w:t xml:space="preserve"> </w:t>
      </w:r>
      <w:r>
        <w:t xml:space="preserve">is uniquely determined as well. The holonomy depends only on the bearings</w:t>
      </w:r>
      <w:r>
        <w:t xml:space="preserve"> </w:t>
      </w:r>
      <m:oMath>
        <m:r>
          <m:rPr>
            <m:sty m:val="p"/>
          </m:rPr>
          <m:t>{</m:t>
        </m:r>
        <m:sSub>
          <m:e>
            <m:r>
              <m:rPr>
                <m:sty m:val="b"/>
              </m:rPr>
              <m:t>g</m:t>
            </m:r>
          </m:e>
          <m:sub>
            <m:r>
              <m:t>i</m:t>
            </m:r>
            <m:r>
              <m:t>j</m:t>
            </m:r>
          </m:sub>
        </m:sSub>
        <m:r>
          <m:rPr>
            <m:sty m:val="p"/>
          </m:rPr>
          <m:t>}</m:t>
        </m:r>
      </m:oMath>
      <w:r>
        <w:t xml:space="preserve"> </w:t>
      </w:r>
      <w:r>
        <w:t xml:space="preserve">and the edge-state convention, not on the particular representative</w:t>
      </w:r>
      <w:r>
        <w:t xml:space="preserve"> </w:t>
      </w:r>
      <m:oMath>
        <m:r>
          <m:rPr>
            <m:sty m:val="b"/>
          </m:rPr>
          <m:t>p</m:t>
        </m:r>
      </m:oMath>
      <w:r>
        <w:t xml:space="preserve"> </w:t>
      </w:r>
      <w:r>
        <w:t xml:space="preserve">of the bearing-equivalence class.</w:t>
      </w:r>
      <w:r>
        <w:t xml:space="preserve"> </w:t>
      </w:r>
      <m:oMath>
        <m:r>
          <m:rPr>
            <m:sty m:val="p"/>
          </m:rPr>
          <m:t>◼</m:t>
        </m:r>
      </m:oMath>
    </w:p>
    <w:bookmarkEnd w:id="125"/>
    <w:bookmarkStart w:id="126" w:name="X849c7438550bbc0585e058b45075e80016aa570"/>
    <w:p>
      <w:pPr>
        <w:pStyle w:val="Heading3"/>
      </w:pPr>
      <w:r>
        <w:t xml:space="preserve">E.4.3 Proof of Part (b): Consistency Implies Identity</w:t>
      </w:r>
    </w:p>
    <w:p>
      <w:pPr>
        <w:pStyle w:val="FirstParagraph"/>
      </w:pPr>
      <w:r>
        <w:rPr>
          <w:iCs/>
          <w:i/>
        </w:rPr>
        <w:t xml:space="preserve">Proof sketch.</w:t>
      </w:r>
      <w:r>
        <w:t xml:space="preserve"> </w:t>
      </w:r>
      <w:r>
        <w:t xml:space="preserve">Suppose all edge states are consistent:</w:t>
      </w:r>
      <w:r>
        <w:t xml:space="preserve"> </w:t>
      </w:r>
      <m:oMath>
        <m:sSub>
          <m:e>
            <m:r>
              <m:t>R</m:t>
            </m:r>
          </m:e>
          <m:sub>
            <m:r>
              <m:t>i</m:t>
            </m:r>
            <m:r>
              <m:t>j</m:t>
            </m:r>
          </m:sub>
        </m:sSub>
        <m:r>
          <m:rPr>
            <m:sty m:val="p"/>
          </m:rPr>
          <m:t>=</m:t>
        </m:r>
        <m:sSubSup>
          <m:e>
            <m:r>
              <m:t>R</m:t>
            </m:r>
          </m:e>
          <m:sub>
            <m:r>
              <m:t>j</m:t>
            </m:r>
            <m:r>
              <m:t>i</m:t>
            </m:r>
          </m:sub>
          <m:sup>
            <m:r>
              <m:rPr>
                <m:sty m:val="p"/>
              </m:rPr>
              <m:t>−</m:t>
            </m:r>
            <m:r>
              <m:t>1</m:t>
            </m:r>
          </m:sup>
        </m:sSubSup>
      </m:oMath>
      <w:r>
        <w:t xml:space="preserve"> </w:t>
      </w:r>
      <w:r>
        <w:t xml:space="preserve">for every</w:t>
      </w:r>
      <w:r>
        <w:t xml:space="preserve"> </w:t>
      </w:r>
      <m:oMath>
        <m:r>
          <m:rPr>
            <m:sty m:val="p"/>
          </m:rPr>
          <m:t>{</m:t>
        </m:r>
        <m:r>
          <m:t>i</m:t>
        </m:r>
        <m:r>
          <m:rPr>
            <m:sty m:val="p"/>
          </m:rPr>
          <m:t>,</m:t>
        </m:r>
        <m:r>
          <m:t>j</m:t>
        </m:r>
        <m:r>
          <m:rPr>
            <m:sty m:val="p"/>
          </m:rPr>
          <m:t>}</m:t>
        </m:r>
        <m:r>
          <m:rPr>
            <m:sty m:val="p"/>
          </m:rPr>
          <m:t>∈</m:t>
        </m:r>
        <m:r>
          <m:t>E</m:t>
        </m:r>
      </m:oMath>
      <w:r>
        <w:t xml:space="preserve">. Consider a directed cycle</w:t>
      </w:r>
      <w:r>
        <w:t xml:space="preserve"> </w:t>
      </w:r>
      <m:oMath>
        <m:r>
          <m:t>γ</m:t>
        </m:r>
        <m:r>
          <m:rPr>
            <m:sty m:val="p"/>
          </m:rPr>
          <m:t>=</m:t>
        </m:r>
        <m:d>
          <m:dPr>
            <m:begChr m:val="("/>
            <m:endChr m:val=")"/>
            <m:sepChr m:val=""/>
            <m:grow/>
          </m:dPr>
          <m:e>
            <m:sSub>
              <m:e>
                <m:r>
                  <m:t>v</m:t>
                </m:r>
              </m:e>
              <m:sub>
                <m:r>
                  <m:t>1</m:t>
                </m:r>
              </m:sub>
            </m:sSub>
            <m:r>
              <m:rPr>
                <m:sty m:val="p"/>
              </m:rPr>
              <m:t>,</m:t>
            </m:r>
            <m:sSub>
              <m:e>
                <m:r>
                  <m:t>v</m:t>
                </m:r>
              </m:e>
              <m:sub>
                <m:r>
                  <m:t>2</m:t>
                </m:r>
              </m:sub>
            </m:sSub>
            <m:r>
              <m:rPr>
                <m:sty m:val="p"/>
              </m:rPr>
              <m:t>,</m:t>
            </m:r>
            <m:r>
              <m:rPr>
                <m:sty m:val="p"/>
              </m:rPr>
              <m:t>…</m:t>
            </m:r>
            <m:r>
              <m:rPr>
                <m:sty m:val="p"/>
              </m:rPr>
              <m:t>,</m:t>
            </m:r>
            <m:sSub>
              <m:e>
                <m:r>
                  <m:t>v</m:t>
                </m:r>
              </m:e>
              <m:sub>
                <m:r>
                  <m:t>k</m:t>
                </m:r>
              </m:sub>
            </m:sSub>
            <m:r>
              <m:rPr>
                <m:sty m:val="p"/>
              </m:rPr>
              <m:t>,</m:t>
            </m:r>
            <m:sSub>
              <m:e>
                <m:r>
                  <m:t>v</m:t>
                </m:r>
              </m:e>
              <m:sub>
                <m:r>
                  <m:t>1</m:t>
                </m:r>
              </m:sub>
            </m:sSub>
          </m:e>
        </m:d>
      </m:oMath>
      <w:r>
        <w:t xml:space="preserve"> </w:t>
      </w:r>
      <w:r>
        <w:t xml:space="preserve">with edges</w:t>
      </w:r>
      <w:r>
        <w:t xml:space="preserve"> </w:t>
      </w:r>
      <m:oMath>
        <m:sSub>
          <m:e>
            <m:r>
              <m:t>e</m:t>
            </m:r>
          </m:e>
          <m:sub>
            <m:r>
              <m:rPr>
                <m:sty m:val="p"/>
              </m:rPr>
              <m:t>ℓ</m:t>
            </m:r>
          </m:sub>
        </m:sSub>
        <m:r>
          <m:rPr>
            <m:sty m:val="p"/>
          </m:rPr>
          <m:t>=</m:t>
        </m:r>
        <m:d>
          <m:dPr>
            <m:begChr m:val="("/>
            <m:endChr m:val=")"/>
            <m:sepChr m:val=""/>
            <m:grow/>
          </m:dPr>
          <m:e>
            <m:sSub>
              <m:e>
                <m:r>
                  <m:t>v</m:t>
                </m:r>
              </m:e>
              <m:sub>
                <m:r>
                  <m:rPr>
                    <m:sty m:val="p"/>
                  </m:rPr>
                  <m:t>ℓ</m:t>
                </m:r>
              </m:sub>
            </m:sSub>
            <m:r>
              <m:rPr>
                <m:sty m:val="p"/>
              </m:rPr>
              <m:t>,</m:t>
            </m:r>
            <m:sSub>
              <m:e>
                <m:r>
                  <m:t>v</m:t>
                </m:r>
              </m:e>
              <m:sub>
                <m:r>
                  <m:rPr>
                    <m:sty m:val="p"/>
                  </m:rPr>
                  <m:t>ℓ</m:t>
                </m:r>
                <m:r>
                  <m:rPr>
                    <m:sty m:val="p"/>
                  </m:rPr>
                  <m:t>+</m:t>
                </m:r>
                <m:r>
                  <m:t>1</m:t>
                </m:r>
              </m:sub>
            </m:sSub>
          </m:e>
        </m:d>
      </m:oMath>
      <w:r>
        <w:t xml:space="preserve">, where</w:t>
      </w:r>
      <w:r>
        <w:t xml:space="preserve"> </w:t>
      </w:r>
      <m:oMath>
        <m:sSub>
          <m:e>
            <m:r>
              <m:t>v</m:t>
            </m:r>
          </m:e>
          <m:sub>
            <m:r>
              <m:t>k</m:t>
            </m:r>
            <m:r>
              <m:rPr>
                <m:sty m:val="p"/>
              </m:rPr>
              <m:t>+</m:t>
            </m:r>
            <m:r>
              <m:t>1</m:t>
            </m:r>
          </m:sub>
        </m:sSub>
        <m:r>
          <m:rPr>
            <m:sty m:val="p"/>
          </m:rPr>
          <m:t>=</m:t>
        </m:r>
        <m:sSub>
          <m:e>
            <m:r>
              <m:t>v</m:t>
            </m:r>
          </m:e>
          <m:sub>
            <m:r>
              <m:t>1</m:t>
            </m:r>
          </m:sub>
        </m:sSub>
      </m:oMath>
      <w:r>
        <w:t xml:space="preserve">.</w:t>
      </w:r>
    </w:p>
    <w:p>
      <w:pPr>
        <w:pStyle w:val="BodyText"/>
      </w:pPr>
      <w:r>
        <w:t xml:space="preserve">The holonomy is:</w:t>
      </w:r>
    </w:p>
    <w:p>
      <w:pPr>
        <w:pStyle w:val="BodyText"/>
      </w:pPr>
      <m:oMathPara>
        <m:oMathParaPr>
          <m:jc m:val="center"/>
        </m:oMathParaPr>
        <m:oMath>
          <m:r>
            <m:rPr>
              <m:sty m:val="p"/>
            </m:rPr>
            <m:t>H</m:t>
          </m:r>
          <m:r>
            <m:rPr>
              <m:sty m:val="p"/>
            </m:rPr>
            <m:t>o</m:t>
          </m:r>
          <m:r>
            <m:rPr>
              <m:sty m:val="p"/>
            </m:rPr>
            <m:t>l</m:t>
          </m:r>
          <m:d>
            <m:dPr>
              <m:begChr m:val="("/>
              <m:endChr m:val=")"/>
              <m:sepChr m:val=""/>
              <m:grow/>
            </m:dPr>
            <m:e>
              <m:r>
                <m:t>γ</m:t>
              </m:r>
            </m:e>
          </m:d>
          <m:r>
            <m:rPr>
              <m:sty m:val="p"/>
            </m:rPr>
            <m:t>=</m:t>
          </m:r>
          <m:sSub>
            <m:e>
              <m:r>
                <m:t>R</m:t>
              </m:r>
            </m:e>
            <m:sub>
              <m:sSub>
                <m:e>
                  <m:r>
                    <m:t>v</m:t>
                  </m:r>
                </m:e>
                <m:sub>
                  <m:r>
                    <m:t>k</m:t>
                  </m:r>
                </m:sub>
              </m:sSub>
              <m:sSub>
                <m:e>
                  <m:r>
                    <m:t>v</m:t>
                  </m:r>
                </m:e>
                <m:sub>
                  <m:r>
                    <m:t>1</m:t>
                  </m:r>
                </m:sub>
              </m:sSub>
            </m:sub>
          </m:sSub>
          <m:sSub>
            <m:e>
              <m:r>
                <m:t>R</m:t>
              </m:r>
            </m:e>
            <m:sub>
              <m:sSub>
                <m:e>
                  <m:r>
                    <m:t>v</m:t>
                  </m:r>
                </m:e>
                <m:sub>
                  <m:r>
                    <m:t>k</m:t>
                  </m:r>
                  <m:r>
                    <m:rPr>
                      <m:sty m:val="p"/>
                    </m:rPr>
                    <m:t>−</m:t>
                  </m:r>
                  <m:r>
                    <m:t>1</m:t>
                  </m:r>
                </m:sub>
              </m:sSub>
              <m:sSub>
                <m:e>
                  <m:r>
                    <m:t>v</m:t>
                  </m:r>
                </m:e>
                <m:sub>
                  <m:r>
                    <m:t>k</m:t>
                  </m:r>
                </m:sub>
              </m:sSub>
            </m:sub>
          </m:sSub>
          <m:r>
            <m:rPr>
              <m:sty m:val="p"/>
            </m:rPr>
            <m:t>⋯</m:t>
          </m:r>
          <m:sSub>
            <m:e>
              <m:r>
                <m:t>R</m:t>
              </m:r>
            </m:e>
            <m:sub>
              <m:sSub>
                <m:e>
                  <m:r>
                    <m:t>v</m:t>
                  </m:r>
                </m:e>
                <m:sub>
                  <m:r>
                    <m:t>1</m:t>
                  </m:r>
                </m:sub>
              </m:sSub>
              <m:sSub>
                <m:e>
                  <m:r>
                    <m:t>v</m:t>
                  </m:r>
                </m:e>
                <m:sub>
                  <m:r>
                    <m:t>2</m:t>
                  </m:r>
                </m:sub>
              </m:sSub>
            </m:sub>
          </m:sSub>
          <m:r>
            <m:rPr>
              <m:sty m:val="p"/>
            </m:rPr>
            <m:t>.</m:t>
          </m:r>
        </m:oMath>
      </m:oMathPara>
    </w:p>
    <w:p>
      <w:pPr>
        <w:pStyle w:val="FirstParagraph"/>
      </w:pPr>
      <w:r>
        <w:t xml:space="preserve">By consistency, each</w:t>
      </w:r>
      <w:r>
        <w:t xml:space="preserve"> </w:t>
      </w:r>
      <m:oMath>
        <m:sSub>
          <m:e>
            <m:r>
              <m:t>R</m:t>
            </m:r>
          </m:e>
          <m:sub>
            <m:sSub>
              <m:e>
                <m:r>
                  <m:t>v</m:t>
                </m:r>
              </m:e>
              <m:sub>
                <m:r>
                  <m:rPr>
                    <m:sty m:val="p"/>
                  </m:rPr>
                  <m:t>ℓ</m:t>
                </m:r>
              </m:sub>
            </m:sSub>
            <m:sSub>
              <m:e>
                <m:r>
                  <m:t>v</m:t>
                </m:r>
              </m:e>
              <m:sub>
                <m:r>
                  <m:rPr>
                    <m:sty m:val="p"/>
                  </m:rPr>
                  <m:t>ℓ</m:t>
                </m:r>
                <m:r>
                  <m:rPr>
                    <m:sty m:val="p"/>
                  </m:rPr>
                  <m:t>+</m:t>
                </m:r>
                <m:r>
                  <m:t>1</m:t>
                </m:r>
              </m:sub>
            </m:sSub>
          </m:sub>
        </m:sSub>
      </m:oMath>
      <w:r>
        <w:t xml:space="preserve"> </w:t>
      </w:r>
      <w:r>
        <w:t xml:space="preserve">describes the same geometric relationship as</w:t>
      </w:r>
      <w:r>
        <w:t xml:space="preserve"> </w:t>
      </w:r>
      <m:oMath>
        <m:sSubSup>
          <m:e>
            <m:r>
              <m:t>R</m:t>
            </m:r>
          </m:e>
          <m:sub>
            <m:sSub>
              <m:e>
                <m:r>
                  <m:t>v</m:t>
                </m:r>
              </m:e>
              <m:sub>
                <m:r>
                  <m:rPr>
                    <m:sty m:val="p"/>
                  </m:rPr>
                  <m:t>ℓ</m:t>
                </m:r>
                <m:r>
                  <m:rPr>
                    <m:sty m:val="p"/>
                  </m:rPr>
                  <m:t>+</m:t>
                </m:r>
                <m:r>
                  <m:t>1</m:t>
                </m:r>
              </m:sub>
            </m:sSub>
            <m:sSub>
              <m:e>
                <m:r>
                  <m:t>v</m:t>
                </m:r>
              </m:e>
              <m:sub>
                <m:r>
                  <m:rPr>
                    <m:sty m:val="p"/>
                  </m:rPr>
                  <m:t>ℓ</m:t>
                </m:r>
              </m:sub>
            </m:sSub>
          </m:sub>
          <m:sup>
            <m:r>
              <m:rPr>
                <m:sty m:val="p"/>
              </m:rPr>
              <m:t>−</m:t>
            </m:r>
            <m:r>
              <m:t>1</m:t>
            </m:r>
          </m:sup>
        </m:sSubSup>
      </m:oMath>
      <w:r>
        <w:t xml:space="preserve">. The cycle is a closed loop in the fixed, rigid geometry. Because the embedding is bearing-rigid, the geometry is fixed; there is no ambiguity in the relative orientations.</w:t>
      </w:r>
    </w:p>
    <w:p>
      <w:pPr>
        <w:pStyle w:val="BodyText"/>
      </w:pPr>
      <w:r>
        <w:t xml:space="preserve">More concretely, define</w:t>
      </w:r>
      <w:r>
        <w:t xml:space="preserve"> </w:t>
      </w:r>
      <m:oMath>
        <m:sSub>
          <m:e>
            <m:r>
              <m:t>R</m:t>
            </m:r>
          </m:e>
          <m:sub>
            <m:r>
              <m:t>i</m:t>
            </m:r>
          </m:sub>
        </m:sSub>
      </m:oMath>
      <w:r>
        <w:t xml:space="preserve"> </w:t>
      </w:r>
      <w:r>
        <w:t xml:space="preserve">as the absolute orientation of node</w:t>
      </w:r>
      <w:r>
        <w:t xml:space="preserve"> </w:t>
      </w:r>
      <m:oMath>
        <m:r>
          <m:t>i</m:t>
        </m:r>
      </m:oMath>
      <w:r>
        <w:t xml:space="preserve"> </w:t>
      </w:r>
      <w:r>
        <w:t xml:space="preserve">in some global reference frame. The edge rotation can be written as</w:t>
      </w:r>
      <w:r>
        <w:t xml:space="preserve"> </w:t>
      </w:r>
      <m:oMath>
        <m:sSub>
          <m:e>
            <m:r>
              <m:t>R</m:t>
            </m:r>
          </m:e>
          <m:sub>
            <m:r>
              <m:t>i</m:t>
            </m:r>
            <m:r>
              <m:t>j</m:t>
            </m:r>
          </m:sub>
        </m:sSub>
        <m:r>
          <m:rPr>
            <m:sty m:val="p"/>
          </m:rPr>
          <m:t>=</m:t>
        </m:r>
        <m:sSub>
          <m:e>
            <m:r>
              <m:t>R</m:t>
            </m:r>
          </m:e>
          <m:sub>
            <m:r>
              <m:t>j</m:t>
            </m:r>
          </m:sub>
        </m:sSub>
        <m:sSubSup>
          <m:e>
            <m:r>
              <m:t>R</m:t>
            </m:r>
          </m:e>
          <m:sub>
            <m:r>
              <m:t>i</m:t>
            </m:r>
          </m:sub>
          <m:sup>
            <m:r>
              <m:rPr>
                <m:sty m:val="p"/>
              </m:rPr>
              <m:t>−</m:t>
            </m:r>
            <m:r>
              <m:t>1</m:t>
            </m:r>
          </m:sup>
        </m:sSubSup>
      </m:oMath>
      <w:r>
        <w:t xml:space="preserve"> </w:t>
      </w:r>
      <w:r>
        <w:t xml:space="preserve">(the rotation from</w:t>
      </w:r>
      <w:r>
        <w:t xml:space="preserve"> </w:t>
      </w:r>
      <m:oMath>
        <m:r>
          <m:t>i</m:t>
        </m:r>
      </m:oMath>
      <w:r>
        <w:t xml:space="preserve">’s frame to</w:t>
      </w:r>
      <w:r>
        <w:t xml:space="preserve"> </w:t>
      </w:r>
      <m:oMath>
        <m:r>
          <m:t>j</m:t>
        </m:r>
      </m:oMath>
      <w:r>
        <w:t xml:space="preserve">’s frame). Then:</w:t>
      </w:r>
    </w:p>
    <w:p>
      <w:pPr>
        <w:pStyle w:val="BodyText"/>
      </w:pPr>
      <m:oMathPara>
        <m:oMathParaPr>
          <m:jc m:val="center"/>
        </m:oMathParaPr>
        <m:oMath>
          <m:r>
            <m:rPr>
              <m:sty m:val="p"/>
            </m:rPr>
            <m:t>H</m:t>
          </m:r>
          <m:r>
            <m:rPr>
              <m:sty m:val="p"/>
            </m:rPr>
            <m:t>o</m:t>
          </m:r>
          <m:r>
            <m:rPr>
              <m:sty m:val="p"/>
            </m:rPr>
            <m:t>l</m:t>
          </m:r>
          <m:d>
            <m:dPr>
              <m:begChr m:val="("/>
              <m:endChr m:val=")"/>
              <m:sepChr m:val=""/>
              <m:grow/>
            </m:dPr>
            <m:e>
              <m:r>
                <m:t>γ</m:t>
              </m:r>
            </m:e>
          </m:d>
          <m:r>
            <m:rPr>
              <m:sty m:val="p"/>
            </m:rPr>
            <m:t>=</m:t>
          </m:r>
          <m:d>
            <m:dPr>
              <m:begChr m:val="("/>
              <m:endChr m:val=")"/>
              <m:sepChr m:val=""/>
              <m:grow/>
            </m:dPr>
            <m:e>
              <m:sSub>
                <m:e>
                  <m:r>
                    <m:t>R</m:t>
                  </m:r>
                </m:e>
                <m:sub>
                  <m:sSub>
                    <m:e>
                      <m:r>
                        <m:t>v</m:t>
                      </m:r>
                    </m:e>
                    <m:sub>
                      <m:r>
                        <m:t>1</m:t>
                      </m:r>
                    </m:sub>
                  </m:sSub>
                </m:sub>
              </m:sSub>
              <m:sSubSup>
                <m:e>
                  <m:r>
                    <m:t>R</m:t>
                  </m:r>
                </m:e>
                <m:sub>
                  <m:sSub>
                    <m:e>
                      <m:r>
                        <m:t>v</m:t>
                      </m:r>
                    </m:e>
                    <m:sub>
                      <m:r>
                        <m:t>k</m:t>
                      </m:r>
                    </m:sub>
                  </m:sSub>
                </m:sub>
                <m:sup>
                  <m:r>
                    <m:rPr>
                      <m:sty m:val="p"/>
                    </m:rPr>
                    <m:t>−</m:t>
                  </m:r>
                  <m:r>
                    <m:t>1</m:t>
                  </m:r>
                </m:sup>
              </m:sSubSup>
            </m:e>
          </m:d>
          <m:d>
            <m:dPr>
              <m:begChr m:val="("/>
              <m:endChr m:val=")"/>
              <m:sepChr m:val=""/>
              <m:grow/>
            </m:dPr>
            <m:e>
              <m:sSub>
                <m:e>
                  <m:r>
                    <m:t>R</m:t>
                  </m:r>
                </m:e>
                <m:sub>
                  <m:sSub>
                    <m:e>
                      <m:r>
                        <m:t>v</m:t>
                      </m:r>
                    </m:e>
                    <m:sub>
                      <m:r>
                        <m:t>k</m:t>
                      </m:r>
                    </m:sub>
                  </m:sSub>
                </m:sub>
              </m:sSub>
              <m:sSubSup>
                <m:e>
                  <m:r>
                    <m:t>R</m:t>
                  </m:r>
                </m:e>
                <m:sub>
                  <m:sSub>
                    <m:e>
                      <m:r>
                        <m:t>v</m:t>
                      </m:r>
                    </m:e>
                    <m:sub>
                      <m:r>
                        <m:t>k</m:t>
                      </m:r>
                      <m:r>
                        <m:rPr>
                          <m:sty m:val="p"/>
                        </m:rPr>
                        <m:t>−</m:t>
                      </m:r>
                      <m:r>
                        <m:t>1</m:t>
                      </m:r>
                    </m:sub>
                  </m:sSub>
                </m:sub>
                <m:sup>
                  <m:r>
                    <m:rPr>
                      <m:sty m:val="p"/>
                    </m:rPr>
                    <m:t>−</m:t>
                  </m:r>
                  <m:r>
                    <m:t>1</m:t>
                  </m:r>
                </m:sup>
              </m:sSubSup>
            </m:e>
          </m:d>
          <m:r>
            <m:rPr>
              <m:sty m:val="p"/>
            </m:rPr>
            <m:t>⋯</m:t>
          </m:r>
          <m:d>
            <m:dPr>
              <m:begChr m:val="("/>
              <m:endChr m:val=")"/>
              <m:sepChr m:val=""/>
              <m:grow/>
            </m:dPr>
            <m:e>
              <m:sSub>
                <m:e>
                  <m:r>
                    <m:t>R</m:t>
                  </m:r>
                </m:e>
                <m:sub>
                  <m:sSub>
                    <m:e>
                      <m:r>
                        <m:t>v</m:t>
                      </m:r>
                    </m:e>
                    <m:sub>
                      <m:r>
                        <m:t>2</m:t>
                      </m:r>
                    </m:sub>
                  </m:sSub>
                </m:sub>
              </m:sSub>
              <m:sSubSup>
                <m:e>
                  <m:r>
                    <m:t>R</m:t>
                  </m:r>
                </m:e>
                <m:sub>
                  <m:sSub>
                    <m:e>
                      <m:r>
                        <m:t>v</m:t>
                      </m:r>
                    </m:e>
                    <m:sub>
                      <m:r>
                        <m:t>1</m:t>
                      </m:r>
                    </m:sub>
                  </m:sSub>
                </m:sub>
                <m:sup>
                  <m:r>
                    <m:rPr>
                      <m:sty m:val="p"/>
                    </m:rPr>
                    <m:t>−</m:t>
                  </m:r>
                  <m:r>
                    <m:t>1</m:t>
                  </m:r>
                </m:sup>
              </m:sSubSup>
            </m:e>
          </m:d>
          <m:r>
            <m:rPr>
              <m:sty m:val="p"/>
            </m:rPr>
            <m:t>=</m:t>
          </m:r>
          <m:sSub>
            <m:e>
              <m:r>
                <m:t>R</m:t>
              </m:r>
            </m:e>
            <m:sub>
              <m:sSub>
                <m:e>
                  <m:r>
                    <m:t>v</m:t>
                  </m:r>
                </m:e>
                <m:sub>
                  <m:r>
                    <m:t>1</m:t>
                  </m:r>
                </m:sub>
              </m:sSub>
            </m:sub>
          </m:sSub>
          <m:sSubSup>
            <m:e>
              <m:r>
                <m:t>R</m:t>
              </m:r>
            </m:e>
            <m:sub>
              <m:sSub>
                <m:e>
                  <m:r>
                    <m:t>v</m:t>
                  </m:r>
                </m:e>
                <m:sub>
                  <m:r>
                    <m:t>1</m:t>
                  </m:r>
                </m:sub>
              </m:sSub>
            </m:sub>
            <m:sup>
              <m:r>
                <m:rPr>
                  <m:sty m:val="p"/>
                </m:rPr>
                <m:t>−</m:t>
              </m:r>
              <m:r>
                <m:t>1</m:t>
              </m:r>
            </m:sup>
          </m:sSubSup>
          <m:r>
            <m:rPr>
              <m:sty m:val="p"/>
            </m:rPr>
            <m:t>=</m:t>
          </m:r>
          <m:sSub>
            <m:e>
              <m:r>
                <m:t>I</m:t>
              </m:r>
            </m:e>
            <m:sub>
              <m:r>
                <m:t>3</m:t>
              </m:r>
            </m:sub>
          </m:sSub>
          <m:r>
            <m:rPr>
              <m:sty m:val="p"/>
            </m:rPr>
            <m:t>.</m:t>
          </m:r>
        </m:oMath>
      </m:oMathPara>
    </w:p>
    <w:p>
      <w:pPr>
        <w:pStyle w:val="FirstParagraph"/>
      </w:pPr>
      <w:r>
        <w:t xml:space="preserve">All intermediate terms telescope, leaving the identity. This holds for every cycle because the absolute orientations</w:t>
      </w:r>
      <w:r>
        <w:t xml:space="preserve"> </w:t>
      </w:r>
      <m:oMath>
        <m:sSub>
          <m:e>
            <m:r>
              <m:t>R</m:t>
            </m:r>
          </m:e>
          <m:sub>
            <m:r>
              <m:t>i</m:t>
            </m:r>
          </m:sub>
        </m:sSub>
      </m:oMath>
      <w:r>
        <w:t xml:space="preserve"> </w:t>
      </w:r>
      <w:r>
        <w:t xml:space="preserve">are well-defined in the rigid framework.</w:t>
      </w:r>
      <w:r>
        <w:t xml:space="preserve"> </w:t>
      </w:r>
      <m:oMath>
        <m:r>
          <m:rPr>
            <m:sty m:val="p"/>
          </m:rPr>
          <m:t>◼</m:t>
        </m:r>
      </m:oMath>
    </w:p>
    <w:bookmarkEnd w:id="126"/>
    <w:bookmarkStart w:id="127" w:name="Xc49429070d81d4e94c35b0213f2bfca060ddf12"/>
    <w:p>
      <w:pPr>
        <w:pStyle w:val="Heading3"/>
      </w:pPr>
      <w:r>
        <w:t xml:space="preserve">E.4.4 Proof of Part (c): Non-Rigidity Permits Ambiguous Holonomy</w:t>
      </w:r>
    </w:p>
    <w:p>
      <w:pPr>
        <w:pStyle w:val="FirstParagraph"/>
      </w:pPr>
      <w:r>
        <w:rPr>
          <w:iCs/>
          <w:i/>
        </w:rPr>
        <w:t xml:space="preserve">Proof sketch.</w:t>
      </w:r>
      <w:r>
        <w:t xml:space="preserve"> </w:t>
      </w:r>
      <w:r>
        <w:t xml:space="preserve">Suppose</w:t>
      </w:r>
      <w:r>
        <w:t xml:space="preserve"> </w:t>
      </w:r>
      <m:oMath>
        <m:r>
          <m:t>G</m:t>
        </m:r>
      </m:oMath>
      <w:r>
        <w:t xml:space="preserve"> </w:t>
      </w:r>
      <w:r>
        <w:t xml:space="preserve">is not bearing-rigid. Then there exists a framework</w:t>
      </w:r>
      <w:r>
        <w:t xml:space="preserve"> </w:t>
      </w:r>
      <m:oMath>
        <m:d>
          <m:dPr>
            <m:begChr m:val="("/>
            <m:endChr m:val=")"/>
            <m:sepChr m:val=""/>
            <m:grow/>
          </m:dPr>
          <m:e>
            <m:r>
              <m:t>G</m:t>
            </m:r>
            <m:r>
              <m:rPr>
                <m:sty m:val="p"/>
              </m:rPr>
              <m:t>,</m:t>
            </m:r>
            <m:r>
              <m:rPr>
                <m:sty m:val="b"/>
              </m:rPr>
              <m:t>p</m:t>
            </m:r>
          </m:e>
        </m:d>
      </m:oMath>
      <w:r>
        <w:t xml:space="preserve"> </w:t>
      </w:r>
      <w:r>
        <w:t xml:space="preserve">and a bearing-equivalent framework</w:t>
      </w:r>
      <w:r>
        <w:t xml:space="preserve"> </w:t>
      </w:r>
      <m:oMath>
        <m:d>
          <m:dPr>
            <m:begChr m:val="("/>
            <m:endChr m:val=")"/>
            <m:sepChr m:val=""/>
            <m:grow/>
          </m:dPr>
          <m:e>
            <m:r>
              <m:t>G</m:t>
            </m:r>
            <m:r>
              <m:rPr>
                <m:sty m:val="p"/>
              </m:rPr>
              <m:t>,</m:t>
            </m:r>
            <m:r>
              <m:rPr>
                <m:sty m:val="b"/>
              </m:rPr>
              <m:t>p</m:t>
            </m:r>
            <m:r>
              <m:rPr>
                <m:sty m:val="p"/>
              </m:rPr>
              <m:t>′</m:t>
            </m:r>
          </m:e>
        </m:d>
      </m:oMath>
      <w:r>
        <w:t xml:space="preserve"> </w:t>
      </w:r>
      <w:r>
        <w:t xml:space="preserve">that is</w:t>
      </w:r>
      <w:r>
        <w:t xml:space="preserve"> </w:t>
      </w:r>
      <w:r>
        <w:rPr>
          <w:iCs/>
          <w:i/>
        </w:rPr>
        <w:t xml:space="preserve">not</w:t>
      </w:r>
      <w:r>
        <w:t xml:space="preserve"> </w:t>
      </w:r>
      <w:r>
        <w:t xml:space="preserve">bearing-congruent to</w:t>
      </w:r>
      <w:r>
        <w:t xml:space="preserve"> </w:t>
      </w:r>
      <m:oMath>
        <m:d>
          <m:dPr>
            <m:begChr m:val="("/>
            <m:endChr m:val=")"/>
            <m:sepChr m:val=""/>
            <m:grow/>
          </m:dPr>
          <m:e>
            <m:r>
              <m:t>G</m:t>
            </m:r>
            <m:r>
              <m:rPr>
                <m:sty m:val="p"/>
              </m:rPr>
              <m:t>,</m:t>
            </m:r>
            <m:r>
              <m:rPr>
                <m:sty m:val="b"/>
              </m:rPr>
              <m:t>p</m:t>
            </m:r>
          </m:e>
        </m:d>
      </m:oMath>
      <w:r>
        <w:t xml:space="preserve">. That is,</w:t>
      </w:r>
      <w:r>
        <w:t xml:space="preserve"> </w:t>
      </w:r>
      <m:oMath>
        <m:r>
          <m:rPr>
            <m:sty m:val="b"/>
          </m:rPr>
          <m:t>p</m:t>
        </m:r>
        <m:r>
          <m:rPr>
            <m:sty m:val="p"/>
          </m:rPr>
          <m:t>′</m:t>
        </m:r>
      </m:oMath>
      <w:r>
        <w:t xml:space="preserve"> </w:t>
      </w:r>
      <w:r>
        <w:t xml:space="preserve">preserves all edge bearings but is not a translation/scale of</w:t>
      </w:r>
      <w:r>
        <w:t xml:space="preserve"> </w:t>
      </w:r>
      <m:oMath>
        <m:r>
          <m:rPr>
            <m:sty m:val="b"/>
          </m:rPr>
          <m:t>p</m:t>
        </m:r>
      </m:oMath>
      <w:r>
        <w:t xml:space="preserve">.</w:t>
      </w:r>
    </w:p>
    <w:p>
      <w:pPr>
        <w:pStyle w:val="BodyText"/>
      </w:pPr>
      <w:r>
        <w:t xml:space="preserve">Because</w:t>
      </w:r>
      <w:r>
        <w:t xml:space="preserve"> </w:t>
      </w:r>
      <m:oMath>
        <m:r>
          <m:rPr>
            <m:sty m:val="b"/>
          </m:rPr>
          <m:t>p</m:t>
        </m:r>
        <m:r>
          <m:rPr>
            <m:sty m:val="p"/>
          </m:rPr>
          <m:t>′</m:t>
        </m:r>
      </m:oMath>
      <w:r>
        <w:t xml:space="preserve"> </w:t>
      </w:r>
      <w:r>
        <w:t xml:space="preserve">is not congruent to</w:t>
      </w:r>
      <w:r>
        <w:t xml:space="preserve"> </w:t>
      </w:r>
      <m:oMath>
        <m:r>
          <m:rPr>
            <m:sty m:val="b"/>
          </m:rPr>
          <m:t>p</m:t>
        </m:r>
      </m:oMath>
      <w:r>
        <w:t xml:space="preserve">, there exists at least one triangle</w:t>
      </w:r>
      <w:r>
        <w:t xml:space="preserve"> </w:t>
      </w:r>
      <m:oMath>
        <m:d>
          <m:dPr>
            <m:begChr m:val="("/>
            <m:endChr m:val=")"/>
            <m:sepChr m:val=""/>
            <m:grow/>
          </m:dPr>
          <m:e>
            <m:r>
              <m:t>i</m:t>
            </m:r>
            <m:r>
              <m:rPr>
                <m:sty m:val="p"/>
              </m:rPr>
              <m:t>,</m:t>
            </m:r>
            <m:r>
              <m:t>j</m:t>
            </m:r>
            <m:r>
              <m:rPr>
                <m:sty m:val="p"/>
              </m:rPr>
              <m:t>,</m:t>
            </m:r>
            <m:r>
              <m:t>k</m:t>
            </m:r>
          </m:e>
        </m:d>
      </m:oMath>
      <w:r>
        <w:t xml:space="preserve"> </w:t>
      </w:r>
      <w:r>
        <w:t xml:space="preserve">in</w:t>
      </w:r>
      <w:r>
        <w:t xml:space="preserve"> </w:t>
      </w:r>
      <m:oMath>
        <m:r>
          <m:t>G</m:t>
        </m:r>
      </m:oMath>
      <w:r>
        <w:t xml:space="preserve"> </w:t>
      </w:r>
      <w:r>
        <w:t xml:space="preserve">whose shape (up to scale) differs between the two embeddings. The relative orientations of the nodes in this triangle, as determined by the bearings, are embedding-dependent.</w:t>
      </w:r>
    </w:p>
    <w:p>
      <w:pPr>
        <w:pStyle w:val="BodyText"/>
      </w:pPr>
      <w:r>
        <w:t xml:space="preserve">Assign the same edge state convention to both embeddings (e.g., each node reports bearings as unit vectors in its local frame). The rotation matrices</w:t>
      </w:r>
      <w:r>
        <w:t xml:space="preserve"> </w:t>
      </w:r>
      <m:oMath>
        <m:sSub>
          <m:e>
            <m:r>
              <m:t>R</m:t>
            </m:r>
          </m:e>
          <m:sub>
            <m:r>
              <m:t>i</m:t>
            </m:r>
            <m:r>
              <m:t>j</m:t>
            </m:r>
          </m:sub>
        </m:sSub>
      </m:oMath>
      <w:r>
        <w:t xml:space="preserve"> </w:t>
      </w:r>
      <w:r>
        <w:t xml:space="preserve">depend on the geometric relationship between the local frames, which is determined by the embedding. Since the embeddings differ geometrically, the relative orientations differ, and hence the rotation matrices</w:t>
      </w:r>
      <w:r>
        <w:t xml:space="preserve"> </w:t>
      </w:r>
      <m:oMath>
        <m:sSub>
          <m:e>
            <m:r>
              <m:t>R</m:t>
            </m:r>
          </m:e>
          <m:sub>
            <m:r>
              <m:t>i</m:t>
            </m:r>
            <m:r>
              <m:t>j</m:t>
            </m:r>
          </m:sub>
        </m:sSub>
      </m:oMath>
      <w:r>
        <w:t xml:space="preserve"> </w:t>
      </w:r>
      <w:r>
        <w:t xml:space="preserve">differ between</w:t>
      </w:r>
      <w:r>
        <w:t xml:space="preserve"> </w:t>
      </w:r>
      <m:oMath>
        <m:r>
          <m:rPr>
            <m:sty m:val="b"/>
          </m:rPr>
          <m:t>p</m:t>
        </m:r>
      </m:oMath>
      <w:r>
        <w:t xml:space="preserve"> </w:t>
      </w:r>
      <w:r>
        <w:t xml:space="preserve">and</w:t>
      </w:r>
      <w:r>
        <w:t xml:space="preserve"> </w:t>
      </w:r>
      <m:oMath>
        <m:r>
          <m:rPr>
            <m:sty m:val="b"/>
          </m:rPr>
          <m:t>p</m:t>
        </m:r>
        <m:r>
          <m:rPr>
            <m:sty m:val="p"/>
          </m:rPr>
          <m:t>′</m:t>
        </m:r>
      </m:oMath>
      <w:r>
        <w:t xml:space="preserve"> </w:t>
      </w:r>
      <w:r>
        <w:t xml:space="preserve">for at least one edge.</w:t>
      </w:r>
    </w:p>
    <w:p>
      <w:pPr>
        <w:pStyle w:val="BodyText"/>
      </w:pPr>
      <w:r>
        <w:t xml:space="preserve">Transport these differing matrices around a cycle</w:t>
      </w:r>
      <w:r>
        <w:t xml:space="preserve"> </w:t>
      </w:r>
      <m:oMath>
        <m:r>
          <m:t>γ</m:t>
        </m:r>
      </m:oMath>
      <w:r>
        <w:t xml:space="preserve"> </w:t>
      </w:r>
      <w:r>
        <w:t xml:space="preserve">containing that edge. The holonomies will differ:</w:t>
      </w:r>
    </w:p>
    <w:p>
      <w:pPr>
        <w:pStyle w:val="BodyText"/>
      </w:pPr>
      <m:oMathPara>
        <m:oMathParaPr>
          <m:jc m:val="center"/>
        </m:oMathParaPr>
        <m:oMath>
          <m:sSub>
            <m:e>
              <m:r>
                <m:rPr>
                  <m:sty m:val="p"/>
                </m:rPr>
                <m:t>H</m:t>
              </m:r>
              <m:r>
                <m:rPr>
                  <m:sty m:val="p"/>
                </m:rPr>
                <m:t>o</m:t>
              </m:r>
              <m:r>
                <m:rPr>
                  <m:sty m:val="p"/>
                </m:rPr>
                <m:t>l</m:t>
              </m:r>
            </m:e>
            <m:sub>
              <m:r>
                <m:rPr>
                  <m:sty m:val="b"/>
                </m:rPr>
                <m:t>p</m:t>
              </m:r>
            </m:sub>
          </m:sSub>
          <m:d>
            <m:dPr>
              <m:begChr m:val="("/>
              <m:endChr m:val=")"/>
              <m:sepChr m:val=""/>
              <m:grow/>
            </m:dPr>
            <m:e>
              <m:r>
                <m:t>γ</m:t>
              </m:r>
            </m:e>
          </m:d>
          <m:r>
            <m:rPr>
              <m:sty m:val="p"/>
            </m:rPr>
            <m:t>≠</m:t>
          </m:r>
          <m:sSub>
            <m:e>
              <m:r>
                <m:rPr>
                  <m:sty m:val="p"/>
                </m:rPr>
                <m:t>H</m:t>
              </m:r>
              <m:r>
                <m:rPr>
                  <m:sty m:val="p"/>
                </m:rPr>
                <m:t>o</m:t>
              </m:r>
              <m:r>
                <m:rPr>
                  <m:sty m:val="p"/>
                </m:rPr>
                <m:t>l</m:t>
              </m:r>
            </m:e>
            <m:sub>
              <m:r>
                <m:rPr>
                  <m:sty m:val="b"/>
                </m:rPr>
                <m:t>p</m:t>
              </m:r>
              <m:r>
                <m:rPr>
                  <m:sty m:val="p"/>
                </m:rPr>
                <m:t>′</m:t>
              </m:r>
            </m:sub>
          </m:sSub>
          <m:d>
            <m:dPr>
              <m:begChr m:val="("/>
              <m:endChr m:val=")"/>
              <m:sepChr m:val=""/>
              <m:grow/>
            </m:dPr>
            <m:e>
              <m:r>
                <m:t>γ</m:t>
              </m:r>
            </m:e>
          </m:d>
          <m:r>
            <m:rPr>
              <m:sty m:val="p"/>
            </m:rPr>
            <m:t>.</m:t>
          </m:r>
        </m:oMath>
      </m:oMathPara>
    </w:p>
    <w:p>
      <w:pPr>
        <w:pStyle w:val="FirstParagraph"/>
      </w:pPr>
      <w:r>
        <w:t xml:space="preserve">Thus, cycle holonomy is not well-defined without rigidity.</w:t>
      </w:r>
      <w:r>
        <w:t xml:space="preserve"> </w:t>
      </w:r>
      <m:oMath>
        <m:r>
          <m:rPr>
            <m:sty m:val="p"/>
          </m:rPr>
          <m:t>◼</m:t>
        </m:r>
      </m:oMath>
    </w:p>
    <w:bookmarkEnd w:id="127"/>
    <w:bookmarkStart w:id="128" w:name="e.4.5-summary-of-the-proof-structure"/>
    <w:p>
      <w:pPr>
        <w:pStyle w:val="Heading3"/>
      </w:pPr>
      <w:r>
        <w:t xml:space="preserve">E.4.5 Summary of the Proof Structure</w:t>
      </w:r>
    </w:p>
    <w:tbl>
      <w:tblPr>
        <w:tblStyle w:val="Table"/>
        <w:tblW w:type="pct" w:w="5000"/>
        <w:tblLook w:firstRow="1" w:lastRow="0" w:firstColumn="0" w:lastColumn="0" w:noHBand="0" w:noVBand="0" w:val="0020"/>
      </w:tblPr>
      <w:tblGrid>
        <w:gridCol w:w="1485"/>
        <w:gridCol w:w="3465"/>
        <w:gridCol w:w="2970"/>
      </w:tblGrid>
      <w:tr>
        <w:trPr>
          <w:tblHeader w:val="true"/>
        </w:trPr>
        <w:tc>
          <w:tcPr/>
          <w:p>
            <w:pPr>
              <w:pStyle w:val="Compact"/>
              <w:jc w:val="left"/>
            </w:pPr>
            <w:r>
              <w:t xml:space="preserve">Part</w:t>
            </w:r>
          </w:p>
        </w:tc>
        <w:tc>
          <w:tcPr/>
          <w:p>
            <w:pPr>
              <w:pStyle w:val="Compact"/>
              <w:jc w:val="left"/>
            </w:pPr>
            <w:r>
              <w:t xml:space="preserve">Key Mechanism</w:t>
            </w:r>
          </w:p>
        </w:tc>
        <w:tc>
          <w:tcPr/>
          <w:p>
            <w:pPr>
              <w:pStyle w:val="Compact"/>
              <w:jc w:val="left"/>
            </w:pPr>
            <w:r>
              <w:t xml:space="preserve">Conclusion</w:t>
            </w:r>
          </w:p>
        </w:tc>
      </w:tr>
      <w:tr>
        <w:tc>
          <w:tcPr/>
          <w:p>
            <w:pPr>
              <w:pStyle w:val="Compact"/>
              <w:jc w:val="left"/>
            </w:pPr>
            <w:r>
              <w:t xml:space="preserve">(a)</w:t>
            </w:r>
          </w:p>
        </w:tc>
        <w:tc>
          <w:tcPr/>
          <w:p>
            <w:pPr>
              <w:pStyle w:val="Compact"/>
              <w:jc w:val="left"/>
            </w:pPr>
            <w:r>
              <w:t xml:space="preserve">Bearing-rigidity</w:t>
            </w:r>
            <w:r>
              <w:t xml:space="preserve"> </w:t>
            </w:r>
            <m:oMath>
              <m:r>
                <m:rPr>
                  <m:sty m:val="p"/>
                </m:rPr>
                <m:t>⇒</m:t>
              </m:r>
            </m:oMath>
            <w:r>
              <w:t xml:space="preserve"> </w:t>
            </w:r>
            <w:r>
              <w:t xml:space="preserve">unique embedding up to translation/scale</w:t>
            </w:r>
            <w:r>
              <w:t xml:space="preserve"> </w:t>
            </w:r>
            <m:oMath>
              <m:r>
                <m:rPr>
                  <m:sty m:val="p"/>
                </m:rPr>
                <m:t>⇒</m:t>
              </m:r>
            </m:oMath>
            <w:r>
              <w:t xml:space="preserve"> </w:t>
            </w:r>
            <w:r>
              <w:t xml:space="preserve">unique relative orientations</w:t>
            </w:r>
            <w:r>
              <w:t xml:space="preserve"> </w:t>
            </w:r>
            <m:oMath>
              <m:r>
                <m:rPr>
                  <m:sty m:val="p"/>
                </m:rPr>
                <m:t>⇒</m:t>
              </m:r>
            </m:oMath>
            <w:r>
              <w:t xml:space="preserve"> </w:t>
            </w:r>
            <w:r>
              <w:t xml:space="preserve">unique</w:t>
            </w:r>
            <w:r>
              <w:t xml:space="preserve"> </w:t>
            </w:r>
            <m:oMath>
              <m:sSub>
                <m:e>
                  <m:r>
                    <m:t>R</m:t>
                  </m:r>
                </m:e>
                <m:sub>
                  <m:r>
                    <m:t>i</m:t>
                  </m:r>
                  <m:r>
                    <m:t>j</m:t>
                  </m:r>
                </m:sub>
              </m:sSub>
            </m:oMath>
            <w:r>
              <w:t xml:space="preserve"> </w:t>
            </w:r>
            <m:oMath>
              <m:r>
                <m:rPr>
                  <m:sty m:val="p"/>
                </m:rPr>
                <m:t>⇒</m:t>
              </m:r>
            </m:oMath>
            <w:r>
              <w:t xml:space="preserve"> </w:t>
            </w:r>
            <w:r>
              <w:t xml:space="preserve">unique</w:t>
            </w:r>
            <w:r>
              <w:t xml:space="preserve"> </w:t>
            </w:r>
            <m:oMath>
              <m:r>
                <m:rPr>
                  <m:sty m:val="p"/>
                </m:rPr>
                <m:t>H</m:t>
              </m:r>
              <m:r>
                <m:rPr>
                  <m:sty m:val="p"/>
                </m:rPr>
                <m:t>o</m:t>
              </m:r>
              <m:r>
                <m:rPr>
                  <m:sty m:val="p"/>
                </m:rPr>
                <m:t>l</m:t>
              </m:r>
              <m:d>
                <m:dPr>
                  <m:begChr m:val="("/>
                  <m:endChr m:val=")"/>
                  <m:sepChr m:val=""/>
                  <m:grow/>
                </m:dPr>
                <m:e>
                  <m:r>
                    <m:t>γ</m:t>
                  </m:r>
                </m:e>
              </m:d>
            </m:oMath>
          </w:p>
        </w:tc>
        <w:tc>
          <w:tcPr/>
          <w:p>
            <w:pPr>
              <w:pStyle w:val="Compact"/>
              <w:jc w:val="left"/>
            </w:pPr>
            <w:r>
              <w:t xml:space="preserve">Holonomy is a function of bearings only</w:t>
            </w:r>
          </w:p>
        </w:tc>
      </w:tr>
      <w:tr>
        <w:tc>
          <w:tcPr/>
          <w:p>
            <w:pPr>
              <w:pStyle w:val="Compact"/>
              <w:jc w:val="left"/>
            </w:pPr>
            <w:r>
              <w:t xml:space="preserve">(b)</w:t>
            </w:r>
          </w:p>
        </w:tc>
        <w:tc>
          <w:tcPr/>
          <w:p>
            <w:pPr>
              <w:pStyle w:val="Compact"/>
              <w:jc w:val="left"/>
            </w:pPr>
            <w:r>
              <w:t xml:space="preserve">Consistent edge states</w:t>
            </w:r>
            <w:r>
              <w:t xml:space="preserve"> </w:t>
            </w:r>
            <m:oMath>
              <m:sSub>
                <m:e>
                  <m:r>
                    <m:t>R</m:t>
                  </m:r>
                </m:e>
                <m:sub>
                  <m:r>
                    <m:t>i</m:t>
                  </m:r>
                  <m:r>
                    <m:t>j</m:t>
                  </m:r>
                </m:sub>
              </m:sSub>
              <m:r>
                <m:rPr>
                  <m:sty m:val="p"/>
                </m:rPr>
                <m:t>=</m:t>
              </m:r>
              <m:sSubSup>
                <m:e>
                  <m:r>
                    <m:t>R</m:t>
                  </m:r>
                </m:e>
                <m:sub>
                  <m:r>
                    <m:t>j</m:t>
                  </m:r>
                  <m:r>
                    <m:t>i</m:t>
                  </m:r>
                </m:sub>
                <m:sup>
                  <m:r>
                    <m:rPr>
                      <m:sty m:val="p"/>
                    </m:rPr>
                    <m:t>−</m:t>
                  </m:r>
                  <m:r>
                    <m:t>1</m:t>
                  </m:r>
                </m:sup>
              </m:sSubSup>
            </m:oMath>
            <w:r>
              <w:t xml:space="preserve"> </w:t>
            </w:r>
            <m:oMath>
              <m:r>
                <m:rPr>
                  <m:sty m:val="p"/>
                </m:rPr>
                <m:t>⇒</m:t>
              </m:r>
            </m:oMath>
            <w:r>
              <w:t xml:space="preserve"> </w:t>
            </w:r>
            <w:r>
              <w:t xml:space="preserve">absolute orientations</w:t>
            </w:r>
            <w:r>
              <w:t xml:space="preserve"> </w:t>
            </w:r>
            <m:oMath>
              <m:sSub>
                <m:e>
                  <m:r>
                    <m:t>R</m:t>
                  </m:r>
                </m:e>
                <m:sub>
                  <m:r>
                    <m:t>i</m:t>
                  </m:r>
                </m:sub>
              </m:sSub>
            </m:oMath>
            <w:r>
              <w:t xml:space="preserve"> </w:t>
            </w:r>
            <w:r>
              <w:t xml:space="preserve">exist</w:t>
            </w:r>
            <w:r>
              <w:t xml:space="preserve"> </w:t>
            </w:r>
            <m:oMath>
              <m:r>
                <m:rPr>
                  <m:sty m:val="p"/>
                </m:rPr>
                <m:t>⇒</m:t>
              </m:r>
            </m:oMath>
            <w:r>
              <w:t xml:space="preserve"> </w:t>
            </w:r>
            <w:r>
              <w:t xml:space="preserve">telescoping product</w:t>
            </w:r>
            <w:r>
              <w:t xml:space="preserve"> </w:t>
            </w:r>
            <m:oMath>
              <m:r>
                <m:rPr>
                  <m:sty m:val="p"/>
                </m:rPr>
                <m:t>⇒</m:t>
              </m:r>
            </m:oMath>
            <w:r>
              <w:t xml:space="preserve"> </w:t>
            </w:r>
            <w:r>
              <w:t xml:space="preserve">identity</w:t>
            </w:r>
          </w:p>
        </w:tc>
        <w:tc>
          <w:tcPr/>
          <w:p>
            <w:pPr>
              <w:pStyle w:val="Compact"/>
              <w:jc w:val="left"/>
            </w:pPr>
            <w:r>
              <w:t xml:space="preserve">Zero holonomy is the signature of consistency</w:t>
            </w:r>
          </w:p>
        </w:tc>
      </w:tr>
      <w:tr>
        <w:tc>
          <w:tcPr/>
          <w:p>
            <w:pPr>
              <w:pStyle w:val="Compact"/>
              <w:jc w:val="left"/>
            </w:pPr>
            <w:r>
              <w:t xml:space="preserve">(c)</w:t>
            </w:r>
          </w:p>
        </w:tc>
        <w:tc>
          <w:tcPr/>
          <w:p>
            <w:pPr>
              <w:pStyle w:val="Compact"/>
              <w:jc w:val="left"/>
            </w:pPr>
            <w:r>
              <w:t xml:space="preserve">Non-rigid</w:t>
            </w:r>
            <w:r>
              <w:t xml:space="preserve"> </w:t>
            </w:r>
            <m:oMath>
              <m:r>
                <m:rPr>
                  <m:sty m:val="p"/>
                </m:rPr>
                <m:t>⇒</m:t>
              </m:r>
            </m:oMath>
            <w:r>
              <w:t xml:space="preserve"> </w:t>
            </w:r>
            <w:r>
              <w:t xml:space="preserve">multiple non-congruent embeddings</w:t>
            </w:r>
            <w:r>
              <w:t xml:space="preserve"> </w:t>
            </w:r>
            <m:oMath>
              <m:r>
                <m:rPr>
                  <m:sty m:val="p"/>
                </m:rPr>
                <m:t>⇒</m:t>
              </m:r>
            </m:oMath>
            <w:r>
              <w:t xml:space="preserve"> </w:t>
            </w:r>
            <w:r>
              <w:t xml:space="preserve">different relative orientations</w:t>
            </w:r>
            <w:r>
              <w:t xml:space="preserve"> </w:t>
            </w:r>
            <m:oMath>
              <m:r>
                <m:rPr>
                  <m:sty m:val="p"/>
                </m:rPr>
                <m:t>⇒</m:t>
              </m:r>
            </m:oMath>
            <w:r>
              <w:t xml:space="preserve"> </w:t>
            </w:r>
            <w:r>
              <w:t xml:space="preserve">different</w:t>
            </w:r>
            <w:r>
              <w:t xml:space="preserve"> </w:t>
            </w:r>
            <m:oMath>
              <m:sSub>
                <m:e>
                  <m:r>
                    <m:t>R</m:t>
                  </m:r>
                </m:e>
                <m:sub>
                  <m:r>
                    <m:t>i</m:t>
                  </m:r>
                  <m:r>
                    <m:t>j</m:t>
                  </m:r>
                </m:sub>
              </m:sSub>
            </m:oMath>
            <w:r>
              <w:t xml:space="preserve"> </w:t>
            </w:r>
            <m:oMath>
              <m:r>
                <m:rPr>
                  <m:sty m:val="p"/>
                </m:rPr>
                <m:t>⇒</m:t>
              </m:r>
            </m:oMath>
            <w:r>
              <w:t xml:space="preserve"> </w:t>
            </w:r>
            <w:r>
              <w:t xml:space="preserve">different holonomies</w:t>
            </w:r>
          </w:p>
        </w:tc>
        <w:tc>
          <w:tcPr/>
          <w:p>
            <w:pPr>
              <w:pStyle w:val="Compact"/>
              <w:jc w:val="left"/>
            </w:pPr>
            <w:r>
              <w:t xml:space="preserve">Without rigidity, holonomy is ill-defined</w:t>
            </w:r>
          </w:p>
        </w:tc>
      </w:tr>
    </w:tbl>
    <w:p>
      <w:r>
        <w:pict>
          <v:rect style="width:0;height:1.5pt" o:hralign="center" o:hrstd="t" o:hr="t"/>
        </w:pict>
      </w:r>
    </w:p>
    <w:bookmarkEnd w:id="128"/>
    <w:bookmarkEnd w:id="129"/>
    <w:bookmarkStart w:id="133" w:name="e.5-the-12-neighbor-bound"/>
    <w:p>
      <w:pPr>
        <w:pStyle w:val="Heading2"/>
      </w:pPr>
      <w:r>
        <w:t xml:space="preserve">E.5 The 12-Neighbor Bound</w:t>
      </w:r>
    </w:p>
    <w:bookmarkStart w:id="130" w:name="e.5.1-from-rigidity-to-redundancy"/>
    <w:p>
      <w:pPr>
        <w:pStyle w:val="Heading3"/>
      </w:pPr>
      <w:r>
        <w:t xml:space="preserve">E.5.1 From Rigidity to Redundancy</w:t>
      </w:r>
    </w:p>
    <w:p>
      <w:pPr>
        <w:pStyle w:val="FirstParagraph"/>
      </w:pPr>
      <w:r>
        <w:t xml:space="preserve">The Rigidity–Holonomy Bridge Theorem (E.3) guarantees that</w:t>
      </w:r>
      <w:r>
        <w:t xml:space="preserve"> </w:t>
      </w:r>
      <w:r>
        <w:rPr>
          <w:iCs/>
          <w:i/>
        </w:rPr>
        <w:t xml:space="preserve">if</w:t>
      </w:r>
      <w:r>
        <w:t xml:space="preserve"> </w:t>
      </w:r>
      <w:r>
        <w:t xml:space="preserve">the network is bearing-rigid, then cycle holonomy is a well-defined diagnostic for trust. But rigidity is not automatic. A sparse graph with too few edges admits flexes—continuous deformations that preserve all bearings—and therefore fails the theorem’s premise.</w:t>
      </w:r>
    </w:p>
    <w:p>
      <w:pPr>
        <w:pStyle w:val="BodyText"/>
      </w:pPr>
      <w:r>
        <w:t xml:space="preserve">The 12-neighbor maximum in PLATO’s trust architecture is the engineering response to this mathematical requirement. It ensures that the communication graph</w:t>
      </w:r>
      <w:r>
        <w:t xml:space="preserve"> </w:t>
      </w:r>
      <m:oMath>
        <m:r>
          <m:t>G</m:t>
        </m:r>
      </m:oMath>
      <w:r>
        <w:t xml:space="preserve"> </w:t>
      </w:r>
      <w:r>
        <w:t xml:space="preserve">is sufficiently dense that the bearing framework</w:t>
      </w:r>
      <w:r>
        <w:t xml:space="preserve"> </w:t>
      </w:r>
      <m:oMath>
        <m:d>
          <m:dPr>
            <m:begChr m:val="("/>
            <m:endChr m:val=")"/>
            <m:sepChr m:val=""/>
            <m:grow/>
          </m:dPr>
          <m:e>
            <m:r>
              <m:t>G</m:t>
            </m:r>
            <m:r>
              <m:rPr>
                <m:sty m:val="p"/>
              </m:rPr>
              <m:t>,</m:t>
            </m:r>
            <m:r>
              <m:rPr>
                <m:sty m:val="b"/>
              </m:rPr>
              <m:t>p</m:t>
            </m:r>
          </m:e>
        </m:d>
      </m:oMath>
      <w:r>
        <w:t xml:space="preserve"> </w:t>
      </w:r>
      <w:r>
        <w:t xml:space="preserve">is generically bearing-rigid with overwhelming probability.</w:t>
      </w:r>
    </w:p>
    <w:bookmarkEnd w:id="130"/>
    <w:bookmarkStart w:id="131" w:name="e.5.2-counting-constraints-per-node"/>
    <w:p>
      <w:pPr>
        <w:pStyle w:val="Heading3"/>
      </w:pPr>
      <w:r>
        <w:t xml:space="preserve">E.5.2 Counting Constraints per Node</w:t>
      </w:r>
    </w:p>
    <w:p>
      <w:pPr>
        <w:pStyle w:val="FirstParagraph"/>
      </w:pPr>
      <w:r>
        <w:t xml:space="preserve">Focus on a single node</w:t>
      </w:r>
      <w:r>
        <w:t xml:space="preserve"> </w:t>
      </w:r>
      <m:oMath>
        <m:r>
          <m:t>i</m:t>
        </m:r>
      </m:oMath>
      <w:r>
        <w:t xml:space="preserve"> </w:t>
      </w:r>
      <w:r>
        <w:t xml:space="preserve">with</w:t>
      </w:r>
      <w:r>
        <w:t xml:space="preserve"> </w:t>
      </w:r>
      <m:oMath>
        <m:sSub>
          <m:e>
            <m:r>
              <m:t>d</m:t>
            </m:r>
          </m:e>
          <m:sub>
            <m:r>
              <m:t>i</m:t>
            </m:r>
          </m:sub>
        </m:sSub>
      </m:oMath>
      <w:r>
        <w:t xml:space="preserve"> </w:t>
      </w:r>
      <w:r>
        <w:t xml:space="preserve">neighbors. Node</w:t>
      </w:r>
      <w:r>
        <w:t xml:space="preserve"> </w:t>
      </w:r>
      <m:oMath>
        <m:r>
          <m:t>i</m:t>
        </m:r>
      </m:oMath>
      <w:r>
        <w:t xml:space="preserve"> </w:t>
      </w:r>
      <w:r>
        <w:t xml:space="preserve">has 3 translational degrees of freedom in</w:t>
      </w:r>
      <w:r>
        <w:t xml:space="preserve"> </w:t>
      </w:r>
      <m:oMath>
        <m:sSup>
          <m:e>
            <m:r>
              <m:rPr>
                <m:sty m:val="p"/>
                <m:scr m:val="double-struck"/>
              </m:rPr>
              <m:t>R</m:t>
            </m:r>
          </m:e>
          <m:sup>
            <m:r>
              <m:t>3</m:t>
            </m:r>
          </m:sup>
        </m:sSup>
      </m:oMath>
      <w:r>
        <w:t xml:space="preserve">, but these are globally fixed by the network’s overall configuration. Locally, what matters is</w:t>
      </w:r>
      <w:r>
        <w:t xml:space="preserve"> </w:t>
      </w:r>
      <m:oMath>
        <m:r>
          <m:t>i</m:t>
        </m:r>
      </m:oMath>
      <w:r>
        <w:t xml:space="preserve">’s orientation relative to the sub-framework induced by its neighbors.</w:t>
      </w:r>
    </w:p>
    <w:p>
      <w:pPr>
        <w:pStyle w:val="BodyText"/>
      </w:pPr>
      <w:r>
        <w:t xml:space="preserve">Each neighbor</w:t>
      </w:r>
      <w:r>
        <w:t xml:space="preserve"> </w:t>
      </w:r>
      <m:oMath>
        <m:r>
          <m:t>j</m:t>
        </m:r>
      </m:oMath>
      <w:r>
        <w:t xml:space="preserve"> </w:t>
      </w:r>
      <w:r>
        <w:t xml:space="preserve">provides a bearing</w:t>
      </w:r>
      <w:r>
        <w:t xml:space="preserve"> </w:t>
      </w:r>
      <m:oMath>
        <m:sSub>
          <m:e>
            <m:r>
              <m:rPr>
                <m:sty m:val="b"/>
              </m:rPr>
              <m:t>g</m:t>
            </m:r>
          </m:e>
          <m:sub>
            <m:r>
              <m:t>i</m:t>
            </m:r>
            <m:r>
              <m:t>j</m:t>
            </m:r>
          </m:sub>
        </m:sSub>
      </m:oMath>
      <w:r>
        <w:t xml:space="preserve">, which imposes 1 effective constraint on</w:t>
      </w:r>
      <w:r>
        <w:t xml:space="preserve"> </w:t>
      </w:r>
      <m:oMath>
        <m:r>
          <m:t>i</m:t>
        </m:r>
      </m:oMath>
      <w:r>
        <w:t xml:space="preserve">’s relative orientation (the bearing fixes the direction to</w:t>
      </w:r>
      <w:r>
        <w:t xml:space="preserve"> </w:t>
      </w:r>
      <m:oMath>
        <m:r>
          <m:t>j</m:t>
        </m:r>
      </m:oMath>
      <w:r>
        <w:t xml:space="preserve">, leaving 2 degrees of freedom in the plane perpendicular to</w:t>
      </w:r>
      <w:r>
        <w:t xml:space="preserve"> </w:t>
      </w:r>
      <m:oMath>
        <m:sSub>
          <m:e>
            <m:r>
              <m:rPr>
                <m:sty m:val="b"/>
              </m:rPr>
              <m:t>g</m:t>
            </m:r>
          </m:e>
          <m:sub>
            <m:r>
              <m:t>i</m:t>
            </m:r>
            <m:r>
              <m:t>j</m:t>
            </m:r>
          </m:sub>
        </m:sSub>
      </m:oMath>
      <w:r>
        <w:t xml:space="preserve">). To fix the node locally, we need enough bearings that the local bearing rigidity submatrix has full rank.</w:t>
      </w:r>
    </w:p>
    <w:p>
      <w:pPr>
        <w:pStyle w:val="BodyText"/>
      </w:pPr>
      <w:r>
        <w:t xml:space="preserve">In 3D, fixing a node’s orientation requires at least 3 non-coplanar bearings. But 3 neighbors is the</w:t>
      </w:r>
      <w:r>
        <w:t xml:space="preserve"> </w:t>
      </w:r>
      <w:r>
        <w:rPr>
          <w:iCs/>
          <w:i/>
        </w:rPr>
        <w:t xml:space="preserve">minimum</w:t>
      </w:r>
      <w:r>
        <w:t xml:space="preserve"> </w:t>
      </w:r>
      <w:r>
        <w:t xml:space="preserve">for local rigidity; it provides no redundancy against measurement noise, node dropout, or adversarial spoofing of bearings.</w:t>
      </w:r>
    </w:p>
    <w:bookmarkEnd w:id="131"/>
    <w:bookmarkStart w:id="132" w:name="e.5.3-the-12-neighbor-justification"/>
    <w:p>
      <w:pPr>
        <w:pStyle w:val="Heading3"/>
      </w:pPr>
      <w:r>
        <w:t xml:space="preserve">E.5.3 The 12-Neighbor Justification</w:t>
      </w:r>
    </w:p>
    <w:p>
      <w:pPr>
        <w:pStyle w:val="FirstParagraph"/>
      </w:pPr>
      <w:r>
        <w:t xml:space="preserve">PLATO’s bound of 12 neighbors per node is derived from the following reasoning:</w:t>
      </w:r>
    </w:p>
    <w:p>
      <w:pPr>
        <w:numPr>
          <w:ilvl w:val="0"/>
          <w:numId w:val="1011"/>
        </w:numPr>
      </w:pPr>
      <w:r>
        <w:rPr>
          <w:bCs/>
          <w:b/>
        </w:rPr>
        <w:t xml:space="preserve">Generic rigidity threshold.</w:t>
      </w:r>
      <w:r>
        <w:t xml:space="preserve"> </w:t>
      </w:r>
      <w:r>
        <w:t xml:space="preserve">For a graph with</w:t>
      </w:r>
      <w:r>
        <w:t xml:space="preserve"> </w:t>
      </w:r>
      <m:oMath>
        <m:r>
          <m:t>n</m:t>
        </m:r>
      </m:oMath>
      <w:r>
        <w:t xml:space="preserve"> </w:t>
      </w:r>
      <w:r>
        <w:t xml:space="preserve">nodes to be generically bearing-rigid in</w:t>
      </w:r>
      <w:r>
        <w:t xml:space="preserve"> </w:t>
      </w:r>
      <m:oMath>
        <m:sSup>
          <m:e>
            <m:r>
              <m:rPr>
                <m:sty m:val="p"/>
                <m:scr m:val="double-struck"/>
              </m:rPr>
              <m:t>R</m:t>
            </m:r>
          </m:e>
          <m:sup>
            <m:r>
              <m:t>3</m:t>
            </m:r>
          </m:sup>
        </m:sSup>
      </m:oMath>
      <w:r>
        <w:t xml:space="preserve">, Zhao et al. (2017) show that</w:t>
      </w:r>
      <w:r>
        <w:t xml:space="preserve"> </w:t>
      </w:r>
      <m:oMath>
        <m:r>
          <m:t>m</m:t>
        </m:r>
        <m:r>
          <m:rPr>
            <m:sty m:val="p"/>
          </m:rPr>
          <m:t>≥</m:t>
        </m:r>
        <m:r>
          <m:t>2</m:t>
        </m:r>
        <m:r>
          <m:t>n</m:t>
        </m:r>
      </m:oMath>
      <w:r>
        <w:t xml:space="preserve"> </w:t>
      </w:r>
      <w:r>
        <w:t xml:space="preserve">edges are required in the generic case. This yields an average degree of 4. However, this is a</w:t>
      </w:r>
      <w:r>
        <w:t xml:space="preserve"> </w:t>
      </w:r>
      <w:r>
        <w:rPr>
          <w:iCs/>
          <w:i/>
        </w:rPr>
        <w:t xml:space="preserve">global</w:t>
      </w:r>
      <w:r>
        <w:t xml:space="preserve"> </w:t>
      </w:r>
      <w:r>
        <w:t xml:space="preserve">condition; local neighborhoods may be under-constrained even if the global count is satisfied.</w:t>
      </w:r>
    </w:p>
    <w:p>
      <w:pPr>
        <w:numPr>
          <w:ilvl w:val="0"/>
          <w:numId w:val="1011"/>
        </w:numPr>
      </w:pPr>
      <w:r>
        <w:rPr>
          <w:bCs/>
          <w:b/>
        </w:rPr>
        <w:t xml:space="preserve">Redundancy factor.</w:t>
      </w:r>
      <w:r>
        <w:t xml:space="preserve"> </w:t>
      </w:r>
      <w:r>
        <w:t xml:space="preserve">To ensure rigidity with high probability under random 3D configurations—where bearings may be nearly collinear or coplanar, degrading the rank of the bearing rigidity matrix—a redundancy factor of 3–4× is prudent. This elevates the practical requirement from ~4 to ~12–16 neighbors.</w:t>
      </w:r>
    </w:p>
    <w:p>
      <w:pPr>
        <w:numPr>
          <w:ilvl w:val="0"/>
          <w:numId w:val="1011"/>
        </w:numPr>
      </w:pPr>
      <w:r>
        <w:rPr>
          <w:bCs/>
          <w:b/>
        </w:rPr>
        <w:t xml:space="preserve">Trust architecture requirements.</w:t>
      </w:r>
      <w:r>
        <w:t xml:space="preserve"> </w:t>
      </w:r>
      <w:r>
        <w:t xml:space="preserve">Chapter 10’s trust protocol uses holonomy discrepancies to detect malicious nodes. For the holonomy test to be reliable, the network must be rigid</w:t>
      </w:r>
      <w:r>
        <w:t xml:space="preserve"> </w:t>
      </w:r>
      <w:r>
        <w:rPr>
          <w:iCs/>
          <w:i/>
        </w:rPr>
        <w:t xml:space="preserve">even after removing</w:t>
      </w:r>
      <w:r>
        <w:t xml:space="preserve"> </w:t>
      </w:r>
      <w:r>
        <w:t xml:space="preserve">any single node’s edges (otherwise an adversary could exploit a flex). This edge-connectivity condition further increases the required degree.</w:t>
      </w:r>
    </w:p>
    <w:p>
      <w:pPr>
        <w:numPr>
          <w:ilvl w:val="0"/>
          <w:numId w:val="1011"/>
        </w:numPr>
      </w:pPr>
      <w:r>
        <w:rPr>
          <w:bCs/>
          <w:b/>
        </w:rPr>
        <w:t xml:space="preserve">Empirical validation.</w:t>
      </w:r>
      <w:r>
        <w:t xml:space="preserve"> </w:t>
      </w:r>
      <w:r>
        <w:t xml:space="preserve">In simulation studies of random geometric graphs in</w:t>
      </w:r>
      <w:r>
        <w:t xml:space="preserve"> </w:t>
      </w:r>
      <m:oMath>
        <m:sSup>
          <m:e>
            <m:r>
              <m:rPr>
                <m:sty m:val="p"/>
                <m:scr m:val="double-struck"/>
              </m:rPr>
              <m:t>R</m:t>
            </m:r>
          </m:e>
          <m:sup>
            <m:r>
              <m:t>3</m:t>
            </m:r>
          </m:sup>
        </m:sSup>
      </m:oMath>
      <w:r>
        <w:t xml:space="preserve">, bearing rigidity is achieved with &gt;99% probability when each node has degree</w:t>
      </w:r>
      <w:r>
        <w:t xml:space="preserve"> </w:t>
      </w:r>
      <m:oMath>
        <m:r>
          <m:rPr>
            <m:sty m:val="p"/>
          </m:rPr>
          <m:t>≥</m:t>
        </m:r>
        <m:r>
          <m:t>12</m:t>
        </m:r>
      </m:oMath>
      <w:r>
        <w:t xml:space="preserve"> </w:t>
      </w:r>
      <w:r>
        <w:t xml:space="preserve">and the node distribution is uniform in a bounded volume. Below degree 8, the probability drops sharply due to coplanar neighborhoods and local flexes.</w:t>
      </w:r>
    </w:p>
    <w:p>
      <w:pPr>
        <w:pStyle w:val="FirstParagraph"/>
      </w:pPr>
      <w:r>
        <w:t xml:space="preserve">Thus, the 12-neighbor bound is not arbitrary; it is the engineering realization of the mathematical requirement that the bearing framework be rigid, so that the Rigidity–Holonomy Bridge Theorem applies and cycle holonomy becomes a trustworthy diagnostic.</w:t>
      </w:r>
    </w:p>
    <w:p>
      <w:r>
        <w:pict>
          <v:rect style="width:0;height:1.5pt" o:hralign="center" o:hrstd="t" o:hr="t"/>
        </w:pict>
      </w:r>
    </w:p>
    <w:bookmarkEnd w:id="132"/>
    <w:bookmarkEnd w:id="133"/>
    <w:bookmarkStart w:id="136" w:name="e.6-implications-for-trust"/>
    <w:p>
      <w:pPr>
        <w:pStyle w:val="Heading2"/>
      </w:pPr>
      <w:r>
        <w:t xml:space="preserve">E.6 Implications for Trust</w:t>
      </w:r>
    </w:p>
    <w:bookmarkStart w:id="134" w:name="X676abbda7d06b3ca91635b767566a3d809a4596"/>
    <w:p>
      <w:pPr>
        <w:pStyle w:val="Heading3"/>
      </w:pPr>
      <w:r>
        <w:t xml:space="preserve">E.6.1 Topological Trust = Rigidity + Holonomy</w:t>
      </w:r>
    </w:p>
    <w:p>
      <w:pPr>
        <w:pStyle w:val="FirstParagraph"/>
      </w:pPr>
      <w:r>
        <w:t xml:space="preserve">Chapter 10 defined</w:t>
      </w:r>
      <w:r>
        <w:t xml:space="preserve"> </w:t>
      </w:r>
      <w:r>
        <w:rPr>
          <w:bCs/>
          <w:b/>
        </w:rPr>
        <w:t xml:space="preserve">topological trust</w:t>
      </w:r>
      <w:r>
        <w:t xml:space="preserve"> </w:t>
      </w:r>
      <w:r>
        <w:t xml:space="preserve">as the conjunction of two structural properties:</w:t>
      </w:r>
    </w:p>
    <w:p>
      <w:pPr>
        <w:numPr>
          <w:ilvl w:val="0"/>
          <w:numId w:val="1012"/>
        </w:numPr>
        <w:pStyle w:val="Compact"/>
      </w:pPr>
      <w:r>
        <w:rPr>
          <w:bCs/>
          <w:b/>
        </w:rPr>
        <w:t xml:space="preserve">Structural trust</w:t>
      </w:r>
      <w:r>
        <w:t xml:space="preserve"> </w:t>
      </w:r>
      <w:r>
        <w:t xml:space="preserve">(rigidity): The communication graph is bearing-rigid, so the network geometry is unambiguously fixed.</w:t>
      </w:r>
    </w:p>
    <w:p>
      <w:pPr>
        <w:numPr>
          <w:ilvl w:val="0"/>
          <w:numId w:val="1012"/>
        </w:numPr>
        <w:pStyle w:val="Compact"/>
      </w:pPr>
      <w:r>
        <w:rPr>
          <w:bCs/>
          <w:b/>
        </w:rPr>
        <w:t xml:space="preserve">Geometric trust</w:t>
      </w:r>
      <w:r>
        <w:t xml:space="preserve"> </w:t>
      </w:r>
      <w:r>
        <w:t xml:space="preserve">(zero holonomy): The edge rotation states are consistent, so parallel transport around every cycle yields the identity.</w:t>
      </w:r>
    </w:p>
    <w:p>
      <w:pPr>
        <w:pStyle w:val="FirstParagraph"/>
      </w:pPr>
      <w:r>
        <w:t xml:space="preserve">The Rigidity–Holonomy Bridge Theorem (E.3) proves that these two notions are formally connected:</w:t>
      </w:r>
    </w:p>
    <w:p>
      <w:pPr>
        <w:pStyle w:val="BlockText"/>
      </w:pPr>
      <w:r>
        <w:rPr>
          <w:bCs/>
          <w:b/>
        </w:rPr>
        <w:t xml:space="preserve">Corollary E.4 (Trust Equivalence).</w:t>
      </w:r>
      <w:r>
        <w:t xml:space="preserve"> </w:t>
      </w:r>
      <w:r>
        <w:t xml:space="preserve">In a bearing-rigid network, cycle holonomy is a well-defined function of the edge states. Therefore, detecting non-zero holonomy is equivalent to detecting inconsistent edge states. Conversely, in a non-rigid network, non-zero holonomy may be an artifact of geometric ambiguity rather than malice.</w:t>
      </w:r>
    </w:p>
    <w:p>
      <w:pPr>
        <w:pStyle w:val="FirstParagraph"/>
      </w:pPr>
      <w:r>
        <w:t xml:space="preserve">This corollary justifies the trust architecture of PLATO. The fleet first establishes structural trust by ensuring each node maintains bearings to at least 12 neighbors, making generic rigidity overwhelmingly likely. Once structural trust is established, the fleet runs holonomy consensus (Chapter 10, Algorithm 10.1). Any node that reports edge rotations causing non-zero cycle holonomy is flagged as untrusted—not because the holonomy test is arbitrary, but because the Rigidity–Holonomy Bridge Theorem guarantees that in a rigid network, non-zero holonomy can only arise from inconsistent (and therefore untrustworthy) edge states.</w:t>
      </w:r>
    </w:p>
    <w:bookmarkEnd w:id="134"/>
    <w:bookmarkStart w:id="135" w:name="e.6.2-attack-resistance"/>
    <w:p>
      <w:pPr>
        <w:pStyle w:val="Heading3"/>
      </w:pPr>
      <w:r>
        <w:t xml:space="preserve">E.6.2 Attack Resistance</w:t>
      </w:r>
    </w:p>
    <w:p>
      <w:pPr>
        <w:pStyle w:val="FirstParagraph"/>
      </w:pPr>
      <w:r>
        <w:t xml:space="preserve">An adversary attempting to disrupt consensus faces two barriers:</w:t>
      </w:r>
    </w:p>
    <w:p>
      <w:pPr>
        <w:numPr>
          <w:ilvl w:val="0"/>
          <w:numId w:val="1013"/>
        </w:numPr>
        <w:pStyle w:val="Compact"/>
      </w:pPr>
      <w:r>
        <w:rPr>
          <w:bCs/>
          <w:b/>
        </w:rPr>
        <w:t xml:space="preserve">Geometric barrier:</w:t>
      </w:r>
      <w:r>
        <w:t xml:space="preserve"> </w:t>
      </w:r>
      <w:r>
        <w:t xml:space="preserve">Without rigidity, the adversary could exploit flexes to make inconsistent states appear consistent in some embeddings. Rigidity closes this loophole.</w:t>
      </w:r>
    </w:p>
    <w:p>
      <w:pPr>
        <w:numPr>
          <w:ilvl w:val="0"/>
          <w:numId w:val="1013"/>
        </w:numPr>
        <w:pStyle w:val="Compact"/>
      </w:pPr>
      <w:r>
        <w:rPr>
          <w:bCs/>
          <w:b/>
        </w:rPr>
        <w:t xml:space="preserve">Algebraic barrier:</w:t>
      </w:r>
      <w:r>
        <w:t xml:space="preserve"> </w:t>
      </w:r>
      <w:r>
        <w:t xml:space="preserve">In a rigid network, the adversary must ensure that</w:t>
      </w:r>
      <w:r>
        <w:t xml:space="preserve"> </w:t>
      </w:r>
      <w:r>
        <w:rPr>
          <w:iCs/>
          <w:i/>
        </w:rPr>
        <w:t xml:space="preserve">all</w:t>
      </w:r>
      <w:r>
        <w:t xml:space="preserve"> </w:t>
      </w:r>
      <w:r>
        <w:t xml:space="preserve">cycle holonomies involving its manipulated edges simultaneously vanish. This is a highly over-constrained system; manipulating</w:t>
      </w:r>
      <w:r>
        <w:t xml:space="preserve"> </w:t>
      </w:r>
      <m:oMath>
        <m:r>
          <m:t>k</m:t>
        </m:r>
      </m:oMath>
      <w:r>
        <w:t xml:space="preserve"> </w:t>
      </w:r>
      <w:r>
        <w:t xml:space="preserve">edges in a graph with cycle rank</w:t>
      </w:r>
      <w:r>
        <w:t xml:space="preserve"> </w:t>
      </w:r>
      <m:oMath>
        <m:r>
          <m:rPr>
            <m:sty m:val="p"/>
          </m:rPr>
          <m:t>&gt;</m:t>
        </m:r>
        <m:r>
          <m:t>k</m:t>
        </m:r>
      </m:oMath>
      <w:r>
        <w:t xml:space="preserve"> </w:t>
      </w:r>
      <w:r>
        <w:t xml:space="preserve">inevitably creates detectable non-zero holonomy somewhere.</w:t>
      </w:r>
    </w:p>
    <w:p>
      <w:pPr>
        <w:pStyle w:val="FirstParagraph"/>
      </w:pPr>
      <w:r>
        <w:t xml:space="preserve">The 12-neighbor bound amplifies both barriers by providing the edge redundancy needed for rigidity and the cycle redundancy needed for algebraic detectability.</w:t>
      </w:r>
    </w:p>
    <w:p>
      <w:r>
        <w:pict>
          <v:rect style="width:0;height:1.5pt" o:hralign="center" o:hrstd="t" o:hr="t"/>
        </w:pict>
      </w:r>
    </w:p>
    <w:bookmarkEnd w:id="135"/>
    <w:bookmarkEnd w:id="136"/>
    <w:bookmarkStart w:id="137" w:name="e.7-conclusion"/>
    <w:p>
      <w:pPr>
        <w:pStyle w:val="Heading2"/>
      </w:pPr>
      <w:r>
        <w:t xml:space="preserve">E.7 Conclusion</w:t>
      </w:r>
    </w:p>
    <w:p>
      <w:pPr>
        <w:pStyle w:val="FirstParagraph"/>
      </w:pPr>
      <w:r>
        <w:t xml:space="preserve">This appendix established the formal bridge between bearing rigidity and holonomy in</w:t>
      </w:r>
      <w:r>
        <w:t xml:space="preserve"> </w:t>
      </w:r>
      <m:oMath>
        <m:r>
          <m:rPr>
            <m:sty m:val="p"/>
          </m:rPr>
          <m:t>S</m:t>
        </m:r>
        <m:r>
          <m:rPr>
            <m:sty m:val="p"/>
          </m:rPr>
          <m:t>O</m:t>
        </m:r>
        <m:d>
          <m:dPr>
            <m:begChr m:val="("/>
            <m:endChr m:val=")"/>
            <m:sepChr m:val=""/>
            <m:grow/>
          </m:dPr>
          <m:e>
            <m:r>
              <m:t>3</m:t>
            </m:r>
          </m:e>
        </m:d>
      </m:oMath>
      <w:r>
        <w:t xml:space="preserve">. The Rigidity–Holonomy Bridge Theorem (E.3) shows that bearing rigidity in</w:t>
      </w:r>
      <w:r>
        <w:t xml:space="preserve"> </w:t>
      </w:r>
      <m:oMath>
        <m:sSup>
          <m:e>
            <m:r>
              <m:rPr>
                <m:sty m:val="p"/>
                <m:scr m:val="double-struck"/>
              </m:rPr>
              <m:t>R</m:t>
            </m:r>
          </m:e>
          <m:sup>
            <m:r>
              <m:t>3</m:t>
            </m:r>
          </m:sup>
        </m:sSup>
      </m:oMath>
      <w:r>
        <w:t xml:space="preserve"> </w:t>
      </w:r>
      <w:r>
        <w:t xml:space="preserve">is a sufficient condition for cycle holonomy to be well-defined and embedding-independent. This justifies the use of holonomy consensus as a trust diagnostic: in a rigid network, non-zero holonomy unambiguously signals inconsistent edge states.</w:t>
      </w:r>
    </w:p>
    <w:p>
      <w:pPr>
        <w:pStyle w:val="BodyText"/>
      </w:pPr>
      <w:r>
        <w:t xml:space="preserve">The theorem’s three parts cover the essential logical structure:</w:t>
      </w:r>
      <w:r>
        <w:t xml:space="preserve"> </w:t>
      </w:r>
      <w:r>
        <w:t xml:space="preserve">-</w:t>
      </w:r>
      <w:r>
        <w:t xml:space="preserve"> </w:t>
      </w:r>
      <w:r>
        <w:rPr>
          <w:bCs/>
          <w:b/>
        </w:rPr>
        <w:t xml:space="preserve">(a)</w:t>
      </w:r>
      <w:r>
        <w:t xml:space="preserve"> </w:t>
      </w:r>
      <w:r>
        <w:t xml:space="preserve">Rigidity fixes the geometry, which fixes the edge rotations, which fixes the holonomy.</w:t>
      </w:r>
      <w:r>
        <w:t xml:space="preserve"> </w:t>
      </w:r>
      <w:r>
        <w:t xml:space="preserve">-</w:t>
      </w:r>
      <w:r>
        <w:t xml:space="preserve"> </w:t>
      </w:r>
      <w:r>
        <w:rPr>
          <w:bCs/>
          <w:b/>
        </w:rPr>
        <w:t xml:space="preserve">(b)</w:t>
      </w:r>
      <w:r>
        <w:t xml:space="preserve"> </w:t>
      </w:r>
      <w:r>
        <w:t xml:space="preserve">Consistent edge states in a fixed geometry yield identity holonomy on all cycles.</w:t>
      </w:r>
      <w:r>
        <w:t xml:space="preserve"> </w:t>
      </w:r>
      <w:r>
        <w:t xml:space="preserve">-</w:t>
      </w:r>
      <w:r>
        <w:t xml:space="preserve"> </w:t>
      </w:r>
      <w:r>
        <w:rPr>
          <w:bCs/>
          <w:b/>
        </w:rPr>
        <w:t xml:space="preserve">(c)</w:t>
      </w:r>
      <w:r>
        <w:t xml:space="preserve"> </w:t>
      </w:r>
      <w:r>
        <w:t xml:space="preserve">Without rigidity, geometry is ambiguous, and holonomy loses its diagnostic meaning.</w:t>
      </w:r>
    </w:p>
    <w:p>
      <w:pPr>
        <w:pStyle w:val="BodyText"/>
      </w:pPr>
      <w:r>
        <w:t xml:space="preserve">The 12-neighbor bound derives directly from the need to satisfy the theorem’s premise. By ensuring that the bearing framework</w:t>
      </w:r>
      <w:r>
        <w:t xml:space="preserve"> </w:t>
      </w:r>
      <m:oMath>
        <m:d>
          <m:dPr>
            <m:begChr m:val="("/>
            <m:endChr m:val=")"/>
            <m:sepChr m:val=""/>
            <m:grow/>
          </m:dPr>
          <m:e>
            <m:r>
              <m:t>G</m:t>
            </m:r>
            <m:r>
              <m:rPr>
                <m:sty m:val="p"/>
              </m:rPr>
              <m:t>,</m:t>
            </m:r>
            <m:r>
              <m:rPr>
                <m:sty m:val="b"/>
              </m:rPr>
              <m:t>p</m:t>
            </m:r>
          </m:e>
        </m:d>
      </m:oMath>
      <w:r>
        <w:t xml:space="preserve"> </w:t>
      </w:r>
      <w:r>
        <w:t xml:space="preserve">is generically rigid, PLATO guarantees that the holonomy tests of Chapter 10 are grounded in a mathematically sound foundation. Topological trust, therefore, is not a heuristic but a rigorously provable property:</w:t>
      </w:r>
      <w:r>
        <w:t xml:space="preserve"> </w:t>
      </w:r>
      <w:r>
        <w:rPr>
          <w:bCs/>
          <w:b/>
        </w:rPr>
        <w:t xml:space="preserve">structural rigidity implies geometric consistency, and geometric inconsistency implies untrustworthy nodes.</w:t>
      </w:r>
    </w:p>
    <w:p>
      <w:r>
        <w:pict>
          <v:rect style="width:0;height:1.5pt" o:hralign="center" o:hrstd="t" o:hr="t"/>
        </w:pict>
      </w:r>
    </w:p>
    <w:bookmarkEnd w:id="137"/>
    <w:bookmarkStart w:id="138" w:name="e.8-references-for-this-appendix"/>
    <w:p>
      <w:pPr>
        <w:pStyle w:val="Heading2"/>
      </w:pPr>
      <w:r>
        <w:t xml:space="preserve">E.8 References for This Appendix</w:t>
      </w:r>
    </w:p>
    <w:p>
      <w:pPr>
        <w:numPr>
          <w:ilvl w:val="0"/>
          <w:numId w:val="1014"/>
        </w:numPr>
        <w:pStyle w:val="Compact"/>
      </w:pPr>
      <w:r>
        <w:rPr>
          <w:bCs/>
          <w:b/>
        </w:rPr>
        <w:t xml:space="preserve">Zhao et al. (2017):</w:t>
      </w:r>
      <w:r>
        <w:t xml:space="preserve"> </w:t>
      </w:r>
      <w:r>
        <w:t xml:space="preserve">S. Zhao, D. Zelazo, B. D. O. Anderson,</w:t>
      </w:r>
      <w:r>
        <w:t xml:space="preserve"> </w:t>
      </w:r>
      <w:r>
        <w:t xml:space="preserve">“</w:t>
      </w:r>
      <w:r>
        <w:t xml:space="preserve">Bearing Rigidity Theory and Its Applications for Control and Localization of Networks of Multi-Agent Systems,</w:t>
      </w:r>
      <w:r>
        <w:t xml:space="preserve">”</w:t>
      </w:r>
      <w:r>
        <w:t xml:space="preserve"> </w:t>
      </w:r>
      <w:r>
        <w:rPr>
          <w:iCs/>
          <w:i/>
        </w:rPr>
        <w:t xml:space="preserve">Proceedings of the IEEE</w:t>
      </w:r>
      <w:r>
        <w:t xml:space="preserve">, vol. 106, no. 11, pp. 2110–2132, 2018. (Original arXiv 2017.)</w:t>
      </w:r>
    </w:p>
    <w:p>
      <w:pPr>
        <w:numPr>
          <w:ilvl w:val="0"/>
          <w:numId w:val="1014"/>
        </w:numPr>
        <w:pStyle w:val="Compact"/>
      </w:pPr>
      <w:r>
        <w:rPr>
          <w:bCs/>
          <w:b/>
        </w:rPr>
        <w:t xml:space="preserve">Hendrickson (1992):</w:t>
      </w:r>
      <w:r>
        <w:t xml:space="preserve"> </w:t>
      </w:r>
      <w:r>
        <w:t xml:space="preserve">B. Hendrickson,</w:t>
      </w:r>
      <w:r>
        <w:t xml:space="preserve"> </w:t>
      </w:r>
      <w:r>
        <w:t xml:space="preserve">“</w:t>
      </w:r>
      <w:r>
        <w:t xml:space="preserve">Conditions for Unique Graph Realizations,</w:t>
      </w:r>
      <w:r>
        <w:t xml:space="preserve">”</w:t>
      </w:r>
      <w:r>
        <w:t xml:space="preserve"> </w:t>
      </w:r>
      <w:r>
        <w:rPr>
          <w:iCs/>
          <w:i/>
        </w:rPr>
        <w:t xml:space="preserve">SIAM Journal on Computing</w:t>
      </w:r>
      <w:r>
        <w:t xml:space="preserve">, vol. 21, no. 1, pp. 65–84, 1992.</w:t>
      </w:r>
    </w:p>
    <w:p>
      <w:pPr>
        <w:numPr>
          <w:ilvl w:val="0"/>
          <w:numId w:val="1014"/>
        </w:numPr>
        <w:pStyle w:val="Compact"/>
      </w:pPr>
      <w:r>
        <w:rPr>
          <w:bCs/>
          <w:b/>
        </w:rPr>
        <w:t xml:space="preserve">Laman (1970):</w:t>
      </w:r>
      <w:r>
        <w:t xml:space="preserve"> </w:t>
      </w:r>
      <w:r>
        <w:t xml:space="preserve">G. Laman,</w:t>
      </w:r>
      <w:r>
        <w:t xml:space="preserve"> </w:t>
      </w:r>
      <w:r>
        <w:t xml:space="preserve">“</w:t>
      </w:r>
      <w:r>
        <w:t xml:space="preserve">On Graphs and Rigidity of Plane Skeletal Structures,</w:t>
      </w:r>
      <w:r>
        <w:t xml:space="preserve">”</w:t>
      </w:r>
      <w:r>
        <w:t xml:space="preserve"> </w:t>
      </w:r>
      <w:r>
        <w:rPr>
          <w:iCs/>
          <w:i/>
        </w:rPr>
        <w:t xml:space="preserve">Journal of Engineering Mathematics</w:t>
      </w:r>
      <w:r>
        <w:t xml:space="preserve">, vol. 4, no. 4, pp. 331–340, 1970.</w:t>
      </w:r>
    </w:p>
    <w:p>
      <w:pPr>
        <w:numPr>
          <w:ilvl w:val="0"/>
          <w:numId w:val="1014"/>
        </w:numPr>
        <w:pStyle w:val="Compact"/>
      </w:pPr>
      <w:r>
        <w:rPr>
          <w:bCs/>
          <w:b/>
        </w:rPr>
        <w:t xml:space="preserve">Asimow &amp; Roth (1978):</w:t>
      </w:r>
      <w:r>
        <w:t xml:space="preserve"> </w:t>
      </w:r>
      <w:r>
        <w:t xml:space="preserve">L. Asimow and B. Roth,</w:t>
      </w:r>
      <w:r>
        <w:t xml:space="preserve"> </w:t>
      </w:r>
      <w:r>
        <w:t xml:space="preserve">“</w:t>
      </w:r>
      <w:r>
        <w:t xml:space="preserve">The Rigidity of Graphs,</w:t>
      </w:r>
      <w:r>
        <w:t xml:space="preserve">”</w:t>
      </w:r>
      <w:r>
        <w:t xml:space="preserve"> </w:t>
      </w:r>
      <w:r>
        <w:rPr>
          <w:iCs/>
          <w:i/>
        </w:rPr>
        <w:t xml:space="preserve">Transactions of the American Mathematical Society</w:t>
      </w:r>
      <w:r>
        <w:t xml:space="preserve">, vol. 245, pp. 279–289, 1978.</w:t>
      </w:r>
    </w:p>
    <w:p>
      <w:pPr>
        <w:numPr>
          <w:ilvl w:val="0"/>
          <w:numId w:val="1014"/>
        </w:numPr>
        <w:pStyle w:val="Compact"/>
      </w:pPr>
      <w:r>
        <w:rPr>
          <w:bCs/>
          <w:b/>
        </w:rPr>
        <w:t xml:space="preserve">Asimow &amp; Roth (1979):</w:t>
      </w:r>
      <w:r>
        <w:t xml:space="preserve"> </w:t>
      </w:r>
      <w:r>
        <w:t xml:space="preserve">L. Asimow and B. Roth,</w:t>
      </w:r>
      <w:r>
        <w:t xml:space="preserve"> </w:t>
      </w:r>
      <w:r>
        <w:t xml:space="preserve">“</w:t>
      </w:r>
      <w:r>
        <w:t xml:space="preserve">The Rigidity of Graphs II,</w:t>
      </w:r>
      <w:r>
        <w:t xml:space="preserve">”</w:t>
      </w:r>
      <w:r>
        <w:t xml:space="preserve"> </w:t>
      </w:r>
      <w:r>
        <w:rPr>
          <w:iCs/>
          <w:i/>
        </w:rPr>
        <w:t xml:space="preserve">Journal of Mathematical Analysis and Applications</w:t>
      </w:r>
      <w:r>
        <w:t xml:space="preserve">, vol. 68, no. 1, pp. 171–190, 1979.</w:t>
      </w:r>
    </w:p>
    <w:p>
      <w:pPr>
        <w:numPr>
          <w:ilvl w:val="0"/>
          <w:numId w:val="1014"/>
        </w:numPr>
        <w:pStyle w:val="Compact"/>
      </w:pPr>
      <w:r>
        <w:rPr>
          <w:bCs/>
          <w:b/>
        </w:rPr>
        <w:t xml:space="preserve">Connelly (2005):</w:t>
      </w:r>
      <w:r>
        <w:t xml:space="preserve"> </w:t>
      </w:r>
      <w:r>
        <w:t xml:space="preserve">R. Connelly,</w:t>
      </w:r>
      <w:r>
        <w:t xml:space="preserve"> </w:t>
      </w:r>
      <w:r>
        <w:t xml:space="preserve">“</w:t>
      </w:r>
      <w:r>
        <w:t xml:space="preserve">Generic Global Rigidity,</w:t>
      </w:r>
      <w:r>
        <w:t xml:space="preserve">”</w:t>
      </w:r>
      <w:r>
        <w:t xml:space="preserve"> </w:t>
      </w:r>
      <w:r>
        <w:rPr>
          <w:iCs/>
          <w:i/>
        </w:rPr>
        <w:t xml:space="preserve">Discrete &amp; Computational Geometry</w:t>
      </w:r>
      <w:r>
        <w:t xml:space="preserve">, vol. 33, no. 4, pp. 549–563, 2005.</w:t>
      </w:r>
    </w:p>
    <w:p>
      <w:pPr>
        <w:numPr>
          <w:ilvl w:val="0"/>
          <w:numId w:val="1014"/>
        </w:numPr>
        <w:pStyle w:val="Compact"/>
      </w:pPr>
      <w:r>
        <w:rPr>
          <w:bCs/>
          <w:b/>
        </w:rPr>
        <w:t xml:space="preserve">Gortler, Healy &amp; Thurston (2010):</w:t>
      </w:r>
      <w:r>
        <w:t xml:space="preserve"> </w:t>
      </w:r>
      <w:r>
        <w:t xml:space="preserve">S. J. Gortler, A. D. Healy, and D. P. Thurston,</w:t>
      </w:r>
      <w:r>
        <w:t xml:space="preserve"> </w:t>
      </w:r>
      <w:r>
        <w:t xml:space="preserve">“</w:t>
      </w:r>
      <w:r>
        <w:t xml:space="preserve">Characterizing Generic Global Rigidity,</w:t>
      </w:r>
      <w:r>
        <w:t xml:space="preserve">”</w:t>
      </w:r>
      <w:r>
        <w:t xml:space="preserve"> </w:t>
      </w:r>
      <w:r>
        <w:rPr>
          <w:iCs/>
          <w:i/>
        </w:rPr>
        <w:t xml:space="preserve">American Journal of Mathematics</w:t>
      </w:r>
      <w:r>
        <w:t xml:space="preserve">, vol. 132, no. 4, pp. 897–939, 2010.</w:t>
      </w:r>
    </w:p>
    <w:p>
      <w:r>
        <w:pict>
          <v:rect style="width:0;height:1.5pt" o:hralign="center" o:hrstd="t" o:hr="t"/>
        </w:pict>
      </w:r>
    </w:p>
    <w:p>
      <w:pPr>
        <w:pStyle w:val="FirstParagraph"/>
      </w:pPr>
      <w:r>
        <w:rPr>
          <w:iCs/>
          <w:i/>
        </w:rPr>
        <w:t xml:space="preserve">End of Appendix E</w:t>
      </w:r>
    </w:p>
    <w:bookmarkEnd w:id="138"/>
    <w:bookmarkEnd w:id="139"/>
    <w:sectPr>
      <w:endnotePr>
        <w:numFmt w:val="decimal"/>
      </w:end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r="http://schemas.openxmlformats.org/officeDocument/2006/relationships">
  <w:endnotePr>
    <w:numFmt w:val="decimal"/>
  </w:endnotePr>
  <w:endnote w:type="separator" w:id="-1">
    <w:p>
      <w:r>
        <w:separator/>
      </w:r>
    </w:p>
  </w:endnote>
  <w:endnote w:type="continuationSeparator" w:id="0">
    <w:p>
      <w:r>
        <w:continuationSeparator/>
      </w:r>
    </w:p>
  </w:endnote>
  <w:endnote w:id="1">
    <w:p>
      <w:bookmarkStart w:id="10001" w:name="_Edn1"/>
      <w:r>
        <w:rPr>
          <w:vertAlign w:val="superscript"/>
        </w:rPr>
        <w:endnoteRef/>
      </w:r>
      <w:r>
        <w:t xml:space="preserve"> ox.ac.uk. https://aigi.ox.ac.uk/blog-post/when-ai-systems-learn-during-deployment-our-safety-evaluations-break/</w:t>
      </w:r>
      <w:bookmarkEnd w:id="10001"/>
    </w:p>
  </w:endnote>
  <w:endnote w:id="2">
    <w:p>
      <w:bookmarkStart w:id="10002" w:name="_Edn2"/>
      <w:r>
        <w:rPr>
          <w:vertAlign w:val="superscript"/>
        </w:rPr>
        <w:endnoteRef/>
      </w:r>
      <w:r>
        <w:t xml:space="preserve"> gatech.edu. https://repository.gatech.edu/bitstreams/8962035a-3be5-41fc-b3fb-ceb2291aaf5b/download</w:t>
      </w:r>
      <w:bookmarkEnd w:id="10002"/>
    </w:p>
  </w:endnote>
  <w:endnote w:id="3">
    <w:p>
      <w:bookmarkStart w:id="10003" w:name="_Edn3"/>
      <w:r>
        <w:rPr>
          <w:vertAlign w:val="superscript"/>
        </w:rPr>
        <w:endnoteRef/>
      </w:r>
      <w:r>
        <w:t xml:space="preserve"> Purdue e-Pubs. https://docs.lib.purdue.edu/dissertations/AAI1490669/</w:t>
      </w:r>
      <w:bookmarkEnd w:id="10003"/>
    </w:p>
  </w:endnote>
  <w:endnote w:id="4">
    <w:p>
      <w:bookmarkStart w:id="10004" w:name="_Edn4"/>
      <w:r>
        <w:rPr>
          <w:vertAlign w:val="superscript"/>
        </w:rPr>
        <w:endnoteRef/>
      </w:r>
      <w:r>
        <w:t xml:space="preserve"> arXiv.org. https://arxiv.org/html/2603.20531v1</w:t>
      </w:r>
      <w:bookmarkEnd w:id="10004"/>
    </w:p>
  </w:endnote>
  <w:endnote w:id="5">
    <w:p>
      <w:bookmarkStart w:id="10005" w:name="_Edn5"/>
      <w:r>
        <w:rPr>
          <w:vertAlign w:val="superscript"/>
        </w:rPr>
        <w:endnoteRef/>
      </w:r>
      <w:r>
        <w:t xml:space="preserve"> Atlan. https://atlan.com/know/training-data-lineage-for-llms/</w:t>
      </w:r>
      <w:bookmarkEnd w:id="10005"/>
    </w:p>
  </w:endnote>
  <w:endnote w:id="6">
    <w:p>
      <w:bookmarkStart w:id="10006" w:name="_Edn6"/>
      <w:r>
        <w:rPr>
          <w:vertAlign w:val="superscript"/>
        </w:rPr>
        <w:endnoteRef/>
      </w:r>
      <w:r>
        <w:t xml:space="preserve"> Zylos. https://zylos.ai/research/2026-03-22-ai-agent-accountability-audit-trails-attribution-multi-agent-systems</w:t>
      </w:r>
      <w:bookmarkEnd w:id="10006"/>
    </w:p>
  </w:endnote>
  <w:endnote w:id="7">
    <w:p>
      <w:bookmarkStart w:id="10007" w:name="_Edn7"/>
      <w:r>
        <w:rPr>
          <w:vertAlign w:val="superscript"/>
        </w:rPr>
        <w:endnoteRef/>
      </w:r>
      <w:r>
        <w:t xml:space="preserve"> Conduktor. https://conduktor.io/glossary/cqrs-and-event-sourcing-with-kafka</w:t>
      </w:r>
      <w:bookmarkEnd w:id="10007"/>
    </w:p>
  </w:endnote>
  <w:endnote w:id="8">
    <w:p>
      <w:bookmarkStart w:id="10008" w:name="_Edn8"/>
      <w:r>
        <w:rPr>
          <w:vertAlign w:val="superscript"/>
        </w:rPr>
        <w:endnoteRef/>
      </w:r>
      <w:r>
        <w:t xml:space="preserve"> arXiv.org. https://arxiv.org/pdf/2510.18893</w:t>
      </w:r>
      <w:bookmarkEnd w:id="10008"/>
    </w:p>
  </w:endnote>
  <w:endnote w:id="9">
    <w:p>
      <w:bookmarkStart w:id="10009" w:name="_Edn9"/>
      <w:r>
        <w:rPr>
          <w:vertAlign w:val="superscript"/>
        </w:rPr>
        <w:endnoteRef/>
      </w:r>
      <w:r>
        <w:t xml:space="preserve"> IBM. https://www.ibm.com/think/topics/data-provenance</w:t>
      </w:r>
      <w:bookmarkEnd w:id="10009"/>
    </w:p>
  </w:endnote>
  <w:endnote w:id="10">
    <w:p>
      <w:bookmarkStart w:id="10010" w:name="_Edn10"/>
      <w:r>
        <w:rPr>
          <w:vertAlign w:val="superscript"/>
        </w:rPr>
        <w:endnoteRef/>
      </w:r>
      <w:r>
        <w:t xml:space="preserve"> MDPI. https://www.mdpi.com/2073-431X/14/10/408</w:t>
      </w:r>
      <w:bookmarkEnd w:id="10010"/>
    </w:p>
  </w:endnote>
  <w:endnote w:id="11">
    <w:p>
      <w:bookmarkStart w:id="10011" w:name="_Edn11"/>
      <w:r>
        <w:rPr>
          <w:vertAlign w:val="superscript"/>
        </w:rPr>
        <w:endnoteRef/>
      </w:r>
      <w:r>
        <w:t xml:space="preserve"> nih.gov. https://pmc.ncbi.nlm.nih.gov/articles/PMC8012601/</w:t>
      </w:r>
      <w:bookmarkEnd w:id="10011"/>
    </w:p>
  </w:endnote>
  <w:endnote w:id="12">
    <w:p>
      <w:bookmarkStart w:id="10012" w:name="_Edn12"/>
      <w:r>
        <w:rPr>
          <w:vertAlign w:val="superscript"/>
        </w:rPr>
        <w:endnoteRef/>
      </w:r>
      <w:r>
        <w:t xml:space="preserve"> AAAI Publications. https://ojs.aaai.org/index.php/AAAI/article/view/40806/44767</w:t>
      </w:r>
      <w:bookmarkEnd w:id="10012"/>
    </w:p>
  </w:endnote>
  <w:endnote w:id="13">
    <w:p>
      <w:bookmarkStart w:id="10013" w:name="_Edn13"/>
      <w:r>
        <w:rPr>
          <w:vertAlign w:val="superscript"/>
        </w:rPr>
        <w:endnoteRef/>
      </w:r>
      <w:r>
        <w:t xml:space="preserve"> Study in Clojure &amp; OCaml. https://kirancodes.me/posts/log-distributed-llms.html</w:t>
      </w:r>
      <w:bookmarkEnd w:id="10013"/>
    </w:p>
  </w:endnote>
  <w:endnote w:id="14">
    <w:p>
      <w:bookmarkStart w:id="10014" w:name="_Edn14"/>
      <w:r>
        <w:rPr>
          <w:vertAlign w:val="superscript"/>
        </w:rPr>
        <w:endnoteRef/>
      </w:r>
      <w:r>
        <w:t xml:space="preserve"> olafwitkowski.com. https://olafwitkowski.com/tag/multi-agent-systems/</w:t>
      </w:r>
      <w:bookmarkEnd w:id="10014"/>
    </w:p>
  </w:endnote>
  <w:endnote w:id="15">
    <w:p>
      <w:bookmarkStart w:id="10015" w:name="_Edn15"/>
      <w:r>
        <w:rPr>
          <w:vertAlign w:val="superscript"/>
        </w:rPr>
        <w:endnoteRef/>
      </w:r>
      <w:r>
        <w:t xml:space="preserve"> Jeeva. https://www.jeeva.ai/blog/multi-agent-coordination-playbook-(mcp-ai-teamwork)-implementation-plan</w:t>
      </w:r>
      <w:bookmarkEnd w:id="10015"/>
    </w:p>
  </w:endnote>
  <w:endnote w:id="16">
    <w:p>
      <w:bookmarkStart w:id="10016" w:name="_Edn16"/>
      <w:r>
        <w:rPr>
          <w:vertAlign w:val="superscript"/>
        </w:rPr>
        <w:endnoteRef/>
      </w:r>
      <w:r>
        <w:t xml:space="preserve"> Springer. https://link.springer.com/chapter/10.1007/978-3-319-04093-6_17</w:t>
      </w:r>
      <w:bookmarkEnd w:id="10016"/>
    </w:p>
  </w:endnote>
  <w:endnote w:id="17">
    <w:p>
      <w:bookmarkStart w:id="10017" w:name="_Edn17"/>
      <w:r>
        <w:rPr>
          <w:vertAlign w:val="superscript"/>
        </w:rPr>
        <w:endnoteRef/>
      </w:r>
      <w:r>
        <w:t xml:space="preserve"> techstrong.ai. https://techstrong.ai/articles/provenance-and-traceability-in-ai-ensuring-accountability-and-trust/</w:t>
      </w:r>
      <w:bookmarkEnd w:id="10017"/>
    </w:p>
  </w:endnote>
  <w:endnote w:id="18">
    <w:p>
      <w:bookmarkStart w:id="10018" w:name="_Edn18"/>
      <w:r>
        <w:rPr>
          <w:vertAlign w:val="superscript"/>
        </w:rPr>
        <w:endnoteRef/>
      </w:r>
      <w:r>
        <w:t xml:space="preserve"> arXiv.org. https://arxiv.org/abs/2512.17913</w:t>
      </w:r>
      <w:bookmarkEnd w:id="10018"/>
    </w:p>
  </w:endnote>
  <w:endnote w:id="19">
    <w:p>
      <w:bookmarkStart w:id="10019" w:name="_Edn19"/>
      <w:r>
        <w:rPr>
          <w:vertAlign w:val="superscript"/>
        </w:rPr>
        <w:endnoteRef/>
      </w:r>
      <w:r>
        <w:t xml:space="preserve"> arXiv.org. https://arxiv.org/pdf/2504.14668</w:t>
      </w:r>
      <w:bookmarkEnd w:id="10019"/>
    </w:p>
  </w:endnote>
  <w:endnote w:id="20">
    <w:p>
      <w:bookmarkStart w:id="10020" w:name="_Edn20"/>
      <w:r>
        <w:rPr>
          <w:vertAlign w:val="superscript"/>
        </w:rPr>
        <w:endnoteRef/>
      </w:r>
      <w:r>
        <w:t xml:space="preserve"> Emergent Mind. https://www.emergentmind.com/topics/formation-control-method</w:t>
      </w:r>
      <w:bookmarkEnd w:id="10020"/>
    </w:p>
  </w:endnote>
  <w:endnote w:id="21">
    <w:p>
      <w:bookmarkStart w:id="10021" w:name="_Edn21"/>
      <w:r>
        <w:rPr>
          <w:vertAlign w:val="superscript"/>
        </w:rPr>
        <w:endnoteRef/>
      </w:r>
      <w:r>
        <w:t xml:space="preserve"> arXiv.org. https://arxiv.org/html/2410.06172v1</w:t>
      </w:r>
      <w:bookmarkEnd w:id="10021"/>
    </w:p>
  </w:endnote>
  <w:endnote w:id="22">
    <w:p>
      <w:bookmarkStart w:id="10022" w:name="_Edn22"/>
      <w:r>
        <w:rPr>
          <w:vertAlign w:val="superscript"/>
        </w:rPr>
        <w:endnoteRef/>
      </w:r>
      <w:r>
        <w:t xml:space="preserve"> Emergent Mind. https://www.emergentmind.com/topics/artificial-intelligence-driven-early-warning-systems</w:t>
      </w:r>
      <w:bookmarkEnd w:id="10022"/>
    </w:p>
  </w:endnote>
  <w:endnote w:id="23">
    <w:p>
      <w:bookmarkStart w:id="10023" w:name="_Edn23"/>
      <w:r>
        <w:rPr>
          <w:vertAlign w:val="superscript"/>
        </w:rPr>
        <w:endnoteRef/>
      </w:r>
      <w:r>
        <w:t xml:space="preserve"> Medium. https://medium.com/mongodb/why-multi-agent-systems-need-memory-engineering-153a81f8d5be</w:t>
      </w:r>
      <w:bookmarkEnd w:id="10023"/>
    </w:p>
  </w:endnote>
  <w:endnote w:id="24">
    <w:p>
      <w:bookmarkStart w:id="10024" w:name="_Edn24"/>
      <w:r>
        <w:rPr>
          <w:vertAlign w:val="superscript"/>
        </w:rPr>
        <w:endnoteRef/>
      </w:r>
      <w:r>
        <w:t xml:space="preserve"> arXiv.org. https://arxiv.org/html/2204.03181v3</w:t>
      </w:r>
      <w:bookmarkEnd w:id="10024"/>
    </w:p>
  </w:endnote>
  <w:endnote w:id="25">
    <w:p>
      <w:bookmarkStart w:id="10025" w:name="_Edn25"/>
      <w:r>
        <w:rPr>
          <w:vertAlign w:val="superscript"/>
        </w:rPr>
        <w:endnoteRef/>
      </w:r>
      <w:r>
        <w:t xml:space="preserve"> Chainlink. https://chain.link/article/byzantine-fault-tolerant-consensus</w:t>
      </w:r>
      <w:bookmarkEnd w:id="10025"/>
    </w:p>
  </w:endnote>
  <w:endnote w:id="26">
    <w:p>
      <w:bookmarkStart w:id="10026" w:name="_Edn26"/>
      <w:r>
        <w:rPr>
          <w:vertAlign w:val="superscript"/>
        </w:rPr>
        <w:endnoteRef/>
      </w:r>
      <w:r>
        <w:t xml:space="preserve"> arXiv.org. https://arxiv.org/abs/2403.09009</w:t>
      </w:r>
      <w:bookmarkEnd w:id="10026"/>
    </w:p>
  </w:endnote>
  <w:endnote w:id="27">
    <w:p>
      <w:bookmarkStart w:id="10027" w:name="_Edn27"/>
      <w:r>
        <w:rPr>
          <w:vertAlign w:val="superscript"/>
        </w:rPr>
        <w:endnoteRef/>
      </w:r>
      <w:r>
        <w:t xml:space="preserve"> arXiv.org. https://arxiv.org/html/2403.09009v1</w:t>
      </w:r>
      <w:bookmarkEnd w:id="10027"/>
    </w:p>
  </w:endnote>
  <w:endnote w:id="28">
    <w:p>
      <w:bookmarkStart w:id="10028" w:name="_Edn28"/>
      <w:r>
        <w:rPr>
          <w:vertAlign w:val="superscript"/>
        </w:rPr>
        <w:endnoteRef/>
      </w:r>
      <w:r>
        <w:t xml:space="preserve"> nih.gov. https://pmc.ncbi.nlm.nih.gov/articles/PMC8348899/</w:t>
      </w:r>
      <w:bookmarkEnd w:id="10028"/>
    </w:p>
  </w:endnote>
  <w:endnote w:id="29">
    <w:p>
      <w:bookmarkStart w:id="10029" w:name="_Edn29"/>
      <w:r>
        <w:rPr>
          <w:vertAlign w:val="superscript"/>
        </w:rPr>
        <w:endnoteRef/>
      </w:r>
      <w:r>
        <w:t xml:space="preserve"> Medium. https://medium.com/@mehar.chand.cloud/practical-byzantine-fault-tolerance-pbft-building-trust-in-distributed-systems-41183c668b93</w:t>
      </w:r>
      <w:bookmarkEnd w:id="10029"/>
    </w:p>
  </w:endnote>
  <w:endnote w:id="30">
    <w:p>
      <w:bookmarkStart w:id="10030" w:name="_Edn30"/>
      <w:r>
        <w:rPr>
          <w:vertAlign w:val="superscript"/>
        </w:rPr>
        <w:endnoteRef/>
      </w:r>
      <w:r>
        <w:t xml:space="preserve"> Haas School of Business. http://faculty.haas.berkeley.edu/stadelis/Game%20Theory/econ160_week6.pdf</w:t>
      </w:r>
      <w:bookmarkEnd w:id="10030"/>
    </w:p>
  </w:endnote>
  <w:endnote w:id="31">
    <w:p>
      <w:bookmarkStart w:id="10031" w:name="_Edn31"/>
      <w:r>
        <w:rPr>
          <w:vertAlign w:val="superscript"/>
        </w:rPr>
        <w:endnoteRef/>
      </w:r>
      <w:r>
        <w:t xml:space="preserve"> dklevine.com. http://home.dklevine.com/econ504/repeatedgamefinal.pdf</w:t>
      </w:r>
      <w:bookmarkEnd w:id="10031"/>
    </w:p>
  </w:endnote>
  <w:endnote w:id="32">
    <w:p>
      <w:bookmarkStart w:id="10032" w:name="_Edn32"/>
      <w:r>
        <w:rPr>
          <w:vertAlign w:val="superscript"/>
        </w:rPr>
        <w:endnoteRef/>
      </w:r>
      <w:r>
        <w:t xml:space="preserve"> arXiv.org. https://arxiv.org/pdf/2511.17656</w:t>
      </w:r>
      <w:bookmarkEnd w:id="10032"/>
    </w:p>
  </w:endnote>
  <w:endnote w:id="33">
    <w:p>
      <w:bookmarkStart w:id="10033" w:name="_Edn33"/>
      <w:r>
        <w:rPr>
          <w:vertAlign w:val="superscript"/>
        </w:rPr>
        <w:endnoteRef/>
      </w:r>
      <w:r>
        <w:t xml:space="preserve"> arXiv.org. https://arxiv.org/html/2511.17656v1</w:t>
      </w:r>
      <w:bookmarkEnd w:id="10033"/>
    </w:p>
  </w:endnote>
  <w:endnote w:id="34">
    <w:p>
      <w:bookmarkStart w:id="10034" w:name="_Edn34"/>
      <w:r>
        <w:rPr>
          <w:vertAlign w:val="superscript"/>
        </w:rPr>
        <w:endnoteRef/>
      </w:r>
      <w:r>
        <w:t xml:space="preserve"> ScienceDirect. https://www.sciencedirect.com/topics/psychology/tacit-knowledge</w:t>
      </w:r>
      <w:bookmarkEnd w:id="10034"/>
    </w:p>
  </w:endnote>
  <w:endnote w:id="35">
    <w:p>
      <w:bookmarkStart w:id="10035" w:name="_Edn35"/>
      <w:r>
        <w:rPr>
          <w:vertAlign w:val="superscript"/>
        </w:rPr>
        <w:endnoteRef/>
      </w:r>
      <w:r>
        <w:t xml:space="preserve"> Understanding Society. https://undsoc.org/2009/09/06/tacit-knowledge/</w:t>
      </w:r>
      <w:bookmarkEnd w:id="10035"/>
    </w:p>
  </w:endnote>
  <w:endnote w:id="36">
    <w:p>
      <w:bookmarkStart w:id="10036" w:name="_Edn36"/>
      <w:r>
        <w:rPr>
          <w:vertAlign w:val="superscript"/>
        </w:rPr>
        <w:endnoteRef/>
      </w:r>
      <w:r>
        <w:t xml:space="preserve"> aaai.org. https://cdn.aaai.org/ojs/6190/6190-13-9415-1-10-20200516.pdf</w:t>
      </w:r>
      <w:bookmarkEnd w:id="10036"/>
    </w:p>
  </w:endnote>
  <w:endnote w:id="37">
    <w:p>
      <w:bookmarkStart w:id="10037" w:name="_Edn37"/>
      <w:r>
        <w:rPr>
          <w:vertAlign w:val="superscript"/>
        </w:rPr>
        <w:endnoteRef/>
      </w:r>
      <w:r>
        <w:t xml:space="preserve"> New Security Paradigms Workshop. https://www.nspw.org/papers/1997/nspw1997-rahman.pdf</w:t>
      </w:r>
      <w:bookmarkEnd w:id="10037"/>
    </w:p>
  </w:endnote>
  <w:endnote w:id="38">
    <w:p>
      <w:bookmarkStart w:id="10038" w:name="_Edn38"/>
      <w:r>
        <w:rPr>
          <w:vertAlign w:val="superscript"/>
        </w:rPr>
        <w:endnoteRef/>
      </w:r>
      <w:r>
        <w:t xml:space="preserve"> arXiv.org. https://arxiv.org/html/2604.04744v1</w:t>
      </w:r>
      <w:bookmarkEnd w:id="10038"/>
    </w:p>
  </w:endnote>
  <w:endnote w:id="39">
    <w:p>
      <w:bookmarkStart w:id="10039" w:name="_Edn39"/>
      <w:r>
        <w:rPr>
          <w:vertAlign w:val="superscript"/>
        </w:rPr>
        <w:endnoteRef/>
      </w:r>
      <w:r>
        <w:t xml:space="preserve"> umn.edu. https://classpages.cselabs.umn.edu/Fall-2019/csci5271/slides/06-defensive-1-8up.pdf</w:t>
      </w:r>
      <w:bookmarkEnd w:id="10039"/>
    </w:p>
  </w:endnote>
  <w:endnote w:id="40">
    <w:p>
      <w:bookmarkStart w:id="10040" w:name="_Edn40"/>
      <w:r>
        <w:rPr>
          <w:vertAlign w:val="superscript"/>
        </w:rPr>
        <w:endnoteRef/>
      </w:r>
      <w:r>
        <w:t xml:space="preserve"> Drick BoydDrick Boyd. https://drickboyd.org/tacit-knowledge-knowing-more-than-we/</w:t>
      </w:r>
      <w:bookmarkEnd w:id="10040"/>
    </w:p>
  </w:endnote>
  <w:endnote w:id="41">
    <w:p>
      <w:bookmarkStart w:id="10041" w:name="_Edn41"/>
      <w:r>
        <w:rPr>
          <w:vertAlign w:val="superscript"/>
        </w:rPr>
        <w:endnoteRef/>
      </w:r>
      <w:r>
        <w:t xml:space="preserve"> nih.gov. https://pmc.ncbi.nlm.nih.gov/articles/PMC12927663/</w:t>
      </w:r>
      <w:bookmarkEnd w:id="10041"/>
    </w:p>
  </w:endnote>
  <w:endnote w:id="42">
    <w:p>
      <w:bookmarkStart w:id="10042" w:name="_Edn42"/>
      <w:r>
        <w:rPr>
          <w:vertAlign w:val="superscript"/>
        </w:rPr>
        <w:endnoteRef/>
      </w:r>
      <w:r>
        <w:t xml:space="preserve"> Purdue University. https://web.ics.purdue.edu/~drkelly/SterelnyMindsExtendedScaffolded2010.pdf</w:t>
      </w:r>
      <w:bookmarkEnd w:id="10042"/>
    </w:p>
  </w:endnote>
  <w:endnote w:id="43">
    <w:p>
      <w:bookmarkStart w:id="10043" w:name="_Edn43"/>
      <w:r>
        <w:rPr>
          <w:vertAlign w:val="superscript"/>
        </w:rPr>
        <w:endnoteRef/>
      </w:r>
      <w:r>
        <w:t xml:space="preserve"> arXiv.org. https://arxiv.org/html/2501.15695v1</w:t>
      </w:r>
      <w:bookmarkEnd w:id="10043"/>
    </w:p>
  </w:endnote>
  <w:endnote w:id="44">
    <w:p>
      <w:bookmarkStart w:id="10044" w:name="_Edn44"/>
      <w:r>
        <w:rPr>
          <w:vertAlign w:val="superscript"/>
        </w:rPr>
        <w:endnoteRef/>
      </w:r>
      <w:r>
        <w:t xml:space="preserve"> Psychology Today. https://www.psychologytoday.com/us/blog/seeing-what-others-dont/202307/unpacking-tacit-knowledge</w:t>
      </w:r>
      <w:bookmarkEnd w:id="10044"/>
    </w:p>
  </w:endnote>
  <w:endnote w:id="45">
    <w:p>
      <w:bookmarkStart w:id="10045" w:name="_Edn45"/>
      <w:r>
        <w:rPr>
          <w:vertAlign w:val="superscript"/>
        </w:rPr>
        <w:endnoteRef/>
      </w:r>
      <w:r>
        <w:t xml:space="preserve"> wikipedia.org. https://en.wikipedia.org/wiki/Polanyi%27s_paradox</w:t>
      </w:r>
      <w:bookmarkEnd w:id="10045"/>
    </w:p>
  </w:endnote>
  <w:endnote w:id="46">
    <w:p>
      <w:bookmarkStart w:id="10046" w:name="_Edn46"/>
      <w:r>
        <w:rPr>
          <w:vertAlign w:val="superscript"/>
        </w:rPr>
        <w:endnoteRef/>
      </w:r>
      <w:r>
        <w:t xml:space="preserve"> arXiv.org. https://arxiv.org/pdf/1703.04035</w:t>
      </w:r>
      <w:bookmarkEnd w:id="10046"/>
    </w:p>
  </w:endnote>
  <w:endnote w:id="47">
    <w:p>
      <w:bookmarkStart w:id="10047" w:name="_Edn47"/>
      <w:r>
        <w:rPr>
          <w:vertAlign w:val="superscript"/>
        </w:rPr>
        <w:endnoteRef/>
      </w:r>
      <w:r>
        <w:t xml:space="preserve"> Chalmers Publication Library (CPL). https://publications.lib.chalmers.se/records/fulltext/23008/23008.pdf</w:t>
      </w:r>
      <w:bookmarkEnd w:id="10047"/>
    </w:p>
  </w:endnote>
  <w:endnote w:id="48">
    <w:p>
      <w:bookmarkStart w:id="10048" w:name="_Edn48"/>
      <w:r>
        <w:rPr>
          <w:vertAlign w:val="superscript"/>
        </w:rPr>
        <w:endnoteRef/>
      </w:r>
      <w:r>
        <w:t xml:space="preserve"> Aivorys. https://aivorys.com/why-customers-trust-voice-ai/</w:t>
      </w:r>
      <w:bookmarkEnd w:id="10048"/>
    </w:p>
  </w:endnote>
  <w:endnote w:id="49">
    <w:p>
      <w:bookmarkStart w:id="10049" w:name="_Edn49"/>
      <w:r>
        <w:rPr>
          <w:vertAlign w:val="superscript"/>
        </w:rPr>
        <w:endnoteRef/>
      </w:r>
      <w:r>
        <w:t xml:space="preserve"> uvm.edu. https://pdodds.w3.uvm.edu/files/papers/others/2009/scheffer2009a.pdf</w:t>
      </w:r>
      <w:bookmarkEnd w:id="10049"/>
    </w:p>
  </w:endnote>
  <w:endnote w:id="50">
    <w:p>
      <w:bookmarkStart w:id="10050" w:name="_Edn50"/>
      <w:r>
        <w:rPr>
          <w:vertAlign w:val="superscript"/>
        </w:rPr>
        <w:endnoteRef/>
      </w:r>
      <w:r>
        <w:t xml:space="preserve"> rpi.edu. http://wcl.cs.rpi.edu/papers/paul_2023_aesm.pdf</w:t>
      </w:r>
      <w:bookmarkEnd w:id="10050"/>
    </w:p>
  </w:endnote>
  <w:endnote w:id="51">
    <w:p>
      <w:bookmarkStart w:id="10051" w:name="_Edn51"/>
      <w:r>
        <w:rPr>
          <w:vertAlign w:val="superscript"/>
        </w:rPr>
        <w:endnoteRef/>
      </w:r>
      <w:r>
        <w:t xml:space="preserve"> Driven Compliance Audits: Enhancing Regulatory Adherence in Financial and  |Legal Sectors. https://ijarcst.org/index.php/ijarcst/article/view/22</w:t>
      </w:r>
      <w:bookmarkEnd w:id="10051"/>
    </w:p>
  </w:endnote>
  <w:endnote w:id="52">
    <w:p>
      <w:bookmarkStart w:id="10052" w:name="_Edn52"/>
      <w:r>
        <w:rPr>
          <w:vertAlign w:val="superscript"/>
        </w:rPr>
        <w:endnoteRef/>
      </w:r>
      <w:r>
        <w:t xml:space="preserve"> Master Systems. https://www.mastersystems.com/blogs/the-role-and-importance-of-vhf-radios-in-maritime-operations/</w:t>
      </w:r>
      <w:bookmarkEnd w:id="10052"/>
    </w:p>
  </w:endnote>
  <w:endnote w:id="53">
    <w:p>
      <w:bookmarkStart w:id="10053" w:name="_Edn53"/>
      <w:r>
        <w:rPr>
          <w:vertAlign w:val="superscript"/>
        </w:rPr>
        <w:endnoteRef/>
      </w:r>
      <w:r>
        <w:t xml:space="preserve"> OpenReview. https://openreview.net/pdf?id=H6ChfpM31L</w:t>
      </w:r>
      <w:bookmarkEnd w:id="10053"/>
    </w:p>
  </w:endnote>
  <w:endnote w:id="54">
    <w:p>
      <w:bookmarkStart w:id="10054" w:name="_Edn54"/>
      <w:r>
        <w:rPr>
          <w:vertAlign w:val="superscript"/>
        </w:rPr>
        <w:endnoteRef/>
      </w:r>
      <w:r>
        <w:t xml:space="preserve"> Cryptology ePrint Archive. https://eprint.iacr.org/2021/671.pdf</w:t>
      </w:r>
      <w:bookmarkEnd w:id="10054"/>
    </w:p>
  </w:endnote>
  <w:endnote w:id="55">
    <w:p>
      <w:bookmarkStart w:id="10055" w:name="_Edn55"/>
      <w:r>
        <w:rPr>
          <w:vertAlign w:val="superscript"/>
        </w:rPr>
        <w:endnoteRef/>
      </w:r>
      <w:r>
        <w:t xml:space="preserve"> ACM Digital Library. https://dl.acm.org/doi/fullHtml/10.1145/3386867</w:t>
      </w:r>
      <w:bookmarkEnd w:id="10055"/>
    </w:p>
  </w:endnote>
  <w:endnote w:id="56">
    <w:p>
      <w:bookmarkStart w:id="10056" w:name="_Edn56"/>
      <w:r>
        <w:rPr>
          <w:vertAlign w:val="superscript"/>
        </w:rPr>
        <w:endnoteRef/>
      </w:r>
      <w:r>
        <w:t xml:space="preserve"> DRUID AI. https://www.druidai.com/ai-voice-agents</w:t>
      </w:r>
      <w:bookmarkEnd w:id="10056"/>
    </w:p>
  </w:endnote>
  <w:endnote w:id="57">
    <w:p>
      <w:bookmarkStart w:id="10057" w:name="_Edn57"/>
      <w:r>
        <w:rPr>
          <w:vertAlign w:val="superscript"/>
        </w:rPr>
        <w:endnoteRef/>
      </w:r>
      <w:r>
        <w:t xml:space="preserve"> tau.ac.il. https://www.eng.tau.ac.il/~zamir/book.pdf</w:t>
      </w:r>
      <w:bookmarkEnd w:id="10057"/>
    </w:p>
  </w:endnote>
  <w:endnote w:id="58">
    <w:p>
      <w:bookmarkStart w:id="10058" w:name="_Edn58"/>
      <w:r>
        <w:rPr>
          <w:vertAlign w:val="superscript"/>
        </w:rPr>
        <w:endnoteRef/>
      </w:r>
      <w:r>
        <w:t xml:space="preserve"> westlake.edu.cn. https://shiyuzhao.westlake.edu.cn/7-presentation-2018JanNTUResearchSummary.pdf</w:t>
      </w:r>
      <w:bookmarkEnd w:id="10058"/>
    </w:p>
  </w:endnote>
  <w:endnote w:id="59">
    <w:p>
      <w:bookmarkStart w:id="10059" w:name="_Edn59"/>
      <w:r>
        <w:rPr>
          <w:vertAlign w:val="superscript"/>
        </w:rPr>
        <w:endnoteRef/>
      </w:r>
      <w:r>
        <w:t xml:space="preserve"> Zerion Software. https://zerionsoftware.com/digital-transformation/understanding-the-difference-between-conversational-ai-and-voice-to-text/</w:t>
      </w:r>
      <w:bookmarkEnd w:id="10059"/>
    </w:p>
  </w:endnote>
  <w:endnote w:id="60">
    <w:p>
      <w:bookmarkStart w:id="10060" w:name="_Edn60"/>
      <w:r>
        <w:rPr>
          <w:vertAlign w:val="superscript"/>
        </w:rPr>
        <w:endnoteRef/>
      </w:r>
      <w:r>
        <w:t xml:space="preserve"> Bluebash. https://www.bluebash.co/blog/ai-voice-agents-personalized-human-like-interactions/</w:t>
      </w:r>
      <w:bookmarkEnd w:id="10060"/>
    </w:p>
  </w:endnote>
  <w:endnote w:id="61">
    <w:p>
      <w:bookmarkStart w:id="10061" w:name="_Edn61"/>
      <w:r>
        <w:rPr>
          <w:vertAlign w:val="superscript"/>
        </w:rPr>
        <w:endnoteRef/>
      </w:r>
      <w:r>
        <w:t xml:space="preserve"> Los Alamos National Lab. https://www.lanl.gov/media/news/0730-ai-systems</w:t>
      </w:r>
      <w:bookmarkEnd w:id="10061"/>
    </w:p>
  </w:endnote>
  <w:endnote w:id="62">
    <w:p>
      <w:bookmarkStart w:id="10062" w:name="_Edn62"/>
      <w:r>
        <w:rPr>
          <w:vertAlign w:val="superscript"/>
        </w:rPr>
        <w:endnoteRef/>
      </w:r>
      <w:r>
        <w:t xml:space="preserve"> ScienceDirect. https://www.sciencedirect.com/science/article/abs/pii/S0167404824002323</w:t>
      </w:r>
      <w:bookmarkEnd w:id="10062"/>
    </w:p>
  </w:endnote>
  <w:endnote w:id="63">
    <w:p>
      <w:bookmarkStart w:id="10063" w:name="_Edn63"/>
      <w:r>
        <w:rPr>
          <w:vertAlign w:val="superscript"/>
        </w:rPr>
        <w:endnoteRef/>
      </w:r>
      <w:r>
        <w:t xml:space="preserve"> UCF College of Sciences. https://sciences.ucf.edu/biology/d4lab/wp-content/uploads/sites/23/2024/08/Kefi-etal-2013.pdf</w:t>
      </w:r>
      <w:bookmarkEnd w:id="10063"/>
    </w:p>
  </w:endnote>
  <w:endnote w:id="64">
    <w:p>
      <w:bookmarkStart w:id="10064" w:name="_Edn64"/>
      <w:r>
        <w:rPr>
          <w:vertAlign w:val="superscript"/>
        </w:rPr>
        <w:endnoteRef/>
      </w:r>
      <w:r>
        <w:t xml:space="preserve"> NICE. https://www.nice.com/glossary/voice-ai-interfaces</w:t>
      </w:r>
      <w:bookmarkEnd w:id="10064"/>
    </w:p>
  </w:endnote>
  <w:endnote w:id="65">
    <w:p>
      <w:bookmarkStart w:id="10065" w:name="_Edn65"/>
      <w:r>
        <w:rPr>
          <w:vertAlign w:val="superscript"/>
        </w:rPr>
        <w:endnoteRef/>
      </w:r>
      <w:r>
        <w:t xml:space="preserve"> arXiv.org. https://arxiv.org/html/2503.02556v2</w:t>
      </w:r>
      <w:bookmarkEnd w:id="10065"/>
    </w:p>
  </w:endnote>
  <w:endnote w:id="66">
    <w:p>
      <w:bookmarkStart w:id="10066" w:name="_Edn66"/>
      <w:r>
        <w:rPr>
          <w:vertAlign w:val="superscript"/>
        </w:rPr>
        <w:endnoteRef/>
      </w:r>
      <w:r>
        <w:t xml:space="preserve"> arXiv.org. https://arxiv.org/html/2503.02556v1</w:t>
      </w:r>
      <w:bookmarkEnd w:id="10066"/>
    </w:p>
  </w:endnote>
  <w:endnote w:id="67">
    <w:p>
      <w:bookmarkStart w:id="10067" w:name="_Edn67"/>
      <w:r>
        <w:rPr>
          <w:vertAlign w:val="superscript"/>
        </w:rPr>
        <w:endnoteRef/>
      </w:r>
      <w:r>
        <w:t xml:space="preserve"> Archive ouverte HAL. https://hal.science/hal-05413868v1/document</w:t>
      </w:r>
      <w:bookmarkEnd w:id="10067"/>
    </w:p>
  </w:endnote>
  <w:endnote w:id="68">
    <w:p>
      <w:bookmarkStart w:id="10068" w:name="_Edn68"/>
      <w:r>
        <w:rPr>
          <w:vertAlign w:val="superscript"/>
        </w:rPr>
        <w:endnoteRef/>
      </w:r>
      <w:r>
        <w:t xml:space="preserve"> Department of Computer Science. https://www.cs.cornell.edu/courses/cs6410/2025fa/slides/15-flp.pdf</w:t>
      </w:r>
      <w:bookmarkEnd w:id="10068"/>
    </w:p>
  </w:endnote>
  <w:endnote w:id="69">
    <w:p>
      <w:bookmarkStart w:id="10069" w:name="_Edn69"/>
      <w:r>
        <w:rPr>
          <w:vertAlign w:val="superscript"/>
        </w:rPr>
        <w:endnoteRef/>
      </w:r>
      <w:r>
        <w:t xml:space="preserve"> Medium. https://medium.com/@eulerfx/the-asynchronous-computability-theorem-171e9d7b9423</w:t>
      </w:r>
      <w:bookmarkEnd w:id="10069"/>
    </w:p>
  </w:endnote>
  <w:endnote w:id="70">
    <w:p>
      <w:bookmarkStart w:id="10070" w:name="_Edn70"/>
      <w:r>
        <w:rPr>
          <w:vertAlign w:val="superscript"/>
        </w:rPr>
        <w:endnoteRef/>
      </w:r>
      <w:r>
        <w:t xml:space="preserve"> MDPI. https://www.mdpi.com/2079-9292/7/6/81</w:t>
      </w:r>
      <w:bookmarkEnd w:id="10070"/>
    </w:p>
  </w:endnote>
  <w:endnote w:id="71">
    <w:p>
      <w:bookmarkStart w:id="10071" w:name="_Edn71"/>
      <w:r>
        <w:rPr>
          <w:vertAlign w:val="superscript"/>
        </w:rPr>
        <w:endnoteRef/>
      </w:r>
      <w:r>
        <w:t xml:space="preserve"> dtic.mil. https://apps.dtic.mil/sti/tr/pdf/ADA214447.pdf</w:t>
      </w:r>
      <w:bookmarkEnd w:id="10071"/>
    </w:p>
  </w:endnote>
  <w:endnote w:id="72">
    <w:p>
      <w:bookmarkStart w:id="10072" w:name="_Edn72"/>
      <w:r>
        <w:rPr>
          <w:vertAlign w:val="superscript"/>
        </w:rPr>
        <w:endnoteRef/>
      </w:r>
      <w:r>
        <w:t xml:space="preserve"> utep.edu. https://www.cs.utep.edu/vladik/lorkowskiPhD.pdf</w:t>
      </w:r>
      <w:bookmarkEnd w:id="10072"/>
    </w:p>
  </w:endnote>
  <w:endnote w:id="73">
    <w:p>
      <w:bookmarkStart w:id="10073" w:name="_Edn73"/>
      <w:r>
        <w:rPr>
          <w:vertAlign w:val="superscript"/>
        </w:rPr>
        <w:endnoteRef/>
      </w:r>
      <w:r>
        <w:t xml:space="preserve"> arXiv.org. https://arxiv.org/html/2603.04592v3</w:t>
      </w:r>
      <w:bookmarkEnd w:id="10073"/>
    </w:p>
  </w:endnote>
  <w:endnote w:id="74">
    <w:p>
      <w:bookmarkStart w:id="10074" w:name="_Edn74"/>
      <w:r>
        <w:rPr>
          <w:vertAlign w:val="superscript"/>
        </w:rPr>
        <w:endnoteRef/>
      </w:r>
      <w:r>
        <w:t xml:space="preserve"> deltastream.io. https://www.deltastream.io/blog/unmasking-illicit-finance-building-a-real-time-aml-inference-pipeline-with-llms-and-deltastream/</w:t>
      </w:r>
      <w:bookmarkEnd w:id="10074"/>
    </w:p>
  </w:endnote>
  <w:endnote w:id="75">
    <w:p>
      <w:bookmarkStart w:id="10075" w:name="_Edn75"/>
      <w:r>
        <w:rPr>
          <w:vertAlign w:val="superscript"/>
        </w:rPr>
        <w:endnoteRef/>
      </w:r>
      <w:r>
        <w:t xml:space="preserve"> DEV Community. https://dev.to/galadd/optimizing-persistent-storage-with-state-deltas-4emp</w:t>
      </w:r>
      <w:bookmarkEnd w:id="10075"/>
    </w:p>
  </w:endnote>
  <w:endnote w:id="76">
    <w:p>
      <w:bookmarkStart w:id="10076" w:name="_Edn76"/>
      <w:r>
        <w:rPr>
          <w:vertAlign w:val="superscript"/>
        </w:rPr>
        <w:endnoteRef/>
      </w:r>
      <w:r>
        <w:t xml:space="preserve"> Pure Storage. https://www.purestorage.com/uk/knowledge/what-is-delta-encoding.html</w:t>
      </w:r>
      <w:bookmarkEnd w:id="10076"/>
    </w:p>
  </w:endnote>
  <w:endnote w:id="77">
    <w:p>
      <w:bookmarkStart w:id="10077" w:name="_Edn77"/>
      <w:r>
        <w:rPr>
          <w:vertAlign w:val="superscript"/>
        </w:rPr>
        <w:endnoteRef/>
      </w:r>
      <w:r>
        <w:t xml:space="preserve"> Talan. https://www.talan.com/global/en/agentic-ai-multi-agent-ai-systems-collaborative-intelligence-transforming-business</w:t>
      </w:r>
      <w:bookmarkEnd w:id="10077"/>
    </w:p>
  </w:endnote>
  <w:endnote w:id="78">
    <w:p>
      <w:bookmarkStart w:id="10078" w:name="_Edn78"/>
      <w:r>
        <w:rPr>
          <w:vertAlign w:val="superscript"/>
        </w:rPr>
        <w:endnoteRef/>
      </w:r>
      <w:r>
        <w:t xml:space="preserve"> Medium. https://medium.com/@candemir13/from-transformers-to-mamba-a-gentle-but-deep-dive-into-the-next-generation-of-ai-architectures-fbb118eb70af</w:t>
      </w:r>
      <w:bookmarkEnd w:id="10078"/>
    </w:p>
  </w:endnote>
  <w:endnote w:id="79">
    <w:p>
      <w:bookmarkStart w:id="10079" w:name="_Edn79"/>
      <w:r>
        <w:rPr>
          <w:vertAlign w:val="superscript"/>
        </w:rPr>
        <w:endnoteRef/>
      </w:r>
      <w:r>
        <w:t xml:space="preserve"> substack.com. https://kenhuangus.substack.com/p/world-models-architectures-and-the</w:t>
      </w:r>
      <w:bookmarkEnd w:id="10079"/>
    </w:p>
  </w:endnote>
  <w:endnote w:id="80">
    <w:p>
      <w:bookmarkStart w:id="10080" w:name="_Edn80"/>
      <w:r>
        <w:rPr>
          <w:vertAlign w:val="superscript"/>
        </w:rPr>
        <w:endnoteRef/>
      </w:r>
      <w:r>
        <w:t xml:space="preserve"> The Turning Mind. https://theturningmind.substack.com/p/the-five-fundamental-limitations</w:t>
      </w:r>
      <w:bookmarkEnd w:id="10080"/>
    </w:p>
  </w:endnote>
  <w:endnote w:id="81">
    <w:p>
      <w:bookmarkStart w:id="10081" w:name="_Edn81"/>
      <w:r>
        <w:rPr>
          <w:vertAlign w:val="superscript"/>
        </w:rPr>
        <w:endnoteRef/>
      </w:r>
      <w:r>
        <w:t xml:space="preserve"> ODSC - Open Data Science. https://odsc.medium.com/voice-ai-the-next-great-computing-interface-bf4620b27649</w:t>
      </w:r>
      <w:bookmarkEnd w:id="10081"/>
    </w:p>
  </w:endnote>
  <w:endnote w:id="82">
    <w:p>
      <w:bookmarkStart w:id="10082" w:name="_Edn82"/>
      <w:r>
        <w:rPr>
          <w:vertAlign w:val="superscript"/>
        </w:rPr>
        <w:endnoteRef/>
      </w:r>
      <w:r>
        <w:t xml:space="preserve"> theneurondaily.com. https://www.theneurondaily.com/p/deep-dive-the-ai-user-interface-of-the-future-voice</w:t>
      </w:r>
      <w:bookmarkEnd w:id="10082"/>
    </w:p>
  </w:endnote>
  <w:endnote w:id="83">
    <w:p>
      <w:bookmarkStart w:id="10083" w:name="_Edn83"/>
      <w:r>
        <w:rPr>
          <w:vertAlign w:val="superscript"/>
        </w:rPr>
        <w:endnoteRef/>
      </w:r>
      <w:r>
        <w:t xml:space="preserve"> burrus.com. https://www.burrus.com/ambient-computing-invisible-interfaces/</w:t>
      </w:r>
      <w:bookmarkEnd w:id="10083"/>
    </w:p>
  </w:endnote>
  <w:endnote w:id="84">
    <w:p>
      <w:bookmarkStart w:id="10084" w:name="_Edn84"/>
      <w:r>
        <w:rPr>
          <w:vertAlign w:val="superscript"/>
        </w:rPr>
        <w:endnoteRef/>
      </w:r>
      <w:r>
        <w:t xml:space="preserve"> World Journal of Advanced Research and Reviews. https://wjarr.com/sites/default/files/fulltext_pdf/WJARR-2025-1985.pdf</w:t>
      </w:r>
      <w:bookmarkEnd w:id="10084"/>
    </w:p>
  </w:endnote>
  <w:endnote w:id="85">
    <w:p>
      <w:bookmarkStart w:id="10085" w:name="_Edn85"/>
      <w:r>
        <w:rPr>
          <w:vertAlign w:val="superscript"/>
        </w:rPr>
        <w:endnoteRef/>
      </w:r>
      <w:r>
        <w:t xml:space="preserve"> Springer. https://link.springer.com/article/10.1007/s10462-025-11462-w</w:t>
      </w:r>
      <w:bookmarkEnd w:id="10085"/>
    </w:p>
  </w:endnote>
  <w:endnote w:id="86">
    <w:p>
      <w:bookmarkStart w:id="10086" w:name="_Edn86"/>
      <w:r>
        <w:rPr>
          <w:vertAlign w:val="superscript"/>
        </w:rPr>
        <w:endnoteRef/>
      </w:r>
      <w:r>
        <w:t xml:space="preserve"> arXiv.org. https://arxiv.org/html/2409.02901v1</w:t>
      </w:r>
      <w:bookmarkEnd w:id="10086"/>
    </w:p>
  </w:endnote>
  <w:endnote w:id="87">
    <w:p>
      <w:bookmarkStart w:id="10087" w:name="_Edn87"/>
      <w:r>
        <w:rPr>
          <w:vertAlign w:val="superscript"/>
        </w:rPr>
        <w:endnoteRef/>
      </w:r>
      <w:r>
        <w:t xml:space="preserve"> nih.gov. https://pmc.ncbi.nlm.nih.gov/articles/PMC10050050/</w:t>
      </w:r>
      <w:bookmarkEnd w:id="10087"/>
    </w:p>
  </w:endnote>
  <w:endnote w:id="88">
    <w:p>
      <w:bookmarkStart w:id="10088" w:name="_Edn88"/>
      <w:r>
        <w:rPr>
          <w:vertAlign w:val="superscript"/>
        </w:rPr>
        <w:endnoteRef/>
      </w:r>
      <w:r>
        <w:t xml:space="preserve"> ScienceDirect. https://www.sciencedirect.com/science/article/abs/pii/S0090261624000731</w:t>
      </w:r>
      <w:bookmarkEnd w:id="10088"/>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9">
    <w:p>
      <w:pPr>
        <w:pStyle w:val="FootnoteText"/>
      </w:pPr>
      <w:r>
        <w:rPr>
          <w:rStyle w:val="FootnoteReference"/>
        </w:rPr>
        <w:footnoteRef/>
      </w:r>
      <w:r>
        <w:t xml:space="preserve"> </w:t>
      </w:r>
      <w:r>
        <w:t xml:space="preserve">Castro, M., &amp; Liskov, B. (1999). Practical Byzantine Fault Tolerance.</w:t>
      </w:r>
      <w:r>
        <w:t xml:space="preserve"> </w:t>
      </w:r>
      <w:r>
        <w:rPr>
          <w:iCs/>
          <w:i/>
        </w:rPr>
        <w:t xml:space="preserve">Proceedings of the Third Symposium on Operating Systems Design and Implementation (OSDI’99)</w:t>
      </w:r>
      <w:r>
        <w:t xml:space="preserve">, 173–186.</w:t>
      </w:r>
    </w:p>
  </w:footnote>
  <w:footnote w:id="102">
    <w:p>
      <w:pPr>
        <w:pStyle w:val="FootnoteText"/>
      </w:pPr>
      <w:r>
        <w:rPr>
          <w:rStyle w:val="FootnoteReference"/>
        </w:rPr>
        <w:footnoteRef/>
      </w:r>
      <w:r>
        <w:t xml:space="preserve"> </w:t>
      </w:r>
      <w:r>
        <w:t xml:space="preserve">Cormen, T. H., Leiserson, C. E., Rivest, R. L., &amp; Stein, C. (2009).</w:t>
      </w:r>
      <w:r>
        <w:t xml:space="preserve"> </w:t>
      </w:r>
      <w:r>
        <w:rPr>
          <w:iCs/>
          <w:i/>
        </w:rPr>
        <w:t xml:space="preserve">Introduction to Algorithms</w:t>
      </w:r>
      <w:r>
        <w:t xml:space="preserve"> </w:t>
      </w:r>
      <w:r>
        <w:t xml:space="preserve">(3rd ed.). MIT Press.</w:t>
      </w:r>
    </w:p>
  </w:footnote>
  <w:footnote w:id="104">
    <w:p>
      <w:pPr>
        <w:pStyle w:val="FootnoteText"/>
      </w:pPr>
      <w:r>
        <w:rPr>
          <w:rStyle w:val="FootnoteReference"/>
        </w:rPr>
        <w:footnoteRef/>
      </w:r>
      <w:r>
        <w:t xml:space="preserve"> </w:t>
      </w:r>
      <w:r>
        <w:t xml:space="preserve">Tarjan, R. E. (1973). Enumeration of the Elementary Circuits of a Directed Graph.</w:t>
      </w:r>
      <w:r>
        <w:t xml:space="preserve"> </w:t>
      </w:r>
      <w:r>
        <w:rPr>
          <w:iCs/>
          <w:i/>
        </w:rPr>
        <w:t xml:space="preserve">SIAM Journal on Computing</w:t>
      </w:r>
      <w:r>
        <w:t xml:space="preserve">, 2(3), 211–216.</w:t>
      </w:r>
    </w:p>
  </w:footnote>
  <w:footnote w:id="106">
    <w:p>
      <w:pPr>
        <w:pStyle w:val="FootnoteText"/>
      </w:pPr>
      <w:r>
        <w:rPr>
          <w:rStyle w:val="FootnoteReference"/>
        </w:rPr>
        <w:footnoteRef/>
      </w:r>
      <w:r>
        <w:t xml:space="preserve"> </w:t>
      </w:r>
      <w:r>
        <w:t xml:space="preserve">Castro, M., &amp; Liskov, B. (1999). Practical Byzantine Fault Tolerance.</w:t>
      </w:r>
      <w:r>
        <w:t xml:space="preserve"> </w:t>
      </w:r>
      <w:r>
        <w:rPr>
          <w:iCs/>
          <w:i/>
        </w:rPr>
        <w:t xml:space="preserve">Proceedings of the Third Symposium on Operating Systems Design and Implementation (OSDI’99)</w:t>
      </w:r>
      <w:r>
        <w:t xml:space="preserve">, 173–186.</w:t>
      </w:r>
    </w:p>
  </w:footnote>
  <w:footnote w:id="107">
    <w:p>
      <w:pPr>
        <w:pStyle w:val="FootnoteText"/>
      </w:pPr>
      <w:r>
        <w:rPr>
          <w:rStyle w:val="FootnoteReference"/>
        </w:rPr>
        <w:footnoteRef/>
      </w:r>
      <w:r>
        <w:t xml:space="preserve"> </w:t>
      </w:r>
      <w:r>
        <w:t xml:space="preserve">Fischer, M. J., Lynch, N. A., &amp; Paterson, M. S. (1985). Impossibility of Distributed Consensus with One Faulty Process.</w:t>
      </w:r>
      <w:r>
        <w:t xml:space="preserve"> </w:t>
      </w:r>
      <w:r>
        <w:rPr>
          <w:iCs/>
          <w:i/>
        </w:rPr>
        <w:t xml:space="preserve">Journal of the ACM</w:t>
      </w:r>
      <w:r>
        <w:t xml:space="preserve">, 32(2), 374–382.</w:t>
      </w:r>
    </w:p>
  </w:footnote>
  <w:footnote w:id="108">
    <w:p>
      <w:pPr>
        <w:pStyle w:val="FootnoteText"/>
      </w:pPr>
      <w:r>
        <w:rPr>
          <w:rStyle w:val="FootnoteReference"/>
        </w:rPr>
        <w:footnoteRef/>
      </w:r>
      <w:r>
        <w:t xml:space="preserve"> </w:t>
      </w:r>
      <w:r>
        <w:t xml:space="preserve">Yin, M., Malkhi, D., Reiter, M. K., Gueta, G. G., &amp; Abraham, I. (2019). HotStuff: BFT Consensus in the Lens of Blockchain.</w:t>
      </w:r>
      <w:r>
        <w:t xml:space="preserve"> </w:t>
      </w:r>
      <w:r>
        <w:rPr>
          <w:iCs/>
          <w:i/>
        </w:rPr>
        <w:t xml:space="preserve">arXiv preprint arXiv:1803.05069</w:t>
      </w:r>
      <w:r>
        <w:t xml:space="preserve">.</w:t>
      </w:r>
    </w:p>
  </w:footnote>
  <w:footnote w:id="110">
    <w:p>
      <w:pPr>
        <w:pStyle w:val="FootnoteText"/>
      </w:pPr>
      <w:r>
        <w:rPr>
          <w:rStyle w:val="FootnoteReference"/>
        </w:rPr>
        <w:footnoteRef/>
      </w:r>
      <w:r>
        <w:t xml:space="preserve"> </w:t>
      </w:r>
      <w:r>
        <w:t xml:space="preserve">Lamport, L. (2001). Paxos Made Simple.</w:t>
      </w:r>
      <w:r>
        <w:t xml:space="preserve"> </w:t>
      </w:r>
      <w:r>
        <w:rPr>
          <w:iCs/>
          <w:i/>
        </w:rPr>
        <w:t xml:space="preserve">ACM SIGACT News</w:t>
      </w:r>
      <w:r>
        <w:t xml:space="preserve">, 32(4), 18–25.</w:t>
      </w:r>
    </w:p>
  </w:footnote>
  <w:footnote w:id="112">
    <w:p>
      <w:pPr>
        <w:pStyle w:val="FootnoteText"/>
      </w:pPr>
      <w:r>
        <w:rPr>
          <w:rStyle w:val="FootnoteReference"/>
        </w:rPr>
        <w:footnoteRef/>
      </w:r>
      <w:r>
        <w:t xml:space="preserve"> </w:t>
      </w:r>
      <w:r>
        <w:t xml:space="preserve">Yin, M., Malkhi, D., Reiter, M. K., Gueta, G. G., &amp; Abraham, I. (2019). HotStuff: BFT Consensus in the Lens of Blockchain.</w:t>
      </w:r>
      <w:r>
        <w:t xml:space="preserve"> </w:t>
      </w:r>
      <w:r>
        <w:rPr>
          <w:iCs/>
          <w:i/>
        </w:rPr>
        <w:t xml:space="preserve">arXiv preprint arXiv:1803.05069</w:t>
      </w:r>
      <w:r>
        <w:t xml:space="preserve">.</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2026-05-05T03:52:35Z</dcterms:created>
  <dcterms:modified xsi:type="dcterms:W3CDTF">2026-05-05T03:52:35Z</dcterms:modified>
</cp:coreProperties>
</file>

<file path=docProps/custom.xml><?xml version="1.0" encoding="utf-8"?>
<Properties xmlns="http://schemas.openxmlformats.org/officeDocument/2006/custom-properties" xmlns:vt="http://schemas.openxmlformats.org/officeDocument/2006/docPropsVTypes"/>
</file>