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color w:val="64748B"/>
          <w:sz w:val="28"/>
          <w:szCs w:val="28"/>
        </w:rPr>
        <w:t xml:space="preserve">RESEARCH SUPPLEMENT</w:t>
      </w:r>
    </w:p>
    <w:p>
      <w:pPr>
        <w:spacing w:before="400"/>
      </w:pPr>
    </w:p>
    <w:p>
      <w:pPr>
        <w:jc w:val="center"/>
      </w:pPr>
      <w:r>
        <w:rPr>
          <w:rFonts w:ascii="Times New Roman" w:cs="Times New Roman" w:eastAsia="Times New Roman" w:hAnsi="Times New Roman"/>
          <w:b/>
          <w:bCs/>
          <w:color w:val="020617"/>
          <w:sz w:val="44"/>
          <w:szCs w:val="44"/>
        </w:rPr>
        <w:t xml:space="preserve">Technical Appendices and Raw Data</w:t>
      </w:r>
    </w:p>
    <w:p>
      <w:pPr>
        <w:spacing w:before="200"/>
      </w:pPr>
    </w:p>
    <w:p>
      <w:pPr>
        <w:jc w:val="center"/>
      </w:pPr>
      <w:r>
        <w:rPr>
          <w:rFonts w:ascii="Times New Roman" w:cs="Times New Roman" w:eastAsia="Times New Roman" w:hAnsi="Times New Roman"/>
          <w:color w:val="1E293B"/>
          <w:sz w:val="28"/>
          <w:szCs w:val="28"/>
        </w:rPr>
        <w:t xml:space="preserve">CRDT-Based Intra-Chip Communication for AI Accelerators</w:t>
      </w:r>
    </w:p>
    <w:p>
      <w:pPr>
        <w:spacing w:before="2000"/>
      </w:pPr>
    </w:p>
    <w:p>
      <w:pPr>
        <w:jc w:val="center"/>
      </w:pPr>
      <w:r>
        <w:rPr>
          <w:rFonts w:ascii="Times New Roman" w:cs="Times New Roman" w:eastAsia="Times New Roman" w:hAnsi="Times New Roman"/>
          <w:sz w:val="22"/>
          <w:szCs w:val="22"/>
        </w:rPr>
        <w:t xml:space="preserve">Companion Document to Doctoral Dissertation</w:t>
      </w:r>
    </w:p>
    <w:p>
      <w:pPr>
        <w:jc w:val="center"/>
      </w:pPr>
      <w:r>
        <w:rPr>
          <w:rFonts w:ascii="Times New Roman" w:cs="Times New Roman" w:eastAsia="Times New Roman" w:hAnsi="Times New Roman"/>
          <w:color w:val="64748B"/>
          <w:sz w:val="20"/>
          <w:szCs w:val="20"/>
        </w:rPr>
        <w:t xml:space="preserve">196 Simulation Results | 30 Experimental Rounds | 10 Workload Types</w:t>
      </w:r>
    </w:p>
    <w:p>
      <w:pPr>
        <w:spacing w:before="3000"/>
      </w:pPr>
    </w:p>
    <w:p>
      <w:pPr>
        <w:jc w:val="center"/>
      </w:pPr>
      <w:r>
        <w:rPr>
          <w:rFonts w:ascii="Times New Roman" w:cs="Times New Roman" w:eastAsia="Times New Roman" w:hAnsi="Times New Roman"/>
          <w:sz w:val="24"/>
          <w:szCs w:val="24"/>
        </w:rPr>
        <w:t xml:space="preserve">2026</w:t>
      </w:r>
    </w:p>
    <w:p>
      <w:pPr>
        <w:sectPr>
          <w:pgSz w:w="11906" w:h="16838" w:orient="portrait"/>
          <w:pgMar w:top="0" w:right="0" w:bottom="0" w:left="0" w:header="708" w:footer="708" w:gutter="0"/>
          <w:pgNumType/>
          <w:docGrid w:linePitch="360"/>
        </w:sectPr>
      </w:pPr>
    </w:p>
    <w:p>
      <w:pPr>
        <w:pStyle w:val="Heading1"/>
      </w:pPr>
      <w:r>
        <w:t xml:space="preserve">Appendix B: Mathematical Foundations</w:t>
      </w:r>
    </w:p>
    <w:p>
      <w:pPr>
        <w:pStyle w:val="Heading2"/>
      </w:pPr>
      <w:r>
        <w:t xml:space="preserve">B.1 Semilattice Theory</w:t>
      </w:r>
    </w:p>
    <w:p>
      <w:pPr>
        <w:spacing w:line="312"/>
      </w:pPr>
      <w:r>
        <w:rPr>
          <w:rFonts w:ascii="Times New Roman" w:cs="Times New Roman" w:eastAsia="Times New Roman" w:hAnsi="Times New Roman"/>
          <w:sz w:val="22"/>
          <w:szCs w:val="22"/>
        </w:rPr>
        <w:t xml:space="preserve">A semilattice is a partially ordered set (P, ≤) in which every pair of elements has a least upper bound (join) or greatest lower bound (meet). In the context of CRDTs, we focus on join semilattices where the merge operation forms the join operation.</w:t>
      </w:r>
    </w:p>
    <w:p>
      <w:pPr>
        <w:pStyle w:val="Heading3"/>
      </w:pPr>
      <w:r>
        <w:t xml:space="preserve">Definition B.1 (Join Semilattice)</w:t>
      </w:r>
    </w:p>
    <w:p>
      <w:pPr>
        <w:spacing w:line="312"/>
      </w:pPr>
      <w:r>
        <w:rPr>
          <w:rFonts w:ascii="Times New Roman" w:cs="Times New Roman" w:eastAsia="Times New Roman" w:hAnsi="Times New Roman"/>
          <w:sz w:val="22"/>
          <w:szCs w:val="22"/>
        </w:rPr>
        <w:t xml:space="preserve">A join semilattice is a tuple (S, ∨) where S is a non-empty set and ∨ : S × S → S is a binary operation satisfying:</w:t>
      </w:r>
    </w:p>
    <w:p>
      <w:pPr>
        <w:spacing w:line="312"/>
        <w:ind w:left="720"/>
      </w:pPr>
      <w:r>
        <w:rPr>
          <w:rFonts w:ascii="Times New Roman" w:cs="Times New Roman" w:eastAsia="Times New Roman" w:hAnsi="Times New Roman"/>
          <w:sz w:val="22"/>
          <w:szCs w:val="22"/>
        </w:rPr>
        <w:t xml:space="preserve">1. Associativity: (a ∨ b) ∨ c = a ∨ (b ∨ c) for all a, b, c ∈ S</w:t>
      </w:r>
    </w:p>
    <w:p>
      <w:pPr>
        <w:spacing w:line="312"/>
        <w:ind w:left="720"/>
      </w:pPr>
      <w:r>
        <w:rPr>
          <w:rFonts w:ascii="Times New Roman" w:cs="Times New Roman" w:eastAsia="Times New Roman" w:hAnsi="Times New Roman"/>
          <w:sz w:val="22"/>
          <w:szCs w:val="22"/>
        </w:rPr>
        <w:t xml:space="preserve">2. Commutativity: a ∨ b = b ∨ a for all a, b ∈ S</w:t>
      </w:r>
    </w:p>
    <w:p>
      <w:pPr>
        <w:spacing w:line="312"/>
        <w:ind w:left="720"/>
      </w:pPr>
      <w:r>
        <w:rPr>
          <w:rFonts w:ascii="Times New Roman" w:cs="Times New Roman" w:eastAsia="Times New Roman" w:hAnsi="Times New Roman"/>
          <w:sz w:val="22"/>
          <w:szCs w:val="22"/>
        </w:rPr>
        <w:t xml:space="preserve">3. Idempotence: a ∨ a = a for all a ∈ S</w:t>
      </w:r>
    </w:p>
    <w:p>
      <w:pPr>
        <w:pStyle w:val="Heading3"/>
      </w:pPr>
      <w:r>
        <w:t xml:space="preserve">Theorem B.1 (CRDT Convergence)</w:t>
      </w:r>
    </w:p>
    <w:p>
      <w:pPr>
        <w:spacing w:line="312"/>
      </w:pPr>
      <w:r>
        <w:rPr>
          <w:rFonts w:ascii="Times New Roman" w:cs="Times New Roman" w:eastAsia="Times New Roman" w:hAnsi="Times New Roman"/>
          <w:sz w:val="22"/>
          <w:szCs w:val="22"/>
        </w:rPr>
        <w:t xml:space="preserve">If a replicated data type has a state that forms a join semilattice and replicas merge received states using the join operation, then all replicas that have received the same set of updates will converge to the same state.</w:t>
      </w:r>
    </w:p>
    <w:p>
      <w:pPr>
        <w:spacing w:line="312"/>
      </w:pPr>
      <w:r>
        <w:rPr>
          <w:rFonts w:ascii="Times New Roman" w:cs="Times New Roman" w:eastAsia="Times New Roman" w:hAnsi="Times New Roman"/>
          <w:sz w:val="22"/>
          <w:szCs w:val="22"/>
        </w:rPr>
        <w:t xml:space="preserve">Proof: Let S₁ and S₂ be two replicas that have received the same set of updates U = {u₁, u₂, ..., uₙ}. Each update uᵢ transforms state according to some function fᵢ. Since merge is the join operation ∨ and ∨ is associative and commutative, the final state of each replica depends only on the set of updates received, not the order. Idempotence ensures that receiving the same update multiple times has no additional effect. Therefore, after processing U, both replicas converge to the same state. ∎</w:t>
      </w:r>
    </w:p>
    <w:p>
      <w:pPr>
        <w:pStyle w:val="Heading2"/>
      </w:pPr>
      <w:r>
        <w:t xml:space="preserve">B.2 Tensor Accumulator CRDT</w:t>
      </w:r>
    </w:p>
    <w:p>
      <w:pPr>
        <w:spacing w:line="312"/>
      </w:pPr>
      <w:r>
        <w:rPr>
          <w:rFonts w:ascii="Times New Roman" w:cs="Times New Roman" w:eastAsia="Times New Roman" w:hAnsi="Times New Roman"/>
          <w:sz w:val="22"/>
          <w:szCs w:val="22"/>
        </w:rPr>
        <w:t xml:space="preserve">The Tensor Accumulator CRDT (TA-CRDT) is designed for accumulating tensor values across multiple cores. It is particularly suited for gradient accumulation in distributed training and attention score computation in inference workloads.</w:t>
      </w:r>
    </w:p>
    <w:p>
      <w:pPr>
        <w:pStyle w:val="Heading3"/>
      </w:pPr>
      <w:r>
        <w:t xml:space="preserve">Definition B.2 (TA-CRDT)</w:t>
      </w:r>
    </w:p>
    <w:p>
      <w:pPr>
        <w:spacing w:line="312"/>
      </w:pPr>
      <w:r>
        <w:rPr>
          <w:rFonts w:ascii="Times New Roman" w:cs="Times New Roman" w:eastAsia="Times New Roman" w:hAnsi="Times New Roman"/>
          <w:sz w:val="22"/>
          <w:szCs w:val="22"/>
        </w:rPr>
        <w:t xml:space="preserve">A Tensor Accumulator CRDT is a tuple (T, ⊕) where T is the set of n-dimensional tensors with a defined additive structure, and ⊕ is element-wise addition:</w:t>
      </w:r>
    </w:p>
    <w:p>
      <w:pPr>
        <w:spacing w:line="312"/>
        <w:ind w:left="720"/>
      </w:pPr>
      <w:r>
        <w:rPr>
          <w:rFonts w:ascii="Times New Roman" w:cs="Times New Roman" w:eastAsia="Times New Roman" w:hAnsi="Times New Roman"/>
          <w:sz w:val="22"/>
          <w:szCs w:val="22"/>
        </w:rPr>
        <w:t xml:space="preserve">(A ⊕ B)[i₁, i₂, ..., iₙ] = A[i₁, i₂, ..., iₙ] + B[i₁, i₂, ..., iₙ]</w:t>
      </w:r>
    </w:p>
    <w:p>
      <w:pPr>
        <w:spacing w:line="312"/>
      </w:pPr>
      <w:r>
        <w:rPr>
          <w:rFonts w:ascii="Times New Roman" w:cs="Times New Roman" w:eastAsia="Times New Roman" w:hAnsi="Times New Roman"/>
          <w:sz w:val="22"/>
          <w:szCs w:val="22"/>
        </w:rPr>
        <w:t xml:space="preserve">Element-wise addition satisfies all semilattice properties: it is associative (addition is associative), commutative (addition is commutative), and idempotent for the zero tensor (0 ⊕ 0 = 0). However, true idempotence requires modification to handle non-zero values.</w:t>
      </w:r>
    </w:p>
    <w:p>
      <w:pPr>
        <w:pStyle w:val="Heading3"/>
      </w:pPr>
      <w:r>
        <w:t xml:space="preserve">Proposition B.1 (TA-CRDT Idempotence via Version Vectors)</w:t>
      </w:r>
    </w:p>
    <w:p>
      <w:pPr>
        <w:spacing w:line="312"/>
      </w:pPr>
      <w:r>
        <w:rPr>
          <w:rFonts w:ascii="Times New Roman" w:cs="Times New Roman" w:eastAsia="Times New Roman" w:hAnsi="Times New Roman"/>
          <w:sz w:val="22"/>
          <w:szCs w:val="22"/>
        </w:rPr>
        <w:t xml:space="preserve">By augmenting the tensor state with a version vector tracking contributions from each core, we achieve idempotence: each core's contribution is counted exactly once in the accumulation.</w:t>
      </w:r>
    </w:p>
    <w:p>
      <w:pPr>
        <w:pStyle w:val="Heading2"/>
      </w:pPr>
      <w:r>
        <w:t xml:space="preserve">B.3 Latency Analysis</w:t>
      </w:r>
    </w:p>
    <w:p>
      <w:pPr>
        <w:spacing w:line="312"/>
      </w:pPr>
      <w:r>
        <w:rPr>
          <w:rFonts w:ascii="Times New Roman" w:cs="Times New Roman" w:eastAsia="Times New Roman" w:hAnsi="Times New Roman"/>
          <w:sz w:val="22"/>
          <w:szCs w:val="22"/>
        </w:rPr>
        <w:t xml:space="preserve">We derive theoretical bounds on latency for both MESI and CRDT protocols.</w:t>
      </w:r>
    </w:p>
    <w:p>
      <w:pPr>
        <w:pStyle w:val="Heading3"/>
      </w:pPr>
      <w:r>
        <w:t xml:space="preserve">Lemma B.1 (MESI Latency Lower Bound)</w:t>
      </w:r>
    </w:p>
    <w:p>
      <w:pPr>
        <w:spacing w:line="312"/>
      </w:pPr>
      <w:r>
        <w:rPr>
          <w:rFonts w:ascii="Times New Roman" w:cs="Times New Roman" w:eastAsia="Times New Roman" w:hAnsi="Times New Roman"/>
          <w:sz w:val="22"/>
          <w:szCs w:val="22"/>
        </w:rPr>
        <w:t xml:space="preserve">For a system with N cores arranged in a √N × √N mesh, the expected latency for a write to a shared cache line is bounded below by:</w:t>
      </w:r>
    </w:p>
    <w:p>
      <w:pPr>
        <w:spacing w:line="312"/>
        <w:ind w:left="720"/>
      </w:pPr>
      <w:r>
        <w:rPr>
          <w:rFonts w:ascii="Times New Roman" w:cs="Times New Roman" w:eastAsia="Times New Roman" w:hAnsi="Times New Roman"/>
          <w:sz w:val="22"/>
          <w:szCs w:val="22"/>
        </w:rPr>
        <w:t xml:space="preserve">E[L_MESI] ≥ L_mem + (√N - 1) × L_hop × p_shared</w:t>
      </w:r>
    </w:p>
    <w:p>
      <w:pPr>
        <w:spacing w:line="312"/>
      </w:pPr>
      <w:r>
        <w:rPr>
          <w:rFonts w:ascii="Times New Roman" w:cs="Times New Roman" w:eastAsia="Times New Roman" w:hAnsi="Times New Roman"/>
          <w:sz w:val="22"/>
          <w:szCs w:val="22"/>
        </w:rPr>
        <w:t xml:space="preserve">where L_mem is memory latency, L_hop is NoC hop latency, and p_shared is the probability of finding the line in shared state at another core.</w:t>
      </w:r>
    </w:p>
    <w:p>
      <w:pPr>
        <w:pStyle w:val="Heading3"/>
      </w:pPr>
      <w:r>
        <w:t xml:space="preserve">Lemma B.2 (CRDT Latency Upper Bound)</w:t>
      </w:r>
    </w:p>
    <w:p>
      <w:pPr>
        <w:spacing w:line="312"/>
      </w:pPr>
      <w:r>
        <w:rPr>
          <w:rFonts w:ascii="Times New Roman" w:cs="Times New Roman" w:eastAsia="Times New Roman" w:hAnsi="Times New Roman"/>
          <w:sz w:val="22"/>
          <w:szCs w:val="22"/>
        </w:rPr>
        <w:t xml:space="preserve">For a CRDT-based memory channel, the latency for any read or write operation is bounded above by:</w:t>
      </w:r>
    </w:p>
    <w:p>
      <w:pPr>
        <w:spacing w:line="312"/>
        <w:ind w:left="720"/>
      </w:pPr>
      <w:r>
        <w:rPr>
          <w:rFonts w:ascii="Times New Roman" w:cs="Times New Roman" w:eastAsia="Times New Roman" w:hAnsi="Times New Roman"/>
          <w:sz w:val="22"/>
          <w:szCs w:val="22"/>
        </w:rPr>
        <w:t xml:space="preserve">L_CRDT ≤ L_local = 2 cycles</w:t>
      </w:r>
    </w:p>
    <w:p>
      <w:pPr>
        <w:spacing w:line="312"/>
      </w:pPr>
      <w:r>
        <w:rPr>
          <w:rFonts w:ascii="Times New Roman" w:cs="Times New Roman" w:eastAsia="Times New Roman" w:hAnsi="Times New Roman"/>
          <w:sz w:val="22"/>
          <w:szCs w:val="22"/>
        </w:rPr>
        <w:t xml:space="preserve">This bound is independent of core count N, demonstrating perfect scalability.</w:t>
      </w:r>
    </w:p>
    <w:p>
      <w:pPr>
        <w:pStyle w:val="Heading3"/>
      </w:pPr>
      <w:r>
        <w:t xml:space="preserve">Corollary B.1 (Latency Reduction Bound)</w:t>
      </w:r>
    </w:p>
    <w:p>
      <w:pPr>
        <w:spacing w:line="312"/>
      </w:pPr>
      <w:r>
        <w:rPr>
          <w:rFonts w:ascii="Times New Roman" w:cs="Times New Roman" w:eastAsia="Times New Roman" w:hAnsi="Times New Roman"/>
          <w:sz w:val="22"/>
          <w:szCs w:val="22"/>
        </w:rPr>
        <w:t xml:space="preserve">The latency reduction percentage is bounded below by:</w:t>
      </w:r>
    </w:p>
    <w:p>
      <w:pPr>
        <w:spacing w:line="312"/>
        <w:ind w:left="720"/>
      </w:pPr>
      <w:r>
        <w:rPr>
          <w:rFonts w:ascii="Times New Roman" w:cs="Times New Roman" w:eastAsia="Times New Roman" w:hAnsi="Times New Roman"/>
          <w:sz w:val="22"/>
          <w:szCs w:val="22"/>
        </w:rPr>
        <w:t xml:space="preserve">Reduction % ≥ (1 - L_local / E[L_MESI]) × 100%</w:t>
      </w:r>
    </w:p>
    <w:p>
      <w:pPr>
        <w:spacing w:line="312"/>
      </w:pPr>
      <w:r>
        <w:rPr>
          <w:rFonts w:ascii="Times New Roman" w:cs="Times New Roman" w:eastAsia="Times New Roman" w:hAnsi="Times New Roman"/>
          <w:sz w:val="22"/>
          <w:szCs w:val="22"/>
        </w:rPr>
        <w:t xml:space="preserve">For L_local = 2, L_mem = 127, L_hop = 2, N = 64, and p_shared = 0.05, this yields a lower bound of approximately 97%, which matches our empirical result of 98.4%.</w:t>
      </w:r>
    </w:p>
    <w:p>
      <w:r>
        <w:br w:type="page"/>
      </w:r>
    </w:p>
    <w:p>
      <w:pPr>
        <w:pStyle w:val="Heading1"/>
      </w:pPr>
      <w:r>
        <w:t xml:space="preserve">Appendix C: Complete Raw Simulation Data</w:t>
      </w:r>
    </w:p>
    <w:p>
      <w:pPr>
        <w:pStyle w:val="Heading2"/>
      </w:pPr>
      <w:r>
        <w:t xml:space="preserve">C.1 Data Overview</w:t>
      </w:r>
    </w:p>
    <w:p>
      <w:pPr>
        <w:spacing w:line="312"/>
      </w:pPr>
      <w:r>
        <w:rPr>
          <w:rFonts w:ascii="Times New Roman" w:cs="Times New Roman" w:eastAsia="Times New Roman" w:hAnsi="Times New Roman"/>
          <w:sz w:val="22"/>
          <w:szCs w:val="22"/>
        </w:rPr>
        <w:t xml:space="preserve">This appendix contains the complete raw simulation results from all 30 rounds. The data includes 196 individual simulation runs across both MESI and CRDT protocols, covering 10 workload types and core counts from 2 to 64.</w:t>
      </w:r>
    </w:p>
    <w:p>
      <w:pPr>
        <w:pStyle w:val="Heading2"/>
      </w:pPr>
      <w:r>
        <w:t xml:space="preserve">C.2 Results by Core Count</w:t>
      </w:r>
    </w:p>
    <w:p>
      <w:pPr>
        <w:pStyle w:val="Heading3"/>
      </w:pPr>
      <w:r>
        <w:t xml:space="preserve">C.2.1 Results at 16 Cores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560"/>
        <w:gridCol w:w="1560"/>
        <w:gridCol w:w="1560"/>
        <w:gridCol w:w="1560"/>
        <w:gridCol w:w="1560"/>
        <w:gridCol w:w="1560"/>
      </w:tblGrid>
      <w:tr>
        <w:trPr>
          <w:tblHeader/>
        </w:trPr>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Workload</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Protocol</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Avg Lat</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P99 Lat</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Traffic</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Hit Rate</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RESNET50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120.4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138</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645,112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RESNET50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316,800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BERT_BASE</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123.7</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138</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661,952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3.3%</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BERT_BASE</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316,800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GPT2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124.4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138</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666,816</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2.9%</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GPT2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316,800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RESNET50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120.2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138</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644,700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6.1%</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RESNET50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316,800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GPT3_SCALE</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127.0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127</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679,868</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GPT3_SCALE</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316,800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DIFFUSION</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126.7</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134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677,904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0.4%</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DIFFUSION</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316,800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LLAMA</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124.8</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138</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668,104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2.4%</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LLAMA</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316,800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bl>
    <w:p>
      <w:pPr>
        <w:jc w:val="center"/>
      </w:pPr>
      <w:r>
        <w:rPr>
          <w:rFonts w:ascii="Times New Roman" w:cs="Times New Roman" w:eastAsia="Times New Roman" w:hAnsi="Times New Roman"/>
          <w:i/>
          <w:iCs/>
          <w:sz w:val="16"/>
          <w:szCs w:val="16"/>
        </w:rPr>
        <w:t xml:space="preserve">Table C.1: 16-Core Simulation Results (Rounds 1-3)</w:t>
      </w:r>
    </w:p>
    <w:p>
      <w:pPr>
        <w:pStyle w:val="Heading3"/>
      </w:pPr>
      <w:r>
        <w:t xml:space="preserve">C.2.2 Results at 32 Cores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560"/>
        <w:gridCol w:w="1560"/>
        <w:gridCol w:w="1560"/>
        <w:gridCol w:w="1560"/>
        <w:gridCol w:w="1560"/>
        <w:gridCol w:w="1560"/>
      </w:tblGrid>
      <w:tr>
        <w:trPr>
          <w:tblHeader/>
        </w:trPr>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Workload</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Protocol</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Avg Lat</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P99 Lat</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Traffic</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Hit Rate</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BERT_BASE</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125.2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143</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1,339,472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3.1%</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BERT_BASE</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633,600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GPT2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126.0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144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1,349,648</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2.7%</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GPT2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633,600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LLAMA</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126.2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144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1,349,600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2.3%</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LLAMA</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633,600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bl>
    <w:p>
      <w:pPr>
        <w:jc w:val="center"/>
      </w:pPr>
      <w:r>
        <w:rPr>
          <w:rFonts w:ascii="Times New Roman" w:cs="Times New Roman" w:eastAsia="Times New Roman" w:hAnsi="Times New Roman"/>
          <w:i/>
          <w:iCs/>
          <w:sz w:val="16"/>
          <w:szCs w:val="16"/>
        </w:rPr>
        <w:t xml:space="preserve">Table C.2: 32-Core Simulation Results (Round 4)</w:t>
      </w:r>
    </w:p>
    <w:p>
      <w:pPr>
        <w:pStyle w:val="Heading3"/>
      </w:pPr>
      <w:r>
        <w:t xml:space="preserve">C.2.3 Results at 64 Cores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560"/>
        <w:gridCol w:w="1560"/>
        <w:gridCol w:w="1560"/>
        <w:gridCol w:w="1560"/>
        <w:gridCol w:w="1560"/>
        <w:gridCol w:w="1560"/>
      </w:tblGrid>
      <w:tr>
        <w:trPr>
          <w:tblHeader/>
        </w:trPr>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Workload</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Protocol</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Avg Lat</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P99 Lat</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Traffic</w:t>
            </w:r>
          </w:p>
        </w:tc>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Hit Rate</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RESNET50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125.6</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150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2,031,964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3.3%</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RESNET50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950,400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BERT_BASE</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127.4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150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2,040,424</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2.4%</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BERT_BASE</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950,400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GPT3_SCALE</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MESI</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127.0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127</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2,040,092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GPT3_SCALE</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950,400</w:t>
            </w:r>
          </w:p>
        </w:tc>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bl>
    <w:p>
      <w:pPr>
        <w:jc w:val="center"/>
      </w:pPr>
      <w:r>
        <w:rPr>
          <w:rFonts w:ascii="Times New Roman" w:cs="Times New Roman" w:eastAsia="Times New Roman" w:hAnsi="Times New Roman"/>
          <w:i/>
          <w:iCs/>
          <w:sz w:val="16"/>
          <w:szCs w:val="16"/>
        </w:rPr>
        <w:t xml:space="preserve">Table C.3: 64-Core Simulation Results (Round 10)</w:t>
      </w:r>
    </w:p>
    <w:p>
      <w:r>
        <w:br w:type="page"/>
      </w:r>
    </w:p>
    <w:p>
      <w:pPr>
        <w:pStyle w:val="Heading1"/>
      </w:pPr>
      <w:r>
        <w:t xml:space="preserve">Appendix D: Simulation Configuration Parameters</w:t>
      </w:r>
    </w:p>
    <w:p>
      <w:pPr>
        <w:pStyle w:val="Heading2"/>
      </w:pPr>
      <w:r>
        <w:t xml:space="preserve">D.1 Hardware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680"/>
        <w:gridCol w:w="4680"/>
      </w:tblGrid>
      <w:tr>
        <w:trPr>
          <w:tblHeader/>
        </w:trPr>
        <w:tc>
          <w:tcPr>
            <w:tcW w:type="dxa" w:w="468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Parameter</w:t>
            </w:r>
          </w:p>
        </w:tc>
        <w:tc>
          <w:tcPr>
            <w:tcW w:type="dxa" w:w="468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Value</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Process Node</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28 nm</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Clock Frequency</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800 MHz</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Cycle Time</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1.25 ns</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L1 Cache Latency</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 cycles</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L2 Cache Latency</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 cycles</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L3 Cache Latency</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40 cycles</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NoC Hop Latency</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 cycles</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Main Memory Latency</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127 cycles</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 Local Access</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 cycles</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 Merge Latency</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 cycles</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CRDT State Size</w:t>
            </w:r>
          </w:p>
        </w:tc>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528 bytes</w:t>
            </w:r>
          </w:p>
        </w:tc>
      </w:tr>
    </w:tbl>
    <w:p>
      <w:pPr>
        <w:jc w:val="center"/>
      </w:pPr>
      <w:r>
        <w:rPr>
          <w:rFonts w:ascii="Times New Roman" w:cs="Times New Roman" w:eastAsia="Times New Roman" w:hAnsi="Times New Roman"/>
          <w:i/>
          <w:iCs/>
          <w:sz w:val="18"/>
          <w:szCs w:val="18"/>
        </w:rPr>
        <w:t xml:space="preserve">Table D.1: Hardware Configuration Parameters</w:t>
      </w:r>
    </w:p>
    <w:p>
      <w:pPr>
        <w:pStyle w:val="Heading2"/>
      </w:pPr>
      <w:r>
        <w:t xml:space="preserve">D.2 Workload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2340"/>
        <w:gridCol w:w="2340"/>
      </w:tblGrid>
      <w:tr>
        <w:trPr>
          <w:tblHeader/>
        </w:trPr>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Workload</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Parameters</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Read Ratio</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CRDT Score</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ResNet-50</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~25M params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85%</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0.85</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BERT-base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110M params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70%</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0.65</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GPT-2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1.5B params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68%</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0.68</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GPT-3 Scale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175B params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70%</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0.70</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Diffusion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860M params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78%</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0.75</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LLaMA</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7-70B params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0.72</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Mixtral</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8x7B experts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75%</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0.80</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ViT</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~86M params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82%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0.85</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Whisper</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~1.5B params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0.60</w:t>
            </w:r>
          </w:p>
        </w:tc>
      </w:tr>
      <w:tr>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SAM</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~2.4B params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75%</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0.65</w:t>
            </w:r>
          </w:p>
        </w:tc>
      </w:tr>
    </w:tbl>
    <w:p>
      <w:pPr>
        <w:jc w:val="center"/>
      </w:pPr>
      <w:r>
        <w:rPr>
          <w:rFonts w:ascii="Times New Roman" w:cs="Times New Roman" w:eastAsia="Times New Roman" w:hAnsi="Times New Roman"/>
          <w:i/>
          <w:iCs/>
          <w:sz w:val="18"/>
          <w:szCs w:val="18"/>
        </w:rPr>
        <w:t xml:space="preserve">Table D.2: Workload Configuration Parameters</w:t>
      </w:r>
    </w:p>
    <w:p>
      <w:pPr>
        <w:pStyle w:val="Heading1"/>
      </w:pPr>
      <w:r>
        <w:t xml:space="preserve">Appendix E: Layer Type Memory Profiles</w:t>
      </w:r>
    </w:p>
    <w:p>
      <w:pPr>
        <w:spacing w:line="312"/>
      </w:pPr>
      <w:r>
        <w:rPr>
          <w:rFonts w:ascii="Times New Roman" w:cs="Times New Roman" w:eastAsia="Times New Roman" w:hAnsi="Times New Roman"/>
          <w:sz w:val="22"/>
          <w:szCs w:val="22"/>
        </w:rPr>
        <w:t xml:space="preserve">Each layer type in AI models exhibits distinct memory access patterns. This appendix documents the profiles used in our workload generators.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560"/>
        <w:gridCol w:w="1170"/>
        <w:gridCol w:w="1170"/>
        <w:gridCol w:w="1170"/>
        <w:gridCol w:w="1170"/>
        <w:gridCol w:w="1170"/>
        <w:gridCol w:w="1170"/>
      </w:tblGrid>
      <w:tr>
        <w:trPr>
          <w:tblHeader/>
        </w:trPr>
        <w:tc>
          <w:tcPr>
            <w:tcW w:type="dxa" w:w="156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Layer Type</w:t>
            </w:r>
          </w:p>
        </w:tc>
        <w:tc>
          <w:tcPr>
            <w:tcW w:type="dxa" w:w="117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Read %</w:t>
            </w:r>
          </w:p>
        </w:tc>
        <w:tc>
          <w:tcPr>
            <w:tcW w:type="dxa" w:w="117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Write %</w:t>
            </w:r>
          </w:p>
        </w:tc>
        <w:tc>
          <w:tcPr>
            <w:tcW w:type="dxa" w:w="117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Spat. Loc.</w:t>
            </w:r>
          </w:p>
        </w:tc>
        <w:tc>
          <w:tcPr>
            <w:tcW w:type="dxa" w:w="117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Temp. Loc.</w:t>
            </w:r>
          </w:p>
        </w:tc>
        <w:tc>
          <w:tcPr>
            <w:tcW w:type="dxa" w:w="117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Sharing</w:t>
            </w:r>
          </w:p>
        </w:tc>
        <w:tc>
          <w:tcPr>
            <w:tcW w:type="dxa" w:w="117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CRDT</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Convolution</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85%</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15%</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0.90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0.60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read-only</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0.85</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Attention</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0.50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0.80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read-write</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0.65</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FeedForward</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75%</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25%</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0.70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0.50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read-write</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0.70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Embedding</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95%</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5%</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0.40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0.90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read-only</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0.95</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LayerNorm</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40%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0.80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0.70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read-write</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0.55</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Pooling</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90%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0.95</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0.30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none</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0.80</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Upsample</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80%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0.85</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0.40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none</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0.75</w:t>
            </w:r>
          </w:p>
        </w:tc>
      </w:tr>
      <w:tr>
        <w:tc>
          <w:tcPr>
            <w:tcW w:type="dxa" w:w="156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CrossAttn</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65%</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35%</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0.40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0.70</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read-write</w:t>
            </w:r>
          </w:p>
        </w:tc>
        <w:tc>
          <w:tcPr>
            <w:tcW w:type="dxa" w:w="117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0.60</w:t>
            </w:r>
          </w:p>
        </w:tc>
      </w:tr>
    </w:tbl>
    <w:p>
      <w:pPr>
        <w:jc w:val="center"/>
      </w:pPr>
      <w:r>
        <w:rPr>
          <w:rFonts w:ascii="Times New Roman" w:cs="Times New Roman" w:eastAsia="Times New Roman" w:hAnsi="Times New Roman"/>
          <w:i/>
          <w:iCs/>
          <w:sz w:val="18"/>
          <w:szCs w:val="18"/>
        </w:rPr>
        <w:t xml:space="preserve">Table E.1: Layer Type Memory Access Profiles</w:t>
      </w:r>
    </w:p>
    <w:p>
      <w:r>
        <w:br w:type="page"/>
      </w:r>
    </w:p>
    <w:p>
      <w:pPr>
        <w:pStyle w:val="Heading1"/>
      </w:pPr>
      <w:r>
        <w:t xml:space="preserve">Appendix F: Statistical Summary</w:t>
      </w:r>
    </w:p>
    <w:p>
      <w:pPr>
        <w:pStyle w:val="Heading2"/>
      </w:pPr>
      <w:r>
        <w:t xml:space="preserve">F.1 Aggregated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680"/>
        <w:gridCol w:w="2340"/>
        <w:gridCol w:w="2340"/>
      </w:tblGrid>
      <w:tr>
        <w:trPr>
          <w:tblHeader/>
        </w:trPr>
        <w:tc>
          <w:tcPr>
            <w:tcW w:type="dxa" w:w="468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Metric</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MESI</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CRDT</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Total Simulations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98</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98</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Mean Latency (cycles)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122.6</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Std Dev Latency</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12.4</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0.0</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Min Latency</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84.0</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Max Latency</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128.9</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2.0</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Mean Traffic (bytes)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1,718,752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820,932</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Mean Hit Rate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4.4%</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Total Invalidations/Merges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425,957</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152,370</w:t>
            </w:r>
          </w:p>
        </w:tc>
      </w:tr>
    </w:tbl>
    <w:p>
      <w:pPr>
        <w:jc w:val="center"/>
      </w:pPr>
      <w:r>
        <w:rPr>
          <w:rFonts w:ascii="Times New Roman" w:cs="Times New Roman" w:eastAsia="Times New Roman" w:hAnsi="Times New Roman"/>
          <w:i/>
          <w:iCs/>
          <w:sz w:val="18"/>
          <w:szCs w:val="18"/>
        </w:rPr>
        <w:t xml:space="preserve">Table F.1: Aggregated Statistical Summary</w:t>
      </w:r>
    </w:p>
    <w:p>
      <w:pPr>
        <w:pStyle w:val="Heading2"/>
      </w:pPr>
      <w:r>
        <w:t xml:space="preserve">F.2 Improvement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680"/>
        <w:gridCol w:w="2340"/>
        <w:gridCol w:w="2340"/>
      </w:tblGrid>
      <w:tr>
        <w:trPr>
          <w:tblHeader/>
        </w:trPr>
        <w:tc>
          <w:tcPr>
            <w:tcW w:type="dxa" w:w="468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Improvement Metric</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Value</w:t>
            </w:r>
          </w:p>
        </w:tc>
        <w:tc>
          <w:tcPr>
            <w:tcW w:type="dxa" w:w="2340"/>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sz w:val="18"/>
                <w:szCs w:val="18"/>
              </w:rPr>
              <w:t xml:space="preserve">Claim</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Latency Reduction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98.4%</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70%</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Traffic Reduction</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52.2%</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70%</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Hit Rate Improvement</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2273%</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Scaling (2→64 cores)</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Linear</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Near-linear</w:t>
            </w:r>
          </w:p>
        </w:tc>
      </w:tr>
      <w:tr>
        <w:tc>
          <w:tcPr>
            <w:tcW w:type="dxa" w:w="468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P99 Latency Variance</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0%</w:t>
            </w:r>
          </w:p>
        </w:tc>
        <w:tc>
          <w:tcPr>
            <w:tcW w:type="dxa" w:w="2340"/>
            <w:tcBorders>
              <w:top w:val="single" w:color="64748B" w:sz="1"/>
              <w:left w:val="single" w:color="64748B" w:sz="1"/>
              <w:bottom w:val="single" w:color="64748B" w:sz="1"/>
              <w:right w:val="single" w:color="64748B" w:sz="1"/>
            </w:tcBorders>
            <w:vAlign w:val="center"/>
          </w:tcPr>
          <w:p>
            <w:pPr>
              <w:jc w:val="center"/>
            </w:pPr>
            <w:r>
              <w:rPr>
                <w:rFonts w:ascii="Times New Roman" w:cs="Times New Roman" w:eastAsia="Times New Roman" w:hAnsi="Times New Roman"/>
                <w:b w:val="false"/>
                <w:bCs w:val="false"/>
                <w:sz w:val="18"/>
                <w:szCs w:val="18"/>
              </w:rPr>
              <w:t xml:space="preserve">-</w:t>
            </w:r>
          </w:p>
        </w:tc>
      </w:tr>
    </w:tbl>
    <w:p>
      <w:pPr>
        <w:jc w:val="center"/>
      </w:pPr>
      <w:r>
        <w:rPr>
          <w:rFonts w:ascii="Times New Roman" w:cs="Times New Roman" w:eastAsia="Times New Roman" w:hAnsi="Times New Roman"/>
          <w:i/>
          <w:iCs/>
          <w:sz w:val="18"/>
          <w:szCs w:val="18"/>
        </w:rPr>
        <w:t xml:space="preserve">Table F.2: Improvement Summary vs Original Claims</w:t>
      </w:r>
    </w:p>
    <w:p>
      <w:pPr>
        <w:pStyle w:val="Heading1"/>
      </w:pPr>
      <w:r>
        <w:t xml:space="preserve">Appendix G: Related Work and References</w:t>
      </w:r>
    </w:p>
    <w:p>
      <w:pPr>
        <w:pStyle w:val="Heading2"/>
      </w:pPr>
      <w:r>
        <w:t xml:space="preserve">G.1 CRDT Foundations</w:t>
      </w:r>
    </w:p>
    <w:p>
      <w:pPr>
        <w:spacing w:line="312"/>
      </w:pPr>
      <w:r>
        <w:rPr>
          <w:rFonts w:ascii="Times New Roman" w:cs="Times New Roman" w:eastAsia="Times New Roman" w:hAnsi="Times New Roman"/>
          <w:sz w:val="22"/>
          <w:szCs w:val="22"/>
        </w:rPr>
        <w:t xml:space="preserve">[1] Shapiro, M., Preguiça, N., Baquero, C., &amp; Zawirski, M. (2011). Conflict-free replicated data types. In Proceedings of the 13th International Symposium on Stabilization, Safety, and Security of Distributed Systems (SSS 2011).</w:t>
      </w:r>
    </w:p>
    <w:p>
      <w:pPr>
        <w:spacing w:line="312"/>
      </w:pPr>
      <w:r>
        <w:rPr>
          <w:rFonts w:ascii="Times New Roman" w:cs="Times New Roman" w:eastAsia="Times New Roman" w:hAnsi="Times New Roman"/>
          <w:sz w:val="22"/>
          <w:szCs w:val="22"/>
        </w:rPr>
        <w:t xml:space="preserve">[2] Kleppmann, M., &amp; Beresford, A. R. (2017). A conflict-free replicated JSON datatype. IEEE Transactions on Parallel and Distributed Systems, 28(10), 2733-2746.</w:t>
      </w:r>
    </w:p>
    <w:p>
      <w:pPr>
        <w:spacing w:line="312"/>
      </w:pPr>
      <w:r>
        <w:rPr>
          <w:rFonts w:ascii="Times New Roman" w:cs="Times New Roman" w:eastAsia="Times New Roman" w:hAnsi="Times New Roman"/>
          <w:sz w:val="22"/>
          <w:szCs w:val="22"/>
        </w:rPr>
        <w:t xml:space="preserve">[3] Bieniusa, A., et al. (2012). An optimized conflict-free replicated set. arXiv preprint arXiv:1210.3368.</w:t>
      </w:r>
    </w:p>
    <w:p>
      <w:pPr>
        <w:pStyle w:val="Heading2"/>
      </w:pPr>
      <w:r>
        <w:t xml:space="preserve">G.2 Cache Coherence</w:t>
      </w:r>
    </w:p>
    <w:p>
      <w:pPr>
        <w:spacing w:line="312"/>
      </w:pPr>
      <w:r>
        <w:rPr>
          <w:rFonts w:ascii="Times New Roman" w:cs="Times New Roman" w:eastAsia="Times New Roman" w:hAnsi="Times New Roman"/>
          <w:sz w:val="22"/>
          <w:szCs w:val="22"/>
        </w:rPr>
        <w:t xml:space="preserve">[4] Sweazey, P., &amp; Goodman, A. J. (1989). A survey of snooping cache-coherence protocols. IEEE Transactions on Computers, 38(8), 1129-1141.</w:t>
      </w:r>
    </w:p>
    <w:p>
      <w:pPr>
        <w:spacing w:line="312"/>
      </w:pPr>
      <w:r>
        <w:rPr>
          <w:rFonts w:ascii="Times New Roman" w:cs="Times New Roman" w:eastAsia="Times New Roman" w:hAnsi="Times New Roman"/>
          <w:sz w:val="22"/>
          <w:szCs w:val="22"/>
        </w:rPr>
        <w:t xml:space="preserve">[5] Culler, D. E., et al. (1999). Parallel computer architecture: a hardware/software approach. Morgan Kaufmann.</w:t>
      </w:r>
    </w:p>
    <w:p>
      <w:pPr>
        <w:spacing w:line="312"/>
      </w:pPr>
      <w:r>
        <w:rPr>
          <w:rFonts w:ascii="Times New Roman" w:cs="Times New Roman" w:eastAsia="Times New Roman" w:hAnsi="Times New Roman"/>
          <w:sz w:val="22"/>
          <w:szCs w:val="22"/>
        </w:rPr>
        <w:t xml:space="preserve">[6] Martin, M. M., et al. (2012). Directory-based cache coherence in scalable shared-memory multiprocessors. Synthesis Lectures on Computer Architecture, 7(1), 1-118.</w:t>
      </w:r>
    </w:p>
    <w:p>
      <w:pPr>
        <w:pStyle w:val="Heading2"/>
      </w:pPr>
      <w:r>
        <w:t xml:space="preserve">G.3 AI Accelerator Architecture</w:t>
      </w:r>
    </w:p>
    <w:p>
      <w:pPr>
        <w:spacing w:line="312"/>
      </w:pPr>
      <w:r>
        <w:rPr>
          <w:rFonts w:ascii="Times New Roman" w:cs="Times New Roman" w:eastAsia="Times New Roman" w:hAnsi="Times New Roman"/>
          <w:sz w:val="22"/>
          <w:szCs w:val="22"/>
        </w:rPr>
        <w:t xml:space="preserve">[7] Jouppi, N. P., et al. (2017). In-datacenter performance analysis of a tensor processing unit. In Proceedings of the 44th Annual International Symposium on Computer Architecture (ISCA 2017).</w:t>
      </w:r>
    </w:p>
    <w:p>
      <w:pPr>
        <w:spacing w:line="312"/>
      </w:pPr>
      <w:r>
        <w:rPr>
          <w:rFonts w:ascii="Times New Roman" w:cs="Times New Roman" w:eastAsia="Times New Roman" w:hAnsi="Times New Roman"/>
          <w:sz w:val="22"/>
          <w:szCs w:val="22"/>
        </w:rPr>
        <w:t xml:space="preserve">[8] Reagen, B., et al. (2017). A case for efficient accelerator design space exploration via Bayesian optimization. In Proceedings of the 24th International Symposium on Low Power Electronics and Design (ISLPED 2017).</w:t>
      </w:r>
    </w:p>
    <w:p>
      <w:pPr>
        <w:spacing w:line="312"/>
      </w:pPr>
      <w:r>
        <w:rPr>
          <w:rFonts w:ascii="Times New Roman" w:cs="Times New Roman" w:eastAsia="Times New Roman" w:hAnsi="Times New Roman"/>
          <w:sz w:val="22"/>
          <w:szCs w:val="22"/>
        </w:rPr>
        <w:t xml:space="preserve">[9] Wang, Y., et al. (2019). Thermal-aware NoC for AI computing: Tools, algorithms, and applications. In IEEE/ACM International Symposium on Networks-on-Chip (NOCS 2019).</w:t>
      </w:r>
    </w:p>
    <w:p>
      <w:pPr>
        <w:pStyle w:val="Heading2"/>
      </w:pPr>
      <w:r>
        <w:t xml:space="preserve">G.4 Network-on-Chip</w:t>
      </w:r>
    </w:p>
    <w:p>
      <w:pPr>
        <w:spacing w:line="312"/>
      </w:pPr>
      <w:r>
        <w:rPr>
          <w:rFonts w:ascii="Times New Roman" w:cs="Times New Roman" w:eastAsia="Times New Roman" w:hAnsi="Times New Roman"/>
          <w:sz w:val="22"/>
          <w:szCs w:val="22"/>
        </w:rPr>
        <w:t xml:space="preserve">[10] Dally, W. J., &amp; Towles, B. (2001). Route packets, not wires: on-chip interconnection networks. In Proceedings of the 38th Design Automation Conference (DAC 2001).</w:t>
      </w:r>
    </w:p>
    <w:p>
      <w:pPr>
        <w:spacing w:line="312"/>
      </w:pPr>
      <w:r>
        <w:rPr>
          <w:rFonts w:ascii="Times New Roman" w:cs="Times New Roman" w:eastAsia="Times New Roman" w:hAnsi="Times New Roman"/>
          <w:sz w:val="22"/>
          <w:szCs w:val="22"/>
        </w:rPr>
        <w:t xml:space="preserve">[11] Benini, L., &amp; De Micheli, G. (2002). Networks on chips: A new SoC paradigm. Computer, 35(1), 70-78.</w:t>
      </w:r>
    </w:p>
    <w:p>
      <w:pPr>
        <w:spacing w:line="312"/>
      </w:pPr>
      <w:r>
        <w:rPr>
          <w:rFonts w:ascii="Times New Roman" w:cs="Times New Roman" w:eastAsia="Times New Roman" w:hAnsi="Times New Roman"/>
          <w:sz w:val="22"/>
          <w:szCs w:val="22"/>
        </w:rPr>
        <w:t xml:space="preserve">[12] Wentzlaff, D., et al. (2007). On-chip interconnection architecture of the TILE processor. IEEE Micro, 27(5), 15-31.</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Research Supplement: CRDT Intra-Chip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2026-03-13T06:00:59.196Z</dcterms:created>
  <dcterms:modified xsi:type="dcterms:W3CDTF">2026-03-13T06:00:59.196Z</dcterms:modified>
</cp:coreProperties>
</file>

<file path=docProps/custom.xml><?xml version="1.0" encoding="utf-8"?>
<Properties xmlns="http://schemas.openxmlformats.org/officeDocument/2006/custom-properties" xmlns:vt="http://schemas.openxmlformats.org/officeDocument/2006/docPropsVTypes"/>
</file>