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FPGA DEVELOPMENT GUIDE</w:t>
      </w:r>
    </w:p>
    <w:p>
      <w:pPr>
        <w:spacing w:after="100"/>
        <w:jc w:val="center"/>
      </w:pPr>
      <w:r>
        <w:rPr>
          <w:color w:val="2B2B2B"/>
          <w:sz w:val="28"/>
          <w:szCs w:val="28"/>
        </w:rPr>
        <w:t xml:space="preserve">Gate 0 Implementation Reference</w:t>
      </w:r>
    </w:p>
    <w:p>
      <w:pPr>
        <w:spacing w:after="400"/>
        <w:jc w:val="center"/>
      </w:pPr>
      <w:r>
        <w:rPr>
          <w:color w:val="9AA6B2"/>
          <w:sz w:val="22"/>
          <w:szCs w:val="22"/>
        </w:rPr>
        <w:t xml:space="preserve">AMD Kria KV260 Platform | March 2026</w:t>
      </w:r>
    </w:p>
    <w:p>
      <w:pPr>
        <w:pStyle w:val="Heading1"/>
      </w:pPr>
      <w:r>
        <w:t xml:space="preserve">1. Overview</w:t>
      </w:r>
    </w:p>
    <w:p>
      <w:pPr>
        <w:spacing w:after="200" w:line="360"/>
      </w:pPr>
      <w:r>
        <w:t xml:space="preserve">This guide provides the complete implementation reference for the Gate 0 FPGA demonstration on the AMD Kria KV260 platform. The target is to achieve 25+ tokens/s throughput at less than 5W power consumption using the BitNet b1.58-2B-4T model. The implementation is based on the validated TeLLMe v2 reference design (arXiv:2510.15926) which has demonstrated these specifications on the same hardware platform.</w:t>
      </w:r>
    </w:p>
    <w:p>
      <w:pPr>
        <w:pStyle w:val="Heading1"/>
      </w:pPr>
      <w:r>
        <w:t xml:space="preserve">2. Hardware Setup</w:t>
      </w:r>
    </w:p>
    <w:p>
      <w:pPr>
        <w:pStyle w:val="Heading2"/>
      </w:pPr>
      <w:r>
        <w:t xml:space="preserve">2.1 Required Equipment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500"/>
        <w:gridCol w:w="2500"/>
        <w:gridCol w:w="3360"/>
      </w:tblGrid>
      <w:tr>
        <w:trPr>
          <w:tblHeader/>
        </w:trPr>
        <w:tc>
          <w:tcPr>
            <w:tcBorders>
              <w:top w:val="single" w:color="9AA6B2" w:sz="1"/>
              <w:left w:val="single" w:color="9AA6B2" w:sz="1"/>
              <w:bottom w:val="single" w:color="9AA6B2" w:sz="1"/>
              <w:right w:val="single" w:color="9AA6B2" w:sz="1"/>
            </w:tcBorders>
            <w:shd w:fill="E2E8F0" w:val="clear"/>
          </w:tcPr>
          <w:p>
            <w:pPr>
              <w:jc w:val="center"/>
            </w:pPr>
            <w:r>
              <w:rPr>
                <w:b/>
                <w:bCs/>
              </w:rPr>
              <w:t xml:space="preserve">Item</w:t>
            </w:r>
          </w:p>
        </w:tc>
        <w:tc>
          <w:tcPr>
            <w:tcBorders>
              <w:top w:val="single" w:color="9AA6B2" w:sz="1"/>
              <w:left w:val="single" w:color="9AA6B2" w:sz="1"/>
              <w:bottom w:val="single" w:color="9AA6B2" w:sz="1"/>
              <w:right w:val="single" w:color="9AA6B2" w:sz="1"/>
            </w:tcBorders>
            <w:shd w:fill="E2E8F0" w:val="clear"/>
          </w:tcPr>
          <w:p>
            <w:pPr>
              <w:jc w:val="center"/>
            </w:pPr>
            <w:r>
              <w:rPr>
                <w:b/>
                <w:bCs/>
              </w:rPr>
              <w:t xml:space="preserve">Quantity</w:t>
            </w:r>
          </w:p>
        </w:tc>
        <w:tc>
          <w:tcPr>
            <w:tcBorders>
              <w:top w:val="single" w:color="9AA6B2" w:sz="1"/>
              <w:left w:val="single" w:color="9AA6B2" w:sz="1"/>
              <w:bottom w:val="single" w:color="9AA6B2" w:sz="1"/>
              <w:right w:val="single" w:color="9AA6B2" w:sz="1"/>
            </w:tcBorders>
            <w:shd w:fill="E2E8F0" w:val="clear"/>
          </w:tcPr>
          <w:p>
            <w:pPr>
              <w:jc w:val="center"/>
            </w:pPr>
            <w:r>
              <w:rPr>
                <w:b/>
                <w:bCs/>
              </w:rPr>
              <w:t xml:space="preserve">Est. Cost</w:t>
            </w:r>
          </w:p>
        </w:tc>
      </w:tr>
      <w:tr>
        <w:tc>
          <w:tcPr>
            <w:tcBorders>
              <w:top w:val="single" w:color="9AA6B2" w:sz="1"/>
              <w:left w:val="single" w:color="9AA6B2" w:sz="1"/>
              <w:bottom w:val="single" w:color="9AA6B2" w:sz="1"/>
              <w:right w:val="single" w:color="9AA6B2" w:sz="1"/>
            </w:tcBorders>
          </w:tcPr>
          <w:p>
            <w:r>
              <w:t xml:space="preserve">AMD Kria KV260 Starter Kit</w:t>
            </w:r>
          </w:p>
        </w:tc>
        <w:tc>
          <w:tcPr>
            <w:tcBorders>
              <w:top w:val="single" w:color="9AA6B2" w:sz="1"/>
              <w:left w:val="single" w:color="9AA6B2" w:sz="1"/>
              <w:bottom w:val="single" w:color="9AA6B2" w:sz="1"/>
              <w:right w:val="single" w:color="9AA6B2" w:sz="1"/>
            </w:tcBorders>
          </w:tcPr>
          <w:p>
            <w:pPr>
              <w:jc w:val="center"/>
            </w:pPr>
            <w:r>
              <w:t xml:space="preserve">3</w:t>
            </w:r>
          </w:p>
        </w:tc>
        <w:tc>
          <w:tcPr>
            <w:tcBorders>
              <w:top w:val="single" w:color="9AA6B2" w:sz="1"/>
              <w:left w:val="single" w:color="9AA6B2" w:sz="1"/>
              <w:bottom w:val="single" w:color="9AA6B2" w:sz="1"/>
              <w:right w:val="single" w:color="9AA6B2" w:sz="1"/>
            </w:tcBorders>
          </w:tcPr>
          <w:p>
            <w:pPr>
              <w:jc w:val="center"/>
            </w:pPr>
            <w:r>
              <w:t xml:space="preserve">$300 each = $900</w:t>
            </w:r>
          </w:p>
        </w:tc>
      </w:tr>
      <w:tr>
        <w:tc>
          <w:tcPr>
            <w:tcBorders>
              <w:top w:val="single" w:color="9AA6B2" w:sz="1"/>
              <w:left w:val="single" w:color="9AA6B2" w:sz="1"/>
              <w:bottom w:val="single" w:color="9AA6B2" w:sz="1"/>
              <w:right w:val="single" w:color="9AA6B2" w:sz="1"/>
            </w:tcBorders>
          </w:tcPr>
          <w:p>
            <w:r>
              <w:t xml:space="preserve">USB-C Power Supply (5V/4A)</w:t>
            </w:r>
          </w:p>
        </w:tc>
        <w:tc>
          <w:tcPr>
            <w:tcBorders>
              <w:top w:val="single" w:color="9AA6B2" w:sz="1"/>
              <w:left w:val="single" w:color="9AA6B2" w:sz="1"/>
              <w:bottom w:val="single" w:color="9AA6B2" w:sz="1"/>
              <w:right w:val="single" w:color="9AA6B2" w:sz="1"/>
            </w:tcBorders>
          </w:tcPr>
          <w:p>
            <w:pPr>
              <w:jc w:val="center"/>
            </w:pPr>
            <w:r>
              <w:t xml:space="preserve">3</w:t>
            </w:r>
          </w:p>
        </w:tc>
        <w:tc>
          <w:tcPr>
            <w:tcBorders>
              <w:top w:val="single" w:color="9AA6B2" w:sz="1"/>
              <w:left w:val="single" w:color="9AA6B2" w:sz="1"/>
              <w:bottom w:val="single" w:color="9AA6B2" w:sz="1"/>
              <w:right w:val="single" w:color="9AA6B2" w:sz="1"/>
            </w:tcBorders>
          </w:tcPr>
          <w:p>
            <w:pPr>
              <w:jc w:val="center"/>
            </w:pPr>
            <w:r>
              <w:t xml:space="preserve">$20 each = $60</w:t>
            </w:r>
          </w:p>
        </w:tc>
      </w:tr>
      <w:tr>
        <w:tc>
          <w:tcPr>
            <w:tcBorders>
              <w:top w:val="single" w:color="9AA6B2" w:sz="1"/>
              <w:left w:val="single" w:color="9AA6B2" w:sz="1"/>
              <w:bottom w:val="single" w:color="9AA6B2" w:sz="1"/>
              <w:right w:val="single" w:color="9AA6B2" w:sz="1"/>
            </w:tcBorders>
          </w:tcPr>
          <w:p>
            <w:r>
              <w:t xml:space="preserve">microSD Cards (64GB)</w:t>
            </w:r>
          </w:p>
        </w:tc>
        <w:tc>
          <w:tcPr>
            <w:tcBorders>
              <w:top w:val="single" w:color="9AA6B2" w:sz="1"/>
              <w:left w:val="single" w:color="9AA6B2" w:sz="1"/>
              <w:bottom w:val="single" w:color="9AA6B2" w:sz="1"/>
              <w:right w:val="single" w:color="9AA6B2" w:sz="1"/>
            </w:tcBorders>
          </w:tcPr>
          <w:p>
            <w:pPr>
              <w:jc w:val="center"/>
            </w:pPr>
            <w:r>
              <w:t xml:space="preserve">3</w:t>
            </w:r>
          </w:p>
        </w:tc>
        <w:tc>
          <w:tcPr>
            <w:tcBorders>
              <w:top w:val="single" w:color="9AA6B2" w:sz="1"/>
              <w:left w:val="single" w:color="9AA6B2" w:sz="1"/>
              <w:bottom w:val="single" w:color="9AA6B2" w:sz="1"/>
              <w:right w:val="single" w:color="9AA6B2" w:sz="1"/>
            </w:tcBorders>
          </w:tcPr>
          <w:p>
            <w:pPr>
              <w:jc w:val="center"/>
            </w:pPr>
            <w:r>
              <w:t xml:space="preserve">$15 each = $45</w:t>
            </w:r>
          </w:p>
        </w:tc>
      </w:tr>
      <w:tr>
        <w:tc>
          <w:tcPr>
            <w:tcBorders>
              <w:top w:val="single" w:color="9AA6B2" w:sz="1"/>
              <w:left w:val="single" w:color="9AA6B2" w:sz="1"/>
              <w:bottom w:val="single" w:color="9AA6B2" w:sz="1"/>
              <w:right w:val="single" w:color="9AA6B2" w:sz="1"/>
            </w:tcBorders>
          </w:tcPr>
          <w:p>
            <w:r>
              <w:t xml:space="preserve">USB-UART Cable</w:t>
            </w:r>
          </w:p>
        </w:tc>
        <w:tc>
          <w:tcPr>
            <w:tcBorders>
              <w:top w:val="single" w:color="9AA6B2" w:sz="1"/>
              <w:left w:val="single" w:color="9AA6B2" w:sz="1"/>
              <w:bottom w:val="single" w:color="9AA6B2" w:sz="1"/>
              <w:right w:val="single" w:color="9AA6B2" w:sz="1"/>
            </w:tcBorders>
          </w:tcPr>
          <w:p>
            <w:pPr>
              <w:jc w:val="center"/>
            </w:pPr>
            <w:r>
              <w:t xml:space="preserve">3</w:t>
            </w:r>
          </w:p>
        </w:tc>
        <w:tc>
          <w:tcPr>
            <w:tcBorders>
              <w:top w:val="single" w:color="9AA6B2" w:sz="1"/>
              <w:left w:val="single" w:color="9AA6B2" w:sz="1"/>
              <w:bottom w:val="single" w:color="9AA6B2" w:sz="1"/>
              <w:right w:val="single" w:color="9AA6B2" w:sz="1"/>
            </w:tcBorders>
          </w:tcPr>
          <w:p>
            <w:pPr>
              <w:jc w:val="center"/>
            </w:pPr>
            <w:r>
              <w:t xml:space="preserve">$15 each = $45</w:t>
            </w:r>
          </w:p>
        </w:tc>
      </w:tr>
      <w:tr>
        <w:tc>
          <w:tcPr>
            <w:tcBorders>
              <w:top w:val="single" w:color="9AA6B2" w:sz="1"/>
              <w:left w:val="single" w:color="9AA6B2" w:sz="1"/>
              <w:bottom w:val="single" w:color="9AA6B2" w:sz="1"/>
              <w:right w:val="single" w:color="9AA6B2" w:sz="1"/>
            </w:tcBorders>
          </w:tcPr>
          <w:p>
            <w:r>
              <w:t xml:space="preserve">Power Meter (USB)</w:t>
            </w:r>
          </w:p>
        </w:tc>
        <w:tc>
          <w:tcPr>
            <w:tcBorders>
              <w:top w:val="single" w:color="9AA6B2" w:sz="1"/>
              <w:left w:val="single" w:color="9AA6B2" w:sz="1"/>
              <w:bottom w:val="single" w:color="9AA6B2" w:sz="1"/>
              <w:right w:val="single" w:color="9AA6B2" w:sz="1"/>
            </w:tcBorders>
          </w:tcPr>
          <w:p>
            <w:pPr>
              <w:jc w:val="center"/>
            </w:pPr>
            <w:r>
              <w:t xml:space="preserve">1</w:t>
            </w:r>
          </w:p>
        </w:tc>
        <w:tc>
          <w:tcPr>
            <w:tcBorders>
              <w:top w:val="single" w:color="9AA6B2" w:sz="1"/>
              <w:left w:val="single" w:color="9AA6B2" w:sz="1"/>
              <w:bottom w:val="single" w:color="9AA6B2" w:sz="1"/>
              <w:right w:val="single" w:color="9AA6B2" w:sz="1"/>
            </w:tcBorders>
          </w:tcPr>
          <w:p>
            <w:pPr>
              <w:jc w:val="center"/>
            </w:pPr>
            <w:r>
              <w:t xml:space="preserve">$50</w:t>
            </w:r>
          </w:p>
        </w:tc>
      </w:tr>
      <w:tr>
        <w:tc>
          <w:tcPr>
            <w:tcBorders>
              <w:top w:val="single" w:color="9AA6B2" w:sz="1"/>
              <w:left w:val="single" w:color="9AA6B2" w:sz="1"/>
              <w:bottom w:val="single" w:color="9AA6B2" w:sz="1"/>
              <w:right w:val="single" w:color="9AA6B2" w:sz="1"/>
            </w:tcBorders>
            <w:shd w:fill="E2E8F0" w:val="clear"/>
          </w:tcPr>
          <w:p>
            <w:r>
              <w:rPr>
                <w:b/>
                <w:bCs/>
              </w:rPr>
              <w:t xml:space="preserve">Total Hardware Budget</w:t>
            </w:r>
          </w:p>
        </w:tc>
        <w:tc>
          <w:tcPr>
            <w:tcBorders>
              <w:top w:val="single" w:color="9AA6B2" w:sz="1"/>
              <w:left w:val="single" w:color="9AA6B2" w:sz="1"/>
              <w:bottom w:val="single" w:color="9AA6B2" w:sz="1"/>
              <w:right w:val="single" w:color="9AA6B2" w:sz="1"/>
            </w:tcBorders>
            <w:shd w:fill="E2E8F0" w:val="clear"/>
          </w:tcPr>
          <w:p>
            <w:pPr>
              <w:jc w:val="center"/>
            </w:pPr>
            <w:r>
              <w:rPr>
                <w:b/>
                <w:bCs/>
              </w:rPr>
              <w:t xml:space="preserve">-</w:t>
            </w:r>
          </w:p>
        </w:tc>
        <w:tc>
          <w:tcPr>
            <w:tcBorders>
              <w:top w:val="single" w:color="9AA6B2" w:sz="1"/>
              <w:left w:val="single" w:color="9AA6B2" w:sz="1"/>
              <w:bottom w:val="single" w:color="9AA6B2" w:sz="1"/>
              <w:right w:val="single" w:color="9AA6B2" w:sz="1"/>
            </w:tcBorders>
            <w:shd w:fill="E2E8F0" w:val="clear"/>
          </w:tcPr>
          <w:p>
            <w:pPr>
              <w:jc w:val="center"/>
            </w:pPr>
            <w:r>
              <w:rPr>
                <w:b/>
                <w:bCs/>
              </w:rPr>
              <w:t xml:space="preserve">$1,100</w:t>
            </w:r>
          </w:p>
        </w:tc>
      </w:tr>
    </w:tbl>
    <w:p>
      <w:pPr>
        <w:pStyle w:val="Heading2"/>
      </w:pPr>
      <w:r>
        <w:t xml:space="preserve">2.2 Platform Specifications</w:t>
      </w:r>
    </w:p>
    <w:p>
      <w:pPr>
        <w:spacing w:after="200" w:line="360"/>
      </w:pPr>
      <w:r>
        <w:t xml:space="preserve">The AMD Kria KV260 features a Zynq UltraScale+ XCK26 MPSoC with dual-core ARM Cortex-A53 processor, dual-core ARM Cortex-R5 real-time processor, and programmable logic with 246K system logic cells, 368 DSP slices, and 14.4Mb block RAM. The onboard 4GB LPDDR4 memory provides sufficient capacity for KV cache and activation storage during inference operations.</w:t>
      </w:r>
    </w:p>
    <w:p>
      <w:pPr>
        <w:pStyle w:val="Heading1"/>
      </w:pPr>
      <w:r>
        <w:t xml:space="preserve">3. Development Environment</w:t>
      </w:r>
    </w:p>
    <w:p>
      <w:pPr>
        <w:pStyle w:val="Heading2"/>
      </w:pPr>
      <w:r>
        <w:t xml:space="preserve">3.1 Software Requirements</w:t>
      </w:r>
    </w:p>
    <w:p>
      <w:pPr>
        <w:pStyle w:val="ListParagraph"/>
        <w:numPr>
          <w:ilvl w:val="0"/>
          <w:numId w:val="2"/>
        </w:numPr>
      </w:pPr>
      <w:r>
        <w:t xml:space="preserve">Vitis Unified IDE 2023.2 or later (free WebPACK license)</w:t>
      </w:r>
    </w:p>
    <w:p>
      <w:pPr>
        <w:pStyle w:val="ListParagraph"/>
        <w:numPr>
          <w:ilvl w:val="0"/>
          <w:numId w:val="2"/>
        </w:numPr>
      </w:pPr>
      <w:r>
        <w:t xml:space="preserve">Vivado Design Suite 2023.2 or later</w:t>
      </w:r>
    </w:p>
    <w:p>
      <w:pPr>
        <w:pStyle w:val="ListParagraph"/>
        <w:numPr>
          <w:ilvl w:val="0"/>
          <w:numId w:val="2"/>
        </w:numPr>
      </w:pPr>
      <w:r>
        <w:t xml:space="preserve">PYNQ framework v3.0.1 for KV260</w:t>
      </w:r>
    </w:p>
    <w:p>
      <w:pPr>
        <w:pStyle w:val="ListParagraph"/>
        <w:numPr>
          <w:ilvl w:val="0"/>
          <w:numId w:val="2"/>
        </w:numPr>
      </w:pPr>
      <w:r>
        <w:t xml:space="preserve">Python 3.10+ with NumPy, PyTorch, transformers</w:t>
      </w:r>
    </w:p>
    <w:p>
      <w:pPr>
        <w:pStyle w:val="ListParagraph"/>
        <w:numPr>
          <w:ilvl w:val="0"/>
          <w:numId w:val="2"/>
        </w:numPr>
      </w:pPr>
      <w:r>
        <w:t xml:space="preserve">Git for version control</w:t>
      </w:r>
    </w:p>
    <w:p>
      <w:pPr>
        <w:pStyle w:val="ListParagraph"/>
        <w:numPr>
          <w:ilvl w:val="0"/>
          <w:numId w:val="2"/>
        </w:numPr>
      </w:pPr>
      <w:r>
        <w:t xml:space="preserve">bitnet.cpp repository (Microsoft)</w:t>
      </w:r>
    </w:p>
    <w:p>
      <w:pPr>
        <w:pStyle w:val="Heading2"/>
      </w:pPr>
      <w:r>
        <w:t xml:space="preserve">3.2 Environment Setup Steps</w:t>
      </w:r>
    </w:p>
    <w:p>
      <w:pPr>
        <w:pStyle w:val="ListParagraph"/>
        <w:numPr>
          <w:ilvl w:val="0"/>
          <w:numId w:val="3"/>
        </w:numPr>
      </w:pPr>
      <w:r>
        <w:t xml:space="preserve">Download and install Vitis/Vivado from AMD Xilinx website (requires free account)</w:t>
      </w:r>
    </w:p>
    <w:p>
      <w:pPr>
        <w:pStyle w:val="ListParagraph"/>
        <w:numPr>
          <w:ilvl w:val="0"/>
          <w:numId w:val="3"/>
        </w:numPr>
      </w:pPr>
      <w:r>
        <w:t xml:space="preserve">Flash KV260 with PYNQ 3.0.1 image from official repository</w:t>
      </w:r>
    </w:p>
    <w:p>
      <w:pPr>
        <w:pStyle w:val="ListParagraph"/>
        <w:numPr>
          <w:ilvl w:val="0"/>
          <w:numId w:val="3"/>
        </w:numPr>
      </w:pPr>
      <w:r>
        <w:t xml:space="preserve">Clone bitnet.cpp: git clone https://github.com/microsoft/BitNet.git</w:t>
      </w:r>
    </w:p>
    <w:p>
      <w:pPr>
        <w:pStyle w:val="ListParagraph"/>
        <w:numPr>
          <w:ilvl w:val="0"/>
          <w:numId w:val="3"/>
        </w:numPr>
      </w:pPr>
      <w:r>
        <w:t xml:space="preserve">Download BitNet b1.58-2B-4T weights from HuggingFace</w:t>
      </w:r>
    </w:p>
    <w:p>
      <w:pPr>
        <w:pStyle w:val="ListParagraph"/>
        <w:numPr>
          <w:ilvl w:val="0"/>
          <w:numId w:val="3"/>
        </w:numPr>
      </w:pPr>
      <w:r>
        <w:t xml:space="preserve">Build bitnet.cpp for ARM: cmake -DLLAMA_CUBLAS=OFF &amp;&amp; make</w:t>
      </w:r>
    </w:p>
    <w:p>
      <w:pPr>
        <w:pStyle w:val="Heading1"/>
      </w:pPr>
      <w:r>
        <w:t xml:space="preserve">4. Implementation Architecture</w:t>
      </w:r>
    </w:p>
    <w:p>
      <w:pPr>
        <w:pStyle w:val="Heading2"/>
      </w:pPr>
      <w:r>
        <w:t xml:space="preserve">4.1 TeLLMe Reference Architecture</w:t>
      </w:r>
    </w:p>
    <w:p>
      <w:pPr>
        <w:spacing w:after="200" w:line="360"/>
      </w:pPr>
      <w:r>
        <w:t xml:space="preserve">The implementation follows the TeLLMe v2 architecture which achieves 25 tok/s at 4.8W on the KV260 platform. The core innovation is the Table-Lookup Matmul (TLMM) engine that precomputes all possible ternary multiplication results and stores them in FPGA LUTs as lookup tables. This approach eliminates the need for hardware multipliers, significantly reducing resource utilization and power consumption.</w:t>
      </w:r>
    </w:p>
    <w:p>
      <w:pPr>
        <w:pStyle w:val="Heading2"/>
      </w:pPr>
      <w:r>
        <w:t xml:space="preserve">4.2 Resource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500"/>
        <w:gridCol w:w="3000"/>
        <w:gridCol w:w="2860"/>
      </w:tblGrid>
      <w:tr>
        <w:trPr>
          <w:tblHeader/>
        </w:trPr>
        <w:tc>
          <w:tcPr>
            <w:tcBorders>
              <w:top w:val="single" w:color="9AA6B2" w:sz="1"/>
              <w:left w:val="single" w:color="9AA6B2" w:sz="1"/>
              <w:bottom w:val="single" w:color="9AA6B2" w:sz="1"/>
              <w:right w:val="single" w:color="9AA6B2" w:sz="1"/>
            </w:tcBorders>
            <w:shd w:fill="E2E8F0" w:val="clear"/>
          </w:tcPr>
          <w:p>
            <w:pPr>
              <w:jc w:val="center"/>
            </w:pPr>
            <w:r>
              <w:rPr>
                <w:b/>
                <w:bCs/>
              </w:rPr>
              <w:t xml:space="preserve">Resource</w:t>
            </w:r>
          </w:p>
        </w:tc>
        <w:tc>
          <w:tcPr>
            <w:tcBorders>
              <w:top w:val="single" w:color="9AA6B2" w:sz="1"/>
              <w:left w:val="single" w:color="9AA6B2" w:sz="1"/>
              <w:bottom w:val="single" w:color="9AA6B2" w:sz="1"/>
              <w:right w:val="single" w:color="9AA6B2" w:sz="1"/>
            </w:tcBorders>
            <w:shd w:fill="E2E8F0" w:val="clear"/>
          </w:tcPr>
          <w:p>
            <w:pPr>
              <w:jc w:val="center"/>
            </w:pPr>
            <w:r>
              <w:rPr>
                <w:b/>
                <w:bCs/>
              </w:rPr>
              <w:t xml:space="preserve">Utilization</w:t>
            </w:r>
          </w:p>
        </w:tc>
        <w:tc>
          <w:tcPr>
            <w:tcBorders>
              <w:top w:val="single" w:color="9AA6B2" w:sz="1"/>
              <w:left w:val="single" w:color="9AA6B2" w:sz="1"/>
              <w:bottom w:val="single" w:color="9AA6B2" w:sz="1"/>
              <w:right w:val="single" w:color="9AA6B2" w:sz="1"/>
            </w:tcBorders>
            <w:shd w:fill="E2E8F0" w:val="clear"/>
          </w:tcPr>
          <w:p>
            <w:pPr>
              <w:jc w:val="center"/>
            </w:pPr>
            <w:r>
              <w:rPr>
                <w:b/>
                <w:bCs/>
              </w:rPr>
              <w:t xml:space="preserve">Available</w:t>
            </w:r>
          </w:p>
        </w:tc>
      </w:tr>
      <w:tr>
        <w:tc>
          <w:tcPr>
            <w:tcBorders>
              <w:top w:val="single" w:color="9AA6B2" w:sz="1"/>
              <w:left w:val="single" w:color="9AA6B2" w:sz="1"/>
              <w:bottom w:val="single" w:color="9AA6B2" w:sz="1"/>
              <w:right w:val="single" w:color="9AA6B2" w:sz="1"/>
            </w:tcBorders>
          </w:tcPr>
          <w:p>
            <w:r>
              <w:t xml:space="preserve">LUTs</w:t>
            </w:r>
          </w:p>
        </w:tc>
        <w:tc>
          <w:tcPr>
            <w:tcBorders>
              <w:top w:val="single" w:color="9AA6B2" w:sz="1"/>
              <w:left w:val="single" w:color="9AA6B2" w:sz="1"/>
              <w:bottom w:val="single" w:color="9AA6B2" w:sz="1"/>
              <w:right w:val="single" w:color="9AA6B2" w:sz="1"/>
            </w:tcBorders>
          </w:tcPr>
          <w:p>
            <w:pPr>
              <w:jc w:val="center"/>
            </w:pPr>
            <w:r>
              <w:t xml:space="preserve">98K (40%)</w:t>
            </w:r>
          </w:p>
        </w:tc>
        <w:tc>
          <w:tcPr>
            <w:tcBorders>
              <w:top w:val="single" w:color="9AA6B2" w:sz="1"/>
              <w:left w:val="single" w:color="9AA6B2" w:sz="1"/>
              <w:bottom w:val="single" w:color="9AA6B2" w:sz="1"/>
              <w:right w:val="single" w:color="9AA6B2" w:sz="1"/>
            </w:tcBorders>
          </w:tcPr>
          <w:p>
            <w:pPr>
              <w:jc w:val="center"/>
            </w:pPr>
            <w:r>
              <w:t xml:space="preserve">246K</w:t>
            </w:r>
          </w:p>
        </w:tc>
      </w:tr>
      <w:tr>
        <w:tc>
          <w:tcPr>
            <w:tcBorders>
              <w:top w:val="single" w:color="9AA6B2" w:sz="1"/>
              <w:left w:val="single" w:color="9AA6B2" w:sz="1"/>
              <w:bottom w:val="single" w:color="9AA6B2" w:sz="1"/>
              <w:right w:val="single" w:color="9AA6B2" w:sz="1"/>
            </w:tcBorders>
          </w:tcPr>
          <w:p>
            <w:r>
              <w:t xml:space="preserve">DSP Slices</w:t>
            </w:r>
          </w:p>
        </w:tc>
        <w:tc>
          <w:tcPr>
            <w:tcBorders>
              <w:top w:val="single" w:color="9AA6B2" w:sz="1"/>
              <w:left w:val="single" w:color="9AA6B2" w:sz="1"/>
              <w:bottom w:val="single" w:color="9AA6B2" w:sz="1"/>
              <w:right w:val="single" w:color="9AA6B2" w:sz="1"/>
            </w:tcBorders>
          </w:tcPr>
          <w:p>
            <w:pPr>
              <w:jc w:val="center"/>
            </w:pPr>
            <w:r>
              <w:t xml:space="preserve">610 (166%)</w:t>
            </w:r>
          </w:p>
        </w:tc>
        <w:tc>
          <w:tcPr>
            <w:tcBorders>
              <w:top w:val="single" w:color="9AA6B2" w:sz="1"/>
              <w:left w:val="single" w:color="9AA6B2" w:sz="1"/>
              <w:bottom w:val="single" w:color="9AA6B2" w:sz="1"/>
              <w:right w:val="single" w:color="9AA6B2" w:sz="1"/>
            </w:tcBorders>
          </w:tcPr>
          <w:p>
            <w:pPr>
              <w:jc w:val="center"/>
            </w:pPr>
            <w:r>
              <w:t xml:space="preserve">368</w:t>
            </w:r>
          </w:p>
        </w:tc>
      </w:tr>
      <w:tr>
        <w:tc>
          <w:tcPr>
            <w:tcBorders>
              <w:top w:val="single" w:color="9AA6B2" w:sz="1"/>
              <w:left w:val="single" w:color="9AA6B2" w:sz="1"/>
              <w:bottom w:val="single" w:color="9AA6B2" w:sz="1"/>
              <w:right w:val="single" w:color="9AA6B2" w:sz="1"/>
            </w:tcBorders>
          </w:tcPr>
          <w:p>
            <w:r>
              <w:t xml:space="preserve">Block RAM</w:t>
            </w:r>
          </w:p>
        </w:tc>
        <w:tc>
          <w:tcPr>
            <w:tcBorders>
              <w:top w:val="single" w:color="9AA6B2" w:sz="1"/>
              <w:left w:val="single" w:color="9AA6B2" w:sz="1"/>
              <w:bottom w:val="single" w:color="9AA6B2" w:sz="1"/>
              <w:right w:val="single" w:color="9AA6B2" w:sz="1"/>
            </w:tcBorders>
          </w:tcPr>
          <w:p>
            <w:pPr>
              <w:jc w:val="center"/>
            </w:pPr>
            <w:r>
              <w:t xml:space="preserve">60 URAM</w:t>
            </w:r>
          </w:p>
        </w:tc>
        <w:tc>
          <w:tcPr>
            <w:tcBorders>
              <w:top w:val="single" w:color="9AA6B2" w:sz="1"/>
              <w:left w:val="single" w:color="9AA6B2" w:sz="1"/>
              <w:bottom w:val="single" w:color="9AA6B2" w:sz="1"/>
              <w:right w:val="single" w:color="9AA6B2" w:sz="1"/>
            </w:tcBorders>
          </w:tcPr>
          <w:p>
            <w:pPr>
              <w:jc w:val="center"/>
            </w:pPr>
            <w:r>
              <w:t xml:space="preserve">14.4Mb</w:t>
            </w:r>
          </w:p>
        </w:tc>
      </w:tr>
      <w:tr>
        <w:tc>
          <w:tcPr>
            <w:tcBorders>
              <w:top w:val="single" w:color="9AA6B2" w:sz="1"/>
              <w:left w:val="single" w:color="9AA6B2" w:sz="1"/>
              <w:bottom w:val="single" w:color="9AA6B2" w:sz="1"/>
              <w:right w:val="single" w:color="9AA6B2" w:sz="1"/>
            </w:tcBorders>
          </w:tcPr>
          <w:p>
            <w:r>
              <w:t xml:space="preserve">Clock</w:t>
            </w:r>
          </w:p>
        </w:tc>
        <w:tc>
          <w:tcPr>
            <w:tcBorders>
              <w:top w:val="single" w:color="9AA6B2" w:sz="1"/>
              <w:left w:val="single" w:color="9AA6B2" w:sz="1"/>
              <w:bottom w:val="single" w:color="9AA6B2" w:sz="1"/>
              <w:right w:val="single" w:color="9AA6B2" w:sz="1"/>
            </w:tcBorders>
          </w:tcPr>
          <w:p>
            <w:pPr>
              <w:jc w:val="center"/>
            </w:pPr>
            <w:r>
              <w:t xml:space="preserve">250 MHz</w:t>
            </w:r>
          </w:p>
        </w:tc>
        <w:tc>
          <w:tcPr>
            <w:tcBorders>
              <w:top w:val="single" w:color="9AA6B2" w:sz="1"/>
              <w:left w:val="single" w:color="9AA6B2" w:sz="1"/>
              <w:bottom w:val="single" w:color="9AA6B2" w:sz="1"/>
              <w:right w:val="single" w:color="9AA6B2" w:sz="1"/>
            </w:tcBorders>
          </w:tcPr>
          <w:p>
            <w:pPr>
              <w:jc w:val="center"/>
            </w:pPr>
            <w:r>
              <w:t xml:space="preserve">Target</w:t>
            </w:r>
          </w:p>
        </w:tc>
      </w:tr>
    </w:tbl>
    <w:p>
      <w:pPr>
        <w:spacing w:after="200" w:line="360"/>
      </w:pPr>
      <w:r>
        <w:rPr>
          <w:b/>
          <w:bCs/>
        </w:rPr>
        <w:t xml:space="preserve">Note: </w:t>
      </w:r>
      <w:r>
        <w:t xml:space="preserve">DSP slice utilization exceeds available resources on the KV260 for the full 2B model. The TeLLMe implementation uses LUT-based multiplication for overflow, accepting slight performance reduction.</w:t>
      </w:r>
    </w:p>
    <w:p>
      <w:pPr>
        <w:pStyle w:val="Heading1"/>
      </w:pPr>
      <w:r>
        <w:t xml:space="preserve">5. Performance Targets and Validation</w:t>
      </w:r>
    </w:p>
    <w:p>
      <w:pPr>
        <w:pStyle w:val="Heading2"/>
      </w:pPr>
      <w:r>
        <w:t xml:space="preserve">5.1 Gate 0 Success Criteria</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500"/>
        <w:gridCol w:w="3000"/>
        <w:gridCol w:w="2860"/>
      </w:tblGrid>
      <w:tr>
        <w:trPr>
          <w:tblHeader/>
        </w:trPr>
        <w:tc>
          <w:tcPr>
            <w:tcBorders>
              <w:top w:val="single" w:color="9AA6B2" w:sz="1"/>
              <w:left w:val="single" w:color="9AA6B2" w:sz="1"/>
              <w:bottom w:val="single" w:color="9AA6B2" w:sz="1"/>
              <w:right w:val="single" w:color="9AA6B2" w:sz="1"/>
            </w:tcBorders>
            <w:shd w:fill="E2E8F0" w:val="clear"/>
          </w:tcPr>
          <w:p>
            <w:pPr>
              <w:jc w:val="center"/>
            </w:pPr>
            <w:r>
              <w:rPr>
                <w:b/>
                <w:bCs/>
              </w:rPr>
              <w:t xml:space="preserve">Metric</w:t>
            </w:r>
          </w:p>
        </w:tc>
        <w:tc>
          <w:tcPr>
            <w:tcBorders>
              <w:top w:val="single" w:color="9AA6B2" w:sz="1"/>
              <w:left w:val="single" w:color="9AA6B2" w:sz="1"/>
              <w:bottom w:val="single" w:color="9AA6B2" w:sz="1"/>
              <w:right w:val="single" w:color="9AA6B2" w:sz="1"/>
            </w:tcBorders>
            <w:shd w:fill="E2E8F0" w:val="clear"/>
          </w:tcPr>
          <w:p>
            <w:pPr>
              <w:jc w:val="center"/>
            </w:pPr>
            <w:r>
              <w:rPr>
                <w:b/>
                <w:bCs/>
              </w:rPr>
              <w:t xml:space="preserve">Target</w:t>
            </w:r>
          </w:p>
        </w:tc>
        <w:tc>
          <w:tcPr>
            <w:tcBorders>
              <w:top w:val="single" w:color="9AA6B2" w:sz="1"/>
              <w:left w:val="single" w:color="9AA6B2" w:sz="1"/>
              <w:bottom w:val="single" w:color="9AA6B2" w:sz="1"/>
              <w:right w:val="single" w:color="9AA6B2" w:sz="1"/>
            </w:tcBorders>
            <w:shd w:fill="E2E8F0" w:val="clear"/>
          </w:tcPr>
          <w:p>
            <w:pPr>
              <w:jc w:val="center"/>
            </w:pPr>
            <w:r>
              <w:rPr>
                <w:b/>
                <w:bCs/>
              </w:rPr>
              <w:t xml:space="preserve">Validation Method</w:t>
            </w:r>
          </w:p>
        </w:tc>
      </w:tr>
      <w:tr>
        <w:tc>
          <w:tcPr>
            <w:tcBorders>
              <w:top w:val="single" w:color="9AA6B2" w:sz="1"/>
              <w:left w:val="single" w:color="9AA6B2" w:sz="1"/>
              <w:bottom w:val="single" w:color="9AA6B2" w:sz="1"/>
              <w:right w:val="single" w:color="9AA6B2" w:sz="1"/>
            </w:tcBorders>
          </w:tcPr>
          <w:p>
            <w:r>
              <w:t xml:space="preserve">Decoding Throughput</w:t>
            </w:r>
          </w:p>
        </w:tc>
        <w:tc>
          <w:tcPr>
            <w:tcBorders>
              <w:top w:val="single" w:color="9AA6B2" w:sz="1"/>
              <w:left w:val="single" w:color="9AA6B2" w:sz="1"/>
              <w:bottom w:val="single" w:color="9AA6B2" w:sz="1"/>
              <w:right w:val="single" w:color="9AA6B2" w:sz="1"/>
            </w:tcBorders>
          </w:tcPr>
          <w:p>
            <w:pPr>
              <w:jc w:val="center"/>
            </w:pPr>
            <w:r>
              <w:t xml:space="preserve">≥25 tok/s</w:t>
            </w:r>
          </w:p>
        </w:tc>
        <w:tc>
          <w:tcPr>
            <w:tcBorders>
              <w:top w:val="single" w:color="9AA6B2" w:sz="1"/>
              <w:left w:val="single" w:color="9AA6B2" w:sz="1"/>
              <w:bottom w:val="single" w:color="9AA6B2" w:sz="1"/>
              <w:right w:val="single" w:color="9AA6B2" w:sz="1"/>
            </w:tcBorders>
          </w:tcPr>
          <w:p>
            <w:r>
              <w:t xml:space="preserve">Benchmark script</w:t>
            </w:r>
          </w:p>
        </w:tc>
      </w:tr>
      <w:tr>
        <w:tc>
          <w:tcPr>
            <w:tcBorders>
              <w:top w:val="single" w:color="9AA6B2" w:sz="1"/>
              <w:left w:val="single" w:color="9AA6B2" w:sz="1"/>
              <w:bottom w:val="single" w:color="9AA6B2" w:sz="1"/>
              <w:right w:val="single" w:color="9AA6B2" w:sz="1"/>
            </w:tcBorders>
          </w:tcPr>
          <w:p>
            <w:r>
              <w:t xml:space="preserve">Power Consumption</w:t>
            </w:r>
          </w:p>
        </w:tc>
        <w:tc>
          <w:tcPr>
            <w:tcBorders>
              <w:top w:val="single" w:color="9AA6B2" w:sz="1"/>
              <w:left w:val="single" w:color="9AA6B2" w:sz="1"/>
              <w:bottom w:val="single" w:color="9AA6B2" w:sz="1"/>
              <w:right w:val="single" w:color="9AA6B2" w:sz="1"/>
            </w:tcBorders>
          </w:tcPr>
          <w:p>
            <w:pPr>
              <w:jc w:val="center"/>
            </w:pPr>
            <w:r>
              <w:t xml:space="preserve">≤5W</w:t>
            </w:r>
          </w:p>
        </w:tc>
        <w:tc>
          <w:tcPr>
            <w:tcBorders>
              <w:top w:val="single" w:color="9AA6B2" w:sz="1"/>
              <w:left w:val="single" w:color="9AA6B2" w:sz="1"/>
              <w:bottom w:val="single" w:color="9AA6B2" w:sz="1"/>
              <w:right w:val="single" w:color="9AA6B2" w:sz="1"/>
            </w:tcBorders>
          </w:tcPr>
          <w:p>
            <w:r>
              <w:t xml:space="preserve">USB power meter</w:t>
            </w:r>
          </w:p>
        </w:tc>
      </w:tr>
      <w:tr>
        <w:tc>
          <w:tcPr>
            <w:tcBorders>
              <w:top w:val="single" w:color="9AA6B2" w:sz="1"/>
              <w:left w:val="single" w:color="9AA6B2" w:sz="1"/>
              <w:bottom w:val="single" w:color="9AA6B2" w:sz="1"/>
              <w:right w:val="single" w:color="9AA6B2" w:sz="1"/>
            </w:tcBorders>
          </w:tcPr>
          <w:p>
            <w:r>
              <w:t xml:space="preserve">Model Accuracy</w:t>
            </w:r>
          </w:p>
        </w:tc>
        <w:tc>
          <w:tcPr>
            <w:tcBorders>
              <w:top w:val="single" w:color="9AA6B2" w:sz="1"/>
              <w:left w:val="single" w:color="9AA6B2" w:sz="1"/>
              <w:bottom w:val="single" w:color="9AA6B2" w:sz="1"/>
              <w:right w:val="single" w:color="9AA6B2" w:sz="1"/>
            </w:tcBorders>
          </w:tcPr>
          <w:p>
            <w:pPr>
              <w:jc w:val="center"/>
            </w:pPr>
            <w:r>
              <w:t xml:space="preserve">≤5% degradation</w:t>
            </w:r>
          </w:p>
        </w:tc>
        <w:tc>
          <w:tcPr>
            <w:tcBorders>
              <w:top w:val="single" w:color="9AA6B2" w:sz="1"/>
              <w:left w:val="single" w:color="9AA6B2" w:sz="1"/>
              <w:bottom w:val="single" w:color="9AA6B2" w:sz="1"/>
              <w:right w:val="single" w:color="9AA6B2" w:sz="1"/>
            </w:tcBorders>
          </w:tcPr>
          <w:p>
            <w:r>
              <w:t xml:space="preserve">MMLU benchmark</w:t>
            </w:r>
          </w:p>
        </w:tc>
      </w:tr>
      <w:tr>
        <w:tc>
          <w:tcPr>
            <w:tcBorders>
              <w:top w:val="single" w:color="9AA6B2" w:sz="1"/>
              <w:left w:val="single" w:color="9AA6B2" w:sz="1"/>
              <w:bottom w:val="single" w:color="9AA6B2" w:sz="1"/>
              <w:right w:val="single" w:color="9AA6B2" w:sz="1"/>
            </w:tcBorders>
          </w:tcPr>
          <w:p>
            <w:r>
              <w:t xml:space="preserve">Latency (first token)</w:t>
            </w:r>
          </w:p>
        </w:tc>
        <w:tc>
          <w:tcPr>
            <w:tcBorders>
              <w:top w:val="single" w:color="9AA6B2" w:sz="1"/>
              <w:left w:val="single" w:color="9AA6B2" w:sz="1"/>
              <w:bottom w:val="single" w:color="9AA6B2" w:sz="1"/>
              <w:right w:val="single" w:color="9AA6B2" w:sz="1"/>
            </w:tcBorders>
          </w:tcPr>
          <w:p>
            <w:pPr>
              <w:jc w:val="center"/>
            </w:pPr>
            <w:r>
              <w:t xml:space="preserve">&lt;100ms</w:t>
            </w:r>
          </w:p>
        </w:tc>
        <w:tc>
          <w:tcPr>
            <w:tcBorders>
              <w:top w:val="single" w:color="9AA6B2" w:sz="1"/>
              <w:left w:val="single" w:color="9AA6B2" w:sz="1"/>
              <w:bottom w:val="single" w:color="9AA6B2" w:sz="1"/>
              <w:right w:val="single" w:color="9AA6B2" w:sz="1"/>
            </w:tcBorders>
          </w:tcPr>
          <w:p>
            <w:r>
              <w:t xml:space="preserve">Timing measurement</w:t>
            </w:r>
          </w:p>
        </w:tc>
      </w:tr>
    </w:tbl>
    <w:p>
      <w:pPr>
        <w:pStyle w:val="Heading1"/>
      </w:pPr>
      <w:r>
        <w:t xml:space="preserve">6. Development Timeline</w:t>
      </w:r>
    </w:p>
    <w:p>
      <w:pPr>
        <w:pStyle w:val="Heading2"/>
      </w:pPr>
      <w:r>
        <w:t xml:space="preserve">6.1 Week-by-Week Plan</w:t>
      </w:r>
    </w:p>
    <w:p>
      <w:pPr>
        <w:spacing w:after="100" w:line="360"/>
      </w:pPr>
      <w:r>
        <w:rPr>
          <w:b/>
          <w:bCs/>
        </w:rPr>
        <w:t xml:space="preserve">Week 5: </w:t>
      </w:r>
      <w:r>
        <w:t xml:space="preserve">Environment Setup and Model Preparation</w:t>
      </w:r>
    </w:p>
    <w:p>
      <w:pPr>
        <w:pStyle w:val="ListParagraph"/>
        <w:numPr>
          <w:ilvl w:val="0"/>
          <w:numId w:val="2"/>
        </w:numPr>
      </w:pPr>
      <w:r>
        <w:t xml:space="preserve">Unbox and configure KV260 boards</w:t>
      </w:r>
    </w:p>
    <w:p>
      <w:pPr>
        <w:pStyle w:val="ListParagraph"/>
        <w:numPr>
          <w:ilvl w:val="0"/>
          <w:numId w:val="2"/>
        </w:numPr>
      </w:pPr>
      <w:r>
        <w:t xml:space="preserve">Install Vitis/Vivado development environment</w:t>
      </w:r>
    </w:p>
    <w:p>
      <w:pPr>
        <w:pStyle w:val="ListParagraph"/>
        <w:numPr>
          <w:ilvl w:val="0"/>
          <w:numId w:val="2"/>
        </w:numPr>
      </w:pPr>
      <w:r>
        <w:t xml:space="preserve">Download and verify BitNet b1.58-2B-4T weights</w:t>
      </w:r>
    </w:p>
    <w:p>
      <w:pPr>
        <w:pStyle w:val="ListParagraph"/>
        <w:numPr>
          <w:ilvl w:val="0"/>
          <w:numId w:val="2"/>
        </w:numPr>
      </w:pPr>
      <w:r>
        <w:t xml:space="preserve">Build bitnet.cpp and validate CPU inference</w:t>
      </w:r>
    </w:p>
    <w:p>
      <w:pPr>
        <w:spacing w:after="100" w:line="360"/>
      </w:pPr>
      <w:r>
        <w:rPr>
          <w:b/>
          <w:bCs/>
        </w:rPr>
        <w:t xml:space="preserve">Week 6: </w:t>
      </w:r>
      <w:r>
        <w:t xml:space="preserve">RTL Development and Initial Synthesis</w:t>
      </w:r>
    </w:p>
    <w:p>
      <w:pPr>
        <w:pStyle w:val="ListParagraph"/>
        <w:numPr>
          <w:ilvl w:val="0"/>
          <w:numId w:val="2"/>
        </w:numPr>
      </w:pPr>
      <w:r>
        <w:t xml:space="preserve">Implement TLMM engine in Verilog/SystemVerilog</w:t>
      </w:r>
    </w:p>
    <w:p>
      <w:pPr>
        <w:pStyle w:val="ListParagraph"/>
        <w:numPr>
          <w:ilvl w:val="0"/>
          <w:numId w:val="2"/>
        </w:numPr>
      </w:pPr>
      <w:r>
        <w:t xml:space="preserve">Create systolic array structure</w:t>
      </w:r>
    </w:p>
    <w:p>
      <w:pPr>
        <w:pStyle w:val="ListParagraph"/>
        <w:numPr>
          <w:ilvl w:val="0"/>
          <w:numId w:val="2"/>
        </w:numPr>
      </w:pPr>
      <w:r>
        <w:t xml:space="preserve">Initial synthesis targeting KV260</w:t>
      </w:r>
    </w:p>
    <w:p>
      <w:pPr>
        <w:pStyle w:val="ListParagraph"/>
        <w:numPr>
          <w:ilvl w:val="0"/>
          <w:numId w:val="2"/>
        </w:numPr>
      </w:pPr>
      <w:r>
        <w:t xml:space="preserve">Resolve timing violations</w:t>
      </w:r>
    </w:p>
    <w:p>
      <w:pPr>
        <w:spacing w:after="100" w:line="360"/>
      </w:pPr>
      <w:r>
        <w:rPr>
          <w:b/>
          <w:bCs/>
        </w:rPr>
        <w:t xml:space="preserve">Week 7: </w:t>
      </w:r>
      <w:r>
        <w:t xml:space="preserve">Integration and Debugging</w:t>
      </w:r>
    </w:p>
    <w:p>
      <w:pPr>
        <w:pStyle w:val="ListParagraph"/>
        <w:numPr>
          <w:ilvl w:val="0"/>
          <w:numId w:val="2"/>
        </w:numPr>
      </w:pPr>
      <w:r>
        <w:t xml:space="preserve">Integrate RTL with ARM PS software stack</w:t>
      </w:r>
    </w:p>
    <w:p>
      <w:pPr>
        <w:pStyle w:val="ListParagraph"/>
        <w:numPr>
          <w:ilvl w:val="0"/>
          <w:numId w:val="2"/>
        </w:numPr>
      </w:pPr>
      <w:r>
        <w:t xml:space="preserve">Implement KV cache management</w:t>
      </w:r>
    </w:p>
    <w:p>
      <w:pPr>
        <w:pStyle w:val="ListParagraph"/>
        <w:numPr>
          <w:ilvl w:val="0"/>
          <w:numId w:val="2"/>
        </w:numPr>
      </w:pPr>
      <w:r>
        <w:t xml:space="preserve">Debug timing and functional issues</w:t>
      </w:r>
    </w:p>
    <w:p>
      <w:pPr>
        <w:pStyle w:val="ListParagraph"/>
        <w:numPr>
          <w:ilvl w:val="0"/>
          <w:numId w:val="2"/>
        </w:numPr>
      </w:pPr>
      <w:r>
        <w:t xml:space="preserve">First inference run</w:t>
      </w:r>
    </w:p>
    <w:p>
      <w:pPr>
        <w:spacing w:after="100" w:line="360"/>
      </w:pPr>
      <w:r>
        <w:rPr>
          <w:b/>
          <w:bCs/>
        </w:rPr>
        <w:t xml:space="preserve">Week 8: </w:t>
      </w:r>
      <w:r>
        <w:t xml:space="preserve">Optimization and Validation</w:t>
      </w:r>
    </w:p>
    <w:p>
      <w:pPr>
        <w:pStyle w:val="ListParagraph"/>
        <w:numPr>
          <w:ilvl w:val="0"/>
          <w:numId w:val="2"/>
        </w:numPr>
      </w:pPr>
      <w:r>
        <w:t xml:space="preserve">Performance optimization for 25 tok/s target</w:t>
      </w:r>
    </w:p>
    <w:p>
      <w:pPr>
        <w:pStyle w:val="ListParagraph"/>
        <w:numPr>
          <w:ilvl w:val="0"/>
          <w:numId w:val="2"/>
        </w:numPr>
      </w:pPr>
      <w:r>
        <w:t xml:space="preserve">Power measurement and optimization</w:t>
      </w:r>
    </w:p>
    <w:p>
      <w:pPr>
        <w:pStyle w:val="ListParagraph"/>
        <w:numPr>
          <w:ilvl w:val="0"/>
          <w:numId w:val="2"/>
        </w:numPr>
      </w:pPr>
      <w:r>
        <w:t xml:space="preserve">Accuracy benchmarking (MMLU)</w:t>
      </w:r>
    </w:p>
    <w:p>
      <w:pPr>
        <w:pStyle w:val="ListParagraph"/>
        <w:numPr>
          <w:ilvl w:val="0"/>
          <w:numId w:val="2"/>
        </w:numPr>
      </w:pPr>
      <w:r>
        <w:t xml:space="preserve">Documentation and demo preparation</w:t>
      </w:r>
    </w:p>
    <w:p>
      <w:pPr>
        <w:pStyle w:val="Heading1"/>
      </w:pPr>
      <w:r>
        <w:t xml:space="preserve">7. Key Resources and Contacts</w:t>
      </w:r>
    </w:p>
    <w:p>
      <w:pPr>
        <w:pStyle w:val="ListParagraph"/>
        <w:numPr>
          <w:ilvl w:val="0"/>
          <w:numId w:val="2"/>
        </w:numPr>
      </w:pPr>
      <w:r>
        <w:rPr>
          <w:b/>
          <w:bCs/>
        </w:rPr>
        <w:t xml:space="preserve">TeLLMe Authors: </w:t>
      </w:r>
      <w:r>
        <w:t xml:space="preserve">Contact via arXiv:2510.15926 for implementation details</w:t>
      </w:r>
    </w:p>
    <w:p>
      <w:pPr>
        <w:pStyle w:val="ListParagraph"/>
        <w:numPr>
          <w:ilvl w:val="0"/>
          <w:numId w:val="2"/>
        </w:numPr>
      </w:pPr>
      <w:r>
        <w:rPr>
          <w:b/>
          <w:bCs/>
        </w:rPr>
        <w:t xml:space="preserve">Tong Yang (PKU): </w:t>
      </w:r>
      <w:r>
        <w:t xml:space="preserve">tongyang@pku.edu.cn - iFairy hardware collaboration</w:t>
      </w:r>
    </w:p>
    <w:p>
      <w:pPr>
        <w:pStyle w:val="ListParagraph"/>
        <w:numPr>
          <w:ilvl w:val="0"/>
          <w:numId w:val="2"/>
        </w:numPr>
      </w:pPr>
      <w:r>
        <w:rPr>
          <w:b/>
          <w:bCs/>
        </w:rPr>
        <w:t xml:space="preserve">KAIST HPIC Lab: </w:t>
      </w:r>
      <w:r>
        <w:t xml:space="preserve">https://hpic-lab.github.io - 2T1C DRAM research</w:t>
      </w:r>
    </w:p>
    <w:p>
      <w:pPr>
        <w:pStyle w:val="ListParagraph"/>
        <w:numPr>
          <w:ilvl w:val="0"/>
          <w:numId w:val="2"/>
        </w:numPr>
      </w:pPr>
      <w:r>
        <w:rPr>
          <w:b/>
          <w:bCs/>
        </w:rPr>
        <w:t xml:space="preserve">BitNet GitHub: </w:t>
      </w:r>
      <w:r>
        <w:t xml:space="preserve">https://github.com/microsoft/BitNet</w:t>
      </w:r>
    </w:p>
    <w:p>
      <w:pPr>
        <w:pStyle w:val="ListParagraph"/>
        <w:numPr>
          <w:ilvl w:val="0"/>
          <w:numId w:val="2"/>
        </w:numPr>
      </w:pPr>
      <w:r>
        <w:rPr>
          <w:b/>
          <w:bCs/>
        </w:rPr>
        <w:t xml:space="preserve">KV260 Documentation: </w:t>
      </w:r>
      <w:r>
        <w:t xml:space="preserve">https://docs.xilinx.com/r/en-US/ug1089-kv260-starter-kit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2B2B2B"/>
        <w:sz w:val="20"/>
        <w:szCs w:val="20"/>
      </w:rPr>
      <w:t xml:space="preserve">SuperInstance.AI - FPGA Development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before="0"/>
      <w:jc w:val="center"/>
    </w:pPr>
    <w:rPr>
      <w:rFonts w:ascii="Times New Roman" w:cs="Times New Roman" w:eastAsia="Times New Roman" w:hAnsi="Times New Roman"/>
      <w:b/>
      <w:bCs/>
      <w:color w:val="0B1220"/>
      <w:sz w:val="56"/>
      <w:szCs w:val="56"/>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0B1220"/>
      <w:sz w:val="36"/>
      <w:szCs w:val="36"/>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0F172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2026-03-08T06:02:18.635Z</dcterms:created>
  <dcterms:modified xsi:type="dcterms:W3CDTF">2026-03-08T06:02:18.635Z</dcterms:modified>
</cp:coreProperties>
</file>

<file path=docProps/custom.xml><?xml version="1.0" encoding="utf-8"?>
<Properties xmlns="http://schemas.openxmlformats.org/officeDocument/2006/custom-properties" xmlns:vt="http://schemas.openxmlformats.org/officeDocument/2006/docPropsVTypes"/>
</file>