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INVESTMENT MEMORANDUM</w:t>
      </w:r>
    </w:p>
    <w:p>
      <w:pPr>
        <w:spacing w:after="100"/>
        <w:jc w:val="center"/>
      </w:pPr>
      <w:r>
        <w:rPr>
          <w:color w:val="6B6361"/>
          <w:sz w:val="28"/>
          <w:szCs w:val="28"/>
        </w:rPr>
        <w:t xml:space="preserve">Mask-Locked Inference Chip</w:t>
      </w:r>
    </w:p>
    <w:p>
      <w:pPr>
        <w:spacing w:after="400"/>
        <w:jc w:val="center"/>
      </w:pPr>
      <w:r>
        <w:rPr>
          <w:color w:val="C19A6B"/>
          <w:sz w:val="22"/>
          <w:szCs w:val="22"/>
        </w:rPr>
        <w:t xml:space="preserve">Series Seed Investment Opportunity | March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Borders>
              <w:top w:val="single" w:color="C19A6B" w:sz="1"/>
              <w:left w:val="single" w:color="C19A6B" w:sz="1"/>
              <w:bottom w:val="single" w:color="C19A6B" w:sz="1"/>
              <w:right w:val="single" w:color="C19A6B" w:sz="1"/>
            </w:tcBorders>
            <w:shd w:fill="F5F0EB" w:val="clear"/>
          </w:tcPr>
          <w:p>
            <w:r>
              <w:rPr>
                <w:b/>
                <w:bCs/>
              </w:rPr>
              <w:t xml:space="preserve">Investment Score</w:t>
            </w:r>
          </w:p>
        </w:tc>
        <w:tc>
          <w:tcPr>
            <w:tcBorders>
              <w:top w:val="single" w:color="C19A6B" w:sz="1"/>
              <w:left w:val="single" w:color="C19A6B" w:sz="1"/>
              <w:bottom w:val="single" w:color="C19A6B" w:sz="1"/>
              <w:right w:val="single" w:color="C19A6B" w:sz="1"/>
            </w:tcBorders>
          </w:tcPr>
          <w:p>
            <w:r>
              <w:rPr>
                <w:b/>
                <w:bCs/>
                <w:color w:val="C19A6B"/>
              </w:rPr>
              <w:t xml:space="preserve">5.5/10 - CONDITIONALLY INVESTABLE</w:t>
            </w:r>
          </w:p>
        </w:tc>
      </w:tr>
      <w:tr>
        <w:tc>
          <w:tcPr>
            <w:tcBorders>
              <w:top w:val="single" w:color="C19A6B" w:sz="1"/>
              <w:left w:val="single" w:color="C19A6B" w:sz="1"/>
              <w:bottom w:val="single" w:color="C19A6B" w:sz="1"/>
              <w:right w:val="single" w:color="C19A6B" w:sz="1"/>
            </w:tcBorders>
            <w:shd w:fill="F5F0EB" w:val="clear"/>
          </w:tcPr>
          <w:p>
            <w:r>
              <w:rPr>
                <w:b/>
                <w:bCs/>
              </w:rPr>
              <w:t xml:space="preserve">Seed Round Size</w:t>
            </w:r>
          </w:p>
        </w:tc>
        <w:tc>
          <w:tcPr>
            <w:tcBorders>
              <w:top w:val="single" w:color="C19A6B" w:sz="1"/>
              <w:left w:val="single" w:color="C19A6B" w:sz="1"/>
              <w:bottom w:val="single" w:color="C19A6B" w:sz="1"/>
              <w:right w:val="single" w:color="C19A6B" w:sz="1"/>
            </w:tcBorders>
          </w:tcPr>
          <w:p>
            <w:r>
              <w:t xml:space="preserve">$2-3M</w:t>
            </w:r>
          </w:p>
        </w:tc>
      </w:tr>
      <w:tr>
        <w:tc>
          <w:tcPr>
            <w:tcBorders>
              <w:top w:val="single" w:color="C19A6B" w:sz="1"/>
              <w:left w:val="single" w:color="C19A6B" w:sz="1"/>
              <w:bottom w:val="single" w:color="C19A6B" w:sz="1"/>
              <w:right w:val="single" w:color="C19A6B" w:sz="1"/>
            </w:tcBorders>
            <w:shd w:fill="F5F0EB" w:val="clear"/>
          </w:tcPr>
          <w:p>
            <w:r>
              <w:rPr>
                <w:b/>
                <w:bCs/>
              </w:rPr>
              <w:t xml:space="preserve">Pre-Money Valuation</w:t>
            </w:r>
          </w:p>
        </w:tc>
        <w:tc>
          <w:tcPr>
            <w:tcBorders>
              <w:top w:val="single" w:color="C19A6B" w:sz="1"/>
              <w:left w:val="single" w:color="C19A6B" w:sz="1"/>
              <w:bottom w:val="single" w:color="C19A6B" w:sz="1"/>
              <w:right w:val="single" w:color="C19A6B" w:sz="1"/>
            </w:tcBorders>
          </w:tcPr>
          <w:p>
            <w:r>
              <w:t xml:space="preserve">$15-22M (Recommended: $18-22M)</w:t>
            </w:r>
          </w:p>
        </w:tc>
      </w:tr>
      <w:tr>
        <w:tc>
          <w:tcPr>
            <w:tcBorders>
              <w:top w:val="single" w:color="C19A6B" w:sz="1"/>
              <w:left w:val="single" w:color="C19A6B" w:sz="1"/>
              <w:bottom w:val="single" w:color="C19A6B" w:sz="1"/>
              <w:right w:val="single" w:color="C19A6B" w:sz="1"/>
            </w:tcBorders>
            <w:shd w:fill="F5F0EB" w:val="clear"/>
          </w:tcPr>
          <w:p>
            <w:r>
              <w:rPr>
                <w:b/>
                <w:bCs/>
              </w:rPr>
              <w:t xml:space="preserve">Expected Exit Value</w:t>
            </w:r>
          </w:p>
        </w:tc>
        <w:tc>
          <w:tcPr>
            <w:tcBorders>
              <w:top w:val="single" w:color="C19A6B" w:sz="1"/>
              <w:left w:val="single" w:color="C19A6B" w:sz="1"/>
              <w:bottom w:val="single" w:color="C19A6B" w:sz="1"/>
              <w:right w:val="single" w:color="C19A6B" w:sz="1"/>
            </w:tcBorders>
          </w:tcPr>
          <w:p>
            <w:r>
              <w:t xml:space="preserve">$135M (3-5 year horizon)</w:t>
            </w:r>
          </w:p>
        </w:tc>
      </w:tr>
      <w:tr>
        <w:tc>
          <w:tcPr>
            <w:tcBorders>
              <w:top w:val="single" w:color="C19A6B" w:sz="1"/>
              <w:left w:val="single" w:color="C19A6B" w:sz="1"/>
              <w:bottom w:val="single" w:color="C19A6B" w:sz="1"/>
              <w:right w:val="single" w:color="C19A6B" w:sz="1"/>
            </w:tcBorders>
            <w:shd w:fill="F5F0EB" w:val="clear"/>
          </w:tcPr>
          <w:p>
            <w:r>
              <w:rPr>
                <w:b/>
                <w:bCs/>
              </w:rPr>
              <w:t xml:space="preserve">Risk-Adjusted IRR</w:t>
            </w:r>
          </w:p>
        </w:tc>
        <w:tc>
          <w:tcPr>
            <w:tcBorders>
              <w:top w:val="single" w:color="C19A6B" w:sz="1"/>
              <w:left w:val="single" w:color="C19A6B" w:sz="1"/>
              <w:bottom w:val="single" w:color="C19A6B" w:sz="1"/>
              <w:right w:val="single" w:color="C19A6B" w:sz="1"/>
            </w:tcBorders>
          </w:tcPr>
          <w:p>
            <w:r>
              <w:t xml:space="preserve">38-45%</w:t>
            </w:r>
          </w:p>
        </w:tc>
      </w:tr>
      <w:tr>
        <w:tc>
          <w:tcPr>
            <w:tcBorders>
              <w:top w:val="single" w:color="C19A6B" w:sz="1"/>
              <w:left w:val="single" w:color="C19A6B" w:sz="1"/>
              <w:bottom w:val="single" w:color="C19A6B" w:sz="1"/>
              <w:right w:val="single" w:color="C19A6B" w:sz="1"/>
            </w:tcBorders>
            <w:shd w:fill="F5F0EB" w:val="clear"/>
          </w:tcPr>
          <w:p>
            <w:r>
              <w:rPr>
                <w:b/>
                <w:bCs/>
              </w:rPr>
              <w:t xml:space="preserve">Success Probability</w:t>
            </w:r>
          </w:p>
        </w:tc>
        <w:tc>
          <w:tcPr>
            <w:tcBorders>
              <w:top w:val="single" w:color="C19A6B" w:sz="1"/>
              <w:left w:val="single" w:color="C19A6B" w:sz="1"/>
              <w:bottom w:val="single" w:color="C19A6B" w:sz="1"/>
              <w:right w:val="single" w:color="C19A6B" w:sz="1"/>
            </w:tcBorders>
          </w:tcPr>
          <w:p>
            <w:r>
              <w:t xml:space="preserve">35-40% (typical for semiconductor startups)</w:t>
            </w:r>
          </w:p>
        </w:tc>
      </w:tr>
    </w:tbl>
    <w:p>
      <w:pPr>
        <w:pStyle w:val="Heading1"/>
      </w:pPr>
      <w:r>
        <w:t xml:space="preserve">1. Investment Thesis</w:t>
      </w:r>
    </w:p>
    <w:p>
      <w:pPr>
        <w:spacing w:after="200" w:line="360"/>
      </w:pPr>
      <w:r>
        <w:t xml:space="preserve">SuperInstance.AI is developing a mask-locked inference chip that physically embeds neural network weights into silicon metal interconnect layers. This architectural innovation eliminates the memory bottleneck inherent in all conventional AI accelerators, achieving order-of-magnitude improvements in power efficiency and cost for edge AI inference. The technology has been validated through FPGA reference implementation (25 tok/s at 4.8W) and targets a clear market gap: sub-$50, sub-5W LLM inference hardware.</w:t>
      </w:r>
    </w:p>
    <w:p>
      <w:pPr>
        <w:spacing w:after="200" w:line="360"/>
      </w:pPr>
      <w:r>
        <w:t xml:space="preserve">The investment opportunity is predicated on three key factors: (1) validated technical approach with working FPGA prototype, (2) clear market gap with 12-18 month first-mover window, and (3) strategic value to potential acquirers (Qualcomm 50-60% acquisition probability). The primary risk is execution—the founder lacks tape-out experience and must hire a VP Manufacturing with semiconductor expertise within 60 days of funding.</w:t>
      </w:r>
    </w:p>
    <w:p>
      <w:pPr>
        <w:pStyle w:val="Heading1"/>
      </w:pPr>
      <w:r>
        <w:t xml:space="preserve">2. Market Opportunity</w:t>
      </w:r>
    </w:p>
    <w:p>
      <w:pPr>
        <w:pStyle w:val="Heading2"/>
      </w:pPr>
      <w:r>
        <w:t xml:space="preserve">2.1 Total Addressable Market</w:t>
      </w:r>
    </w:p>
    <w:p>
      <w:pPr>
        <w:spacing w:after="200" w:line="360"/>
      </w:pPr>
      <w:r>
        <w:t xml:space="preserve">The edge AI chip market is projected to grow from $3.67 billion in 2025 to $11.54 billion by 2030, representing a 25.7% CAGR. Within this market, the specific segment for LLM inference at the edge is nascent but rapidly emerging as small language models achieve sufficient capability for edge deployment. The convergence of privacy regulations, model capability, and power constraints creates a unique market timing.</w:t>
      </w:r>
    </w:p>
    <w:p>
      <w:pPr>
        <w:pStyle w:val="Heading2"/>
      </w:pPr>
      <w:r>
        <w:t xml:space="preserve">2.2 Competitive Gap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500"/>
        <w:gridCol w:w="1500"/>
        <w:gridCol w:w="1500"/>
        <w:gridCol w:w="2860"/>
      </w:tblGrid>
      <w:tr>
        <w:trPr>
          <w:tblHeader/>
        </w:trPr>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Competitor</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Price</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Power</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LLM Perf</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Gap</w:t>
            </w:r>
          </w:p>
        </w:tc>
      </w:tr>
      <w:tr>
        <w:tc>
          <w:tcPr>
            <w:tcBorders>
              <w:top w:val="single" w:color="C19A6B" w:sz="1"/>
              <w:left w:val="single" w:color="C19A6B" w:sz="1"/>
              <w:bottom w:val="single" w:color="C19A6B" w:sz="1"/>
              <w:right w:val="single" w:color="C19A6B" w:sz="1"/>
            </w:tcBorders>
          </w:tcPr>
          <w:p>
            <w:r>
              <w:rPr>
                <w:sz w:val="20"/>
                <w:szCs w:val="20"/>
              </w:rPr>
              <w:t xml:space="preserve">NVIDIA Jetson Orin</w:t>
            </w:r>
          </w:p>
        </w:tc>
        <w:tc>
          <w:tcPr>
            <w:tcBorders>
              <w:top w:val="single" w:color="C19A6B" w:sz="1"/>
              <w:left w:val="single" w:color="C19A6B" w:sz="1"/>
              <w:bottom w:val="single" w:color="C19A6B" w:sz="1"/>
              <w:right w:val="single" w:color="C19A6B" w:sz="1"/>
            </w:tcBorders>
          </w:tcPr>
          <w:p>
            <w:pPr>
              <w:jc w:val="center"/>
            </w:pPr>
            <w:r>
              <w:rPr>
                <w:sz w:val="20"/>
                <w:szCs w:val="20"/>
              </w:rPr>
              <w:t xml:space="preserve">$250</w:t>
            </w:r>
          </w:p>
        </w:tc>
        <w:tc>
          <w:tcPr>
            <w:tcBorders>
              <w:top w:val="single" w:color="C19A6B" w:sz="1"/>
              <w:left w:val="single" w:color="C19A6B" w:sz="1"/>
              <w:bottom w:val="single" w:color="C19A6B" w:sz="1"/>
              <w:right w:val="single" w:color="C19A6B" w:sz="1"/>
            </w:tcBorders>
          </w:tcPr>
          <w:p>
            <w:pPr>
              <w:jc w:val="center"/>
            </w:pPr>
            <w:r>
              <w:rPr>
                <w:sz w:val="20"/>
                <w:szCs w:val="20"/>
              </w:rPr>
              <w:t xml:space="preserve">7-15W</w:t>
            </w:r>
          </w:p>
        </w:tc>
        <w:tc>
          <w:tcPr>
            <w:tcBorders>
              <w:top w:val="single" w:color="C19A6B" w:sz="1"/>
              <w:left w:val="single" w:color="C19A6B" w:sz="1"/>
              <w:bottom w:val="single" w:color="C19A6B" w:sz="1"/>
              <w:right w:val="single" w:color="C19A6B" w:sz="1"/>
            </w:tcBorders>
          </w:tcPr>
          <w:p>
            <w:pPr>
              <w:jc w:val="center"/>
            </w:pPr>
            <w:r>
              <w:rPr>
                <w:sz w:val="20"/>
                <w:szCs w:val="20"/>
              </w:rPr>
              <w:t xml:space="preserve">Good</w:t>
            </w:r>
          </w:p>
        </w:tc>
        <w:tc>
          <w:tcPr>
            <w:tcBorders>
              <w:top w:val="single" w:color="C19A6B" w:sz="1"/>
              <w:left w:val="single" w:color="C19A6B" w:sz="1"/>
              <w:bottom w:val="single" w:color="C19A6B" w:sz="1"/>
              <w:right w:val="single" w:color="C19A6B" w:sz="1"/>
            </w:tcBorders>
          </w:tcPr>
          <w:p>
            <w:r>
              <w:rPr>
                <w:sz w:val="20"/>
                <w:szCs w:val="20"/>
              </w:rPr>
              <w:t xml:space="preserve">7x cheaper target</w:t>
            </w:r>
          </w:p>
        </w:tc>
      </w:tr>
      <w:tr>
        <w:tc>
          <w:tcPr>
            <w:tcBorders>
              <w:top w:val="single" w:color="C19A6B" w:sz="1"/>
              <w:left w:val="single" w:color="C19A6B" w:sz="1"/>
              <w:bottom w:val="single" w:color="C19A6B" w:sz="1"/>
              <w:right w:val="single" w:color="C19A6B" w:sz="1"/>
            </w:tcBorders>
          </w:tcPr>
          <w:p>
            <w:r>
              <w:rPr>
                <w:sz w:val="20"/>
                <w:szCs w:val="20"/>
              </w:rPr>
              <w:t xml:space="preserve">Hailo-10H</w:t>
            </w:r>
          </w:p>
        </w:tc>
        <w:tc>
          <w:tcPr>
            <w:tcBorders>
              <w:top w:val="single" w:color="C19A6B" w:sz="1"/>
              <w:left w:val="single" w:color="C19A6B" w:sz="1"/>
              <w:bottom w:val="single" w:color="C19A6B" w:sz="1"/>
              <w:right w:val="single" w:color="C19A6B" w:sz="1"/>
            </w:tcBorders>
          </w:tcPr>
          <w:p>
            <w:pPr>
              <w:jc w:val="center"/>
            </w:pPr>
            <w:r>
              <w:rPr>
                <w:sz w:val="20"/>
                <w:szCs w:val="20"/>
              </w:rPr>
              <w:t xml:space="preserve">$88</w:t>
            </w:r>
          </w:p>
        </w:tc>
        <w:tc>
          <w:tcPr>
            <w:tcBorders>
              <w:top w:val="single" w:color="C19A6B" w:sz="1"/>
              <w:left w:val="single" w:color="C19A6B" w:sz="1"/>
              <w:bottom w:val="single" w:color="C19A6B" w:sz="1"/>
              <w:right w:val="single" w:color="C19A6B" w:sz="1"/>
            </w:tcBorders>
          </w:tcPr>
          <w:p>
            <w:pPr>
              <w:jc w:val="center"/>
            </w:pPr>
            <w:r>
              <w:rPr>
                <w:sz w:val="20"/>
                <w:szCs w:val="20"/>
              </w:rPr>
              <w:t xml:space="preserve">2.5W</w:t>
            </w:r>
          </w:p>
        </w:tc>
        <w:tc>
          <w:tcPr>
            <w:tcBorders>
              <w:top w:val="single" w:color="C19A6B" w:sz="1"/>
              <w:left w:val="single" w:color="C19A6B" w:sz="1"/>
              <w:bottom w:val="single" w:color="C19A6B" w:sz="1"/>
              <w:right w:val="single" w:color="C19A6B" w:sz="1"/>
            </w:tcBorders>
          </w:tcPr>
          <w:p>
            <w:pPr>
              <w:jc w:val="center"/>
            </w:pPr>
            <w:r>
              <w:rPr>
                <w:sz w:val="20"/>
                <w:szCs w:val="20"/>
              </w:rPr>
              <w:t xml:space="preserve">Poor</w:t>
            </w:r>
          </w:p>
        </w:tc>
        <w:tc>
          <w:tcPr>
            <w:tcBorders>
              <w:top w:val="single" w:color="C19A6B" w:sz="1"/>
              <w:left w:val="single" w:color="C19A6B" w:sz="1"/>
              <w:bottom w:val="single" w:color="C19A6B" w:sz="1"/>
              <w:right w:val="single" w:color="C19A6B" w:sz="1"/>
            </w:tcBorders>
          </w:tcPr>
          <w:p>
            <w:r>
              <w:rPr>
                <w:sz w:val="20"/>
                <w:szCs w:val="20"/>
              </w:rPr>
              <w:t xml:space="preserve">5x better LLM perf</w:t>
            </w:r>
          </w:p>
        </w:tc>
      </w:tr>
      <w:tr>
        <w:tc>
          <w:tcPr>
            <w:tcBorders>
              <w:top w:val="single" w:color="C19A6B" w:sz="1"/>
              <w:left w:val="single" w:color="C19A6B" w:sz="1"/>
              <w:bottom w:val="single" w:color="C19A6B" w:sz="1"/>
              <w:right w:val="single" w:color="C19A6B" w:sz="1"/>
            </w:tcBorders>
          </w:tcPr>
          <w:p>
            <w:r>
              <w:rPr>
                <w:sz w:val="20"/>
                <w:szCs w:val="20"/>
              </w:rPr>
              <w:t xml:space="preserve">Google Coral</w:t>
            </w:r>
          </w:p>
        </w:tc>
        <w:tc>
          <w:tcPr>
            <w:tcBorders>
              <w:top w:val="single" w:color="C19A6B" w:sz="1"/>
              <w:left w:val="single" w:color="C19A6B" w:sz="1"/>
              <w:bottom w:val="single" w:color="C19A6B" w:sz="1"/>
              <w:right w:val="single" w:color="C19A6B" w:sz="1"/>
            </w:tcBorders>
          </w:tcPr>
          <w:p>
            <w:pPr>
              <w:jc w:val="center"/>
            </w:pPr>
            <w:r>
              <w:rPr>
                <w:sz w:val="20"/>
                <w:szCs w:val="20"/>
              </w:rPr>
              <w:t xml:space="preserve">$70</w:t>
            </w:r>
          </w:p>
        </w:tc>
        <w:tc>
          <w:tcPr>
            <w:tcBorders>
              <w:top w:val="single" w:color="C19A6B" w:sz="1"/>
              <w:left w:val="single" w:color="C19A6B" w:sz="1"/>
              <w:bottom w:val="single" w:color="C19A6B" w:sz="1"/>
              <w:right w:val="single" w:color="C19A6B" w:sz="1"/>
            </w:tcBorders>
          </w:tcPr>
          <w:p>
            <w:pPr>
              <w:jc w:val="center"/>
            </w:pPr>
            <w:r>
              <w:rPr>
                <w:sz w:val="20"/>
                <w:szCs w:val="20"/>
              </w:rPr>
              <w:t xml:space="preserve">2W</w:t>
            </w:r>
          </w:p>
        </w:tc>
        <w:tc>
          <w:tcPr>
            <w:tcBorders>
              <w:top w:val="single" w:color="C19A6B" w:sz="1"/>
              <w:left w:val="single" w:color="C19A6B" w:sz="1"/>
              <w:bottom w:val="single" w:color="C19A6B" w:sz="1"/>
              <w:right w:val="single" w:color="C19A6B" w:sz="1"/>
            </w:tcBorders>
          </w:tcPr>
          <w:p>
            <w:pPr>
              <w:jc w:val="center"/>
            </w:pPr>
            <w:r>
              <w:rPr>
                <w:sz w:val="20"/>
                <w:szCs w:val="20"/>
              </w:rPr>
              <w:t xml:space="preserve">None</w:t>
            </w:r>
          </w:p>
        </w:tc>
        <w:tc>
          <w:tcPr>
            <w:tcBorders>
              <w:top w:val="single" w:color="C19A6B" w:sz="1"/>
              <w:left w:val="single" w:color="C19A6B" w:sz="1"/>
              <w:bottom w:val="single" w:color="C19A6B" w:sz="1"/>
              <w:right w:val="single" w:color="C19A6B" w:sz="1"/>
            </w:tcBorders>
          </w:tcPr>
          <w:p>
            <w:r>
              <w:rPr>
                <w:sz w:val="20"/>
                <w:szCs w:val="20"/>
              </w:rPr>
              <w:t xml:space="preserve">No LLM support</w:t>
            </w:r>
          </w:p>
        </w:tc>
      </w:tr>
      <w:tr>
        <w:tc>
          <w:tcPr>
            <w:tcBorders>
              <w:top w:val="single" w:color="C19A6B" w:sz="1"/>
              <w:left w:val="single" w:color="C19A6B" w:sz="1"/>
              <w:bottom w:val="single" w:color="C19A6B" w:sz="1"/>
              <w:right w:val="single" w:color="C19A6B" w:sz="1"/>
            </w:tcBorders>
            <w:shd w:fill="F5F0EB" w:val="clear"/>
          </w:tcPr>
          <w:p>
            <w:r>
              <w:rPr>
                <w:b/>
                <w:bCs/>
                <w:sz w:val="20"/>
                <w:szCs w:val="20"/>
              </w:rPr>
              <w:t xml:space="preserve">SuperInstance (Target)</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$35-60</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2-5W</w:t>
            </w:r>
          </w:p>
        </w:tc>
        <w:tc>
          <w:tcPr>
            <w:tcBorders>
              <w:top w:val="single" w:color="C19A6B" w:sz="1"/>
              <w:left w:val="single" w:color="C19A6B" w:sz="1"/>
              <w:bottom w:val="single" w:color="C19A6B" w:sz="1"/>
              <w:right w:val="single" w:color="C19A6B" w:sz="1"/>
            </w:tcBorders>
            <w:shd w:fill="F5F0EB" w:val="clear"/>
          </w:tcPr>
          <w:p>
            <w:pPr>
              <w:jc w:val="center"/>
            </w:pPr>
            <w:r>
              <w:rPr>
                <w:b/>
                <w:bCs/>
                <w:sz w:val="20"/>
                <w:szCs w:val="20"/>
              </w:rPr>
              <w:t xml:space="preserve">Good</w:t>
            </w:r>
          </w:p>
        </w:tc>
        <w:tc>
          <w:tcPr>
            <w:tcBorders>
              <w:top w:val="single" w:color="C19A6B" w:sz="1"/>
              <w:left w:val="single" w:color="C19A6B" w:sz="1"/>
              <w:bottom w:val="single" w:color="C19A6B" w:sz="1"/>
              <w:right w:val="single" w:color="C19A6B" w:sz="1"/>
            </w:tcBorders>
            <w:shd w:fill="F5F0EB" w:val="clear"/>
          </w:tcPr>
          <w:p>
            <w:r>
              <w:rPr>
                <w:b/>
                <w:bCs/>
                <w:sz w:val="20"/>
                <w:szCs w:val="20"/>
              </w:rPr>
              <w:t xml:space="preserve">MARKET GAP</w:t>
            </w:r>
          </w:p>
        </w:tc>
      </w:tr>
    </w:tbl>
    <w:p>
      <w:pPr>
        <w:pStyle w:val="Heading1"/>
      </w:pPr>
      <w:r>
        <w:t xml:space="preserve">3. Unit Economics</w:t>
      </w:r>
    </w:p>
    <w:p>
      <w:pPr>
        <w:pStyle w:val="Heading2"/>
      </w:pPr>
      <w:r>
        <w:t xml:space="preserve">3.1 Cost Structure</w:t>
      </w:r>
    </w:p>
    <w:p>
      <w:pPr>
        <w:spacing w:after="200" w:line="360"/>
      </w:pPr>
      <w:r>
        <w:t xml:space="preserve">The cost structure analysis has been updated with confirmed LPDDR4 pricing of $10-12 per 512MB unit (not the original $5 estimate). This represents a critical input to COGS calculations and has been incorporated into the financial model. At 10K unit volume, the estimated COGS for the 3B parameter product is $19-31, with 55-65% gross margin sustainable across product variants.</w:t>
      </w:r>
    </w:p>
    <w:p>
      <w:pPr>
        <w:pStyle w:val="Heading2"/>
      </w:pPr>
      <w:r>
        <w:t xml:space="preserve">3.2 Product Line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800"/>
        <w:gridCol w:w="1800"/>
        <w:gridCol w:w="1800"/>
        <w:gridCol w:w="1960"/>
      </w:tblGrid>
      <w:tr>
        <w:trPr>
          <w:tblHeader/>
        </w:trPr>
        <w:tc>
          <w:tcPr>
            <w:tcBorders>
              <w:top w:val="single" w:color="C19A6B" w:sz="1"/>
              <w:left w:val="single" w:color="C19A6B" w:sz="1"/>
              <w:bottom w:val="single" w:color="C19A6B" w:sz="1"/>
              <w:right w:val="single" w:color="C19A6B" w:sz="1"/>
            </w:tcBorders>
            <w:shd w:fill="F5F0EB" w:val="clear"/>
          </w:tcPr>
          <w:p>
            <w:pPr>
              <w:jc w:val="center"/>
            </w:pPr>
            <w:r>
              <w:rPr>
                <w:b/>
                <w:bCs/>
              </w:rPr>
              <w:t xml:space="preserve">Product</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Model Size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Target COGS</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Target ASP</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Gross Margin</w:t>
            </w:r>
          </w:p>
        </w:tc>
      </w:tr>
      <w:tr>
        <w:tc>
          <w:tcPr>
            <w:tcBorders>
              <w:top w:val="single" w:color="C19A6B" w:sz="1"/>
              <w:left w:val="single" w:color="C19A6B" w:sz="1"/>
              <w:bottom w:val="single" w:color="C19A6B" w:sz="1"/>
              <w:right w:val="single" w:color="C19A6B" w:sz="1"/>
            </w:tcBorders>
          </w:tcPr>
          <w:p>
            <w:r>
              <w:t xml:space="preserve">Nano</w:t>
            </w:r>
          </w:p>
        </w:tc>
        <w:tc>
          <w:tcPr>
            <w:tcBorders>
              <w:top w:val="single" w:color="C19A6B" w:sz="1"/>
              <w:left w:val="single" w:color="C19A6B" w:sz="1"/>
              <w:bottom w:val="single" w:color="C19A6B" w:sz="1"/>
              <w:right w:val="single" w:color="C19A6B" w:sz="1"/>
            </w:tcBorders>
          </w:tcPr>
          <w:p>
            <w:pPr>
              <w:jc w:val="center"/>
            </w:pPr>
            <w:r>
              <w:t xml:space="preserve">1B params</w:t>
            </w:r>
          </w:p>
        </w:tc>
        <w:tc>
          <w:tcPr>
            <w:tcBorders>
              <w:top w:val="single" w:color="C19A6B" w:sz="1"/>
              <w:left w:val="single" w:color="C19A6B" w:sz="1"/>
              <w:bottom w:val="single" w:color="C19A6B" w:sz="1"/>
              <w:right w:val="single" w:color="C19A6B" w:sz="1"/>
            </w:tcBorders>
          </w:tcPr>
          <w:p>
            <w:pPr>
              <w:jc w:val="center"/>
            </w:pPr>
            <w:r>
              <w:t xml:space="preserve">$8-10</w:t>
            </w:r>
          </w:p>
        </w:tc>
        <w:tc>
          <w:tcPr>
            <w:tcBorders>
              <w:top w:val="single" w:color="C19A6B" w:sz="1"/>
              <w:left w:val="single" w:color="C19A6B" w:sz="1"/>
              <w:bottom w:val="single" w:color="C19A6B" w:sz="1"/>
              <w:right w:val="single" w:color="C19A6B" w:sz="1"/>
            </w:tcBorders>
          </w:tcPr>
          <w:p>
            <w:pPr>
              <w:jc w:val="center"/>
            </w:pPr>
            <w:r>
              <w:t xml:space="preserve">$15</w:t>
            </w:r>
          </w:p>
        </w:tc>
        <w:tc>
          <w:tcPr>
            <w:tcBorders>
              <w:top w:val="single" w:color="C19A6B" w:sz="1"/>
              <w:left w:val="single" w:color="C19A6B" w:sz="1"/>
              <w:bottom w:val="single" w:color="C19A6B" w:sz="1"/>
              <w:right w:val="single" w:color="C19A6B" w:sz="1"/>
            </w:tcBorders>
          </w:tcPr>
          <w:p>
            <w:pPr>
              <w:jc w:val="center"/>
            </w:pPr>
            <w:r>
              <w:t xml:space="preserve">33-47%</w:t>
            </w:r>
          </w:p>
        </w:tc>
      </w:tr>
      <w:tr>
        <w:tc>
          <w:tcPr>
            <w:tcBorders>
              <w:top w:val="single" w:color="C19A6B" w:sz="1"/>
              <w:left w:val="single" w:color="C19A6B" w:sz="1"/>
              <w:bottom w:val="single" w:color="C19A6B" w:sz="1"/>
              <w:right w:val="single" w:color="C19A6B" w:sz="1"/>
            </w:tcBorders>
          </w:tcPr>
          <w:p>
            <w:r>
              <w:t xml:space="preserve">Micro</w:t>
            </w:r>
          </w:p>
        </w:tc>
        <w:tc>
          <w:tcPr>
            <w:tcBorders>
              <w:top w:val="single" w:color="C19A6B" w:sz="1"/>
              <w:left w:val="single" w:color="C19A6B" w:sz="1"/>
              <w:bottom w:val="single" w:color="C19A6B" w:sz="1"/>
              <w:right w:val="single" w:color="C19A6B" w:sz="1"/>
            </w:tcBorders>
          </w:tcPr>
          <w:p>
            <w:pPr>
              <w:jc w:val="center"/>
            </w:pPr>
            <w:r>
              <w:t xml:space="preserve">3B params</w:t>
            </w:r>
          </w:p>
        </w:tc>
        <w:tc>
          <w:tcPr>
            <w:tcBorders>
              <w:top w:val="single" w:color="C19A6B" w:sz="1"/>
              <w:left w:val="single" w:color="C19A6B" w:sz="1"/>
              <w:bottom w:val="single" w:color="C19A6B" w:sz="1"/>
              <w:right w:val="single" w:color="C19A6B" w:sz="1"/>
            </w:tcBorders>
          </w:tcPr>
          <w:p>
            <w:pPr>
              <w:jc w:val="center"/>
            </w:pPr>
            <w:r>
              <w:t xml:space="preserve">$19-31</w:t>
            </w:r>
          </w:p>
        </w:tc>
        <w:tc>
          <w:tcPr>
            <w:tcBorders>
              <w:top w:val="single" w:color="C19A6B" w:sz="1"/>
              <w:left w:val="single" w:color="C19A6B" w:sz="1"/>
              <w:bottom w:val="single" w:color="C19A6B" w:sz="1"/>
              <w:right w:val="single" w:color="C19A6B" w:sz="1"/>
            </w:tcBorders>
          </w:tcPr>
          <w:p>
            <w:pPr>
              <w:jc w:val="center"/>
            </w:pPr>
            <w:r>
              <w:t xml:space="preserve">$35</w:t>
            </w:r>
          </w:p>
        </w:tc>
        <w:tc>
          <w:tcPr>
            <w:tcBorders>
              <w:top w:val="single" w:color="C19A6B" w:sz="1"/>
              <w:left w:val="single" w:color="C19A6B" w:sz="1"/>
              <w:bottom w:val="single" w:color="C19A6B" w:sz="1"/>
              <w:right w:val="single" w:color="C19A6B" w:sz="1"/>
            </w:tcBorders>
          </w:tcPr>
          <w:p>
            <w:pPr>
              <w:jc w:val="center"/>
            </w:pPr>
            <w:r>
              <w:t xml:space="preserve">55-65%</w:t>
            </w:r>
          </w:p>
        </w:tc>
      </w:tr>
      <w:tr>
        <w:tc>
          <w:tcPr>
            <w:tcBorders>
              <w:top w:val="single" w:color="C19A6B" w:sz="1"/>
              <w:left w:val="single" w:color="C19A6B" w:sz="1"/>
              <w:bottom w:val="single" w:color="C19A6B" w:sz="1"/>
              <w:right w:val="single" w:color="C19A6B" w:sz="1"/>
            </w:tcBorders>
          </w:tcPr>
          <w:p>
            <w:r>
              <w:t xml:space="preserve">Standard</w:t>
            </w:r>
          </w:p>
        </w:tc>
        <w:tc>
          <w:tcPr>
            <w:tcBorders>
              <w:top w:val="single" w:color="C19A6B" w:sz="1"/>
              <w:left w:val="single" w:color="C19A6B" w:sz="1"/>
              <w:bottom w:val="single" w:color="C19A6B" w:sz="1"/>
              <w:right w:val="single" w:color="C19A6B" w:sz="1"/>
            </w:tcBorders>
          </w:tcPr>
          <w:p>
            <w:pPr>
              <w:jc w:val="center"/>
            </w:pPr>
            <w:r>
              <w:t xml:space="preserve">7B params</w:t>
            </w:r>
          </w:p>
        </w:tc>
        <w:tc>
          <w:tcPr>
            <w:tcBorders>
              <w:top w:val="single" w:color="C19A6B" w:sz="1"/>
              <w:left w:val="single" w:color="C19A6B" w:sz="1"/>
              <w:bottom w:val="single" w:color="C19A6B" w:sz="1"/>
              <w:right w:val="single" w:color="C19A6B" w:sz="1"/>
            </w:tcBorders>
          </w:tcPr>
          <w:p>
            <w:pPr>
              <w:jc w:val="center"/>
            </w:pPr>
            <w:r>
              <w:t xml:space="preserve">$25-35</w:t>
            </w:r>
          </w:p>
        </w:tc>
        <w:tc>
          <w:tcPr>
            <w:tcBorders>
              <w:top w:val="single" w:color="C19A6B" w:sz="1"/>
              <w:left w:val="single" w:color="C19A6B" w:sz="1"/>
              <w:bottom w:val="single" w:color="C19A6B" w:sz="1"/>
              <w:right w:val="single" w:color="C19A6B" w:sz="1"/>
            </w:tcBorders>
          </w:tcPr>
          <w:p>
            <w:pPr>
              <w:jc w:val="center"/>
            </w:pPr>
            <w:r>
              <w:t xml:space="preserve">$60</w:t>
            </w:r>
          </w:p>
        </w:tc>
        <w:tc>
          <w:tcPr>
            <w:tcBorders>
              <w:top w:val="single" w:color="C19A6B" w:sz="1"/>
              <w:left w:val="single" w:color="C19A6B" w:sz="1"/>
              <w:bottom w:val="single" w:color="C19A6B" w:sz="1"/>
              <w:right w:val="single" w:color="C19A6B" w:sz="1"/>
            </w:tcBorders>
          </w:tcPr>
          <w:p>
            <w:pPr>
              <w:jc w:val="center"/>
            </w:pPr>
            <w:r>
              <w:t xml:space="preserve">58-71%</w:t>
            </w:r>
          </w:p>
        </w:tc>
      </w:tr>
    </w:tbl>
    <w:p>
      <w:pPr>
        <w:pStyle w:val="Heading1"/>
      </w:pPr>
      <w:r>
        <w:t xml:space="preserve">4. Funding Requirements</w:t>
      </w:r>
    </w:p>
    <w:p>
      <w:pPr>
        <w:pStyle w:val="Heading2"/>
      </w:pPr>
      <w:r>
        <w:t xml:space="preserve">4.1 Capital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000"/>
        <w:gridCol w:w="2000"/>
        <w:gridCol w:w="3360"/>
      </w:tblGrid>
      <w:tr>
        <w:trPr>
          <w:tblHeader/>
        </w:trPr>
        <w:tc>
          <w:tcPr>
            <w:tcBorders>
              <w:top w:val="single" w:color="C19A6B" w:sz="1"/>
              <w:left w:val="single" w:color="C19A6B" w:sz="1"/>
              <w:bottom w:val="single" w:color="C19A6B" w:sz="1"/>
              <w:right w:val="single" w:color="C19A6B" w:sz="1"/>
            </w:tcBorders>
            <w:shd w:fill="F5F0EB" w:val="clear"/>
          </w:tcPr>
          <w:p>
            <w:pPr>
              <w:jc w:val="center"/>
            </w:pPr>
            <w:r>
              <w:rPr>
                <w:b/>
                <w:bCs/>
              </w:rPr>
              <w:t xml:space="preserve">Stage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Amount</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Timeline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Key Milestones</w:t>
            </w:r>
          </w:p>
        </w:tc>
      </w:tr>
      <w:tr>
        <w:tc>
          <w:tcPr>
            <w:tcBorders>
              <w:top w:val="single" w:color="C19A6B" w:sz="1"/>
              <w:left w:val="single" w:color="C19A6B" w:sz="1"/>
              <w:bottom w:val="single" w:color="C19A6B" w:sz="1"/>
              <w:right w:val="single" w:color="C19A6B" w:sz="1"/>
            </w:tcBorders>
          </w:tcPr>
          <w:p>
            <w:r>
              <w:t xml:space="preserve">Seed</w:t>
            </w:r>
          </w:p>
        </w:tc>
        <w:tc>
          <w:tcPr>
            <w:tcBorders>
              <w:top w:val="single" w:color="C19A6B" w:sz="1"/>
              <w:left w:val="single" w:color="C19A6B" w:sz="1"/>
              <w:bottom w:val="single" w:color="C19A6B" w:sz="1"/>
              <w:right w:val="single" w:color="C19A6B" w:sz="1"/>
            </w:tcBorders>
          </w:tcPr>
          <w:p>
            <w:pPr>
              <w:jc w:val="center"/>
            </w:pPr>
            <w:r>
              <w:t xml:space="preserve">$2-3M</w:t>
            </w:r>
          </w:p>
        </w:tc>
        <w:tc>
          <w:tcPr>
            <w:tcBorders>
              <w:top w:val="single" w:color="C19A6B" w:sz="1"/>
              <w:left w:val="single" w:color="C19A6B" w:sz="1"/>
              <w:bottom w:val="single" w:color="C19A6B" w:sz="1"/>
              <w:right w:val="single" w:color="C19A6B" w:sz="1"/>
            </w:tcBorders>
          </w:tcPr>
          <w:p>
            <w:pPr>
              <w:jc w:val="center"/>
            </w:pPr>
            <w:r>
              <w:t xml:space="preserve">Months 1-12</w:t>
            </w:r>
          </w:p>
        </w:tc>
        <w:tc>
          <w:tcPr>
            <w:tcBorders>
              <w:top w:val="single" w:color="C19A6B" w:sz="1"/>
              <w:left w:val="single" w:color="C19A6B" w:sz="1"/>
              <w:bottom w:val="single" w:color="C19A6B" w:sz="1"/>
              <w:right w:val="single" w:color="C19A6B" w:sz="1"/>
            </w:tcBorders>
          </w:tcPr>
          <w:p>
            <w:r>
              <w:t xml:space="preserve">Team, FPGA prototype, patents, SDK</w:t>
            </w:r>
          </w:p>
        </w:tc>
      </w:tr>
      <w:tr>
        <w:tc>
          <w:tcPr>
            <w:tcBorders>
              <w:top w:val="single" w:color="C19A6B" w:sz="1"/>
              <w:left w:val="single" w:color="C19A6B" w:sz="1"/>
              <w:bottom w:val="single" w:color="C19A6B" w:sz="1"/>
              <w:right w:val="single" w:color="C19A6B" w:sz="1"/>
            </w:tcBorders>
          </w:tcPr>
          <w:p>
            <w:r>
              <w:t xml:space="preserve">Series A</w:t>
            </w:r>
          </w:p>
        </w:tc>
        <w:tc>
          <w:tcPr>
            <w:tcBorders>
              <w:top w:val="single" w:color="C19A6B" w:sz="1"/>
              <w:left w:val="single" w:color="C19A6B" w:sz="1"/>
              <w:bottom w:val="single" w:color="C19A6B" w:sz="1"/>
              <w:right w:val="single" w:color="C19A6B" w:sz="1"/>
            </w:tcBorders>
          </w:tcPr>
          <w:p>
            <w:pPr>
              <w:jc w:val="center"/>
            </w:pPr>
            <w:r>
              <w:t xml:space="preserve">$6-8M</w:t>
            </w:r>
          </w:p>
        </w:tc>
        <w:tc>
          <w:tcPr>
            <w:tcBorders>
              <w:top w:val="single" w:color="C19A6B" w:sz="1"/>
              <w:left w:val="single" w:color="C19A6B" w:sz="1"/>
              <w:bottom w:val="single" w:color="C19A6B" w:sz="1"/>
              <w:right w:val="single" w:color="C19A6B" w:sz="1"/>
            </w:tcBorders>
          </w:tcPr>
          <w:p>
            <w:pPr>
              <w:jc w:val="center"/>
            </w:pPr>
            <w:r>
              <w:t xml:space="preserve">Months 13-30</w:t>
            </w:r>
          </w:p>
        </w:tc>
        <w:tc>
          <w:tcPr>
            <w:tcBorders>
              <w:top w:val="single" w:color="C19A6B" w:sz="1"/>
              <w:left w:val="single" w:color="C19A6B" w:sz="1"/>
              <w:bottom w:val="single" w:color="C19A6B" w:sz="1"/>
              <w:right w:val="single" w:color="C19A6B" w:sz="1"/>
            </w:tcBorders>
          </w:tcPr>
          <w:p>
            <w:r>
              <w:t xml:space="preserve">MPW tapeout, verification, expansion</w:t>
            </w:r>
          </w:p>
        </w:tc>
      </w:tr>
      <w:tr>
        <w:tc>
          <w:tcPr>
            <w:tcBorders>
              <w:top w:val="single" w:color="C19A6B" w:sz="1"/>
              <w:left w:val="single" w:color="C19A6B" w:sz="1"/>
              <w:bottom w:val="single" w:color="C19A6B" w:sz="1"/>
              <w:right w:val="single" w:color="C19A6B" w:sz="1"/>
            </w:tcBorders>
          </w:tcPr>
          <w:p>
            <w:r>
              <w:t xml:space="preserve">Series B</w:t>
            </w:r>
          </w:p>
        </w:tc>
        <w:tc>
          <w:tcPr>
            <w:tcBorders>
              <w:top w:val="single" w:color="C19A6B" w:sz="1"/>
              <w:left w:val="single" w:color="C19A6B" w:sz="1"/>
              <w:bottom w:val="single" w:color="C19A6B" w:sz="1"/>
              <w:right w:val="single" w:color="C19A6B" w:sz="1"/>
            </w:tcBorders>
          </w:tcPr>
          <w:p>
            <w:pPr>
              <w:jc w:val="center"/>
            </w:pPr>
            <w:r>
              <w:t xml:space="preserve">$12-15M</w:t>
            </w:r>
          </w:p>
        </w:tc>
        <w:tc>
          <w:tcPr>
            <w:tcBorders>
              <w:top w:val="single" w:color="C19A6B" w:sz="1"/>
              <w:left w:val="single" w:color="C19A6B" w:sz="1"/>
              <w:bottom w:val="single" w:color="C19A6B" w:sz="1"/>
              <w:right w:val="single" w:color="C19A6B" w:sz="1"/>
            </w:tcBorders>
          </w:tcPr>
          <w:p>
            <w:pPr>
              <w:jc w:val="center"/>
            </w:pPr>
            <w:r>
              <w:t xml:space="preserve">Months 31-48</w:t>
            </w:r>
          </w:p>
        </w:tc>
        <w:tc>
          <w:tcPr>
            <w:tcBorders>
              <w:top w:val="single" w:color="C19A6B" w:sz="1"/>
              <w:left w:val="single" w:color="C19A6B" w:sz="1"/>
              <w:bottom w:val="single" w:color="C19A6B" w:sz="1"/>
              <w:right w:val="single" w:color="C19A6B" w:sz="1"/>
            </w:tcBorders>
          </w:tcPr>
          <w:p>
            <w:r>
              <w:t xml:space="preserve">Volume production, sales/marketing</w:t>
            </w:r>
          </w:p>
        </w:tc>
      </w:tr>
      <w:tr>
        <w:tc>
          <w:tcPr>
            <w:tcBorders>
              <w:top w:val="single" w:color="C19A6B" w:sz="1"/>
              <w:left w:val="single" w:color="C19A6B" w:sz="1"/>
              <w:bottom w:val="single" w:color="C19A6B" w:sz="1"/>
              <w:right w:val="single" w:color="C19A6B" w:sz="1"/>
            </w:tcBorders>
            <w:shd w:fill="F5F0EB" w:val="clear"/>
          </w:tcPr>
          <w:p>
            <w:r>
              <w:rPr>
                <w:b/>
                <w:bCs/>
              </w:rPr>
              <w:t xml:space="preserve">Total to Revenue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$20-26M</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4 years</w:t>
            </w:r>
          </w:p>
        </w:tc>
        <w:tc>
          <w:tcPr>
            <w:tcBorders>
              <w:top w:val="single" w:color="C19A6B" w:sz="1"/>
              <w:left w:val="single" w:color="C19A6B" w:sz="1"/>
              <w:bottom w:val="single" w:color="C19A6B" w:sz="1"/>
              <w:right w:val="single" w:color="C19A6B" w:sz="1"/>
            </w:tcBorders>
            <w:shd w:fill="F5F0EB" w:val="clear"/>
          </w:tcPr>
          <w:p>
            <w:r>
              <w:rPr>
                <w:b/>
                <w:bCs/>
              </w:rPr>
              <w:t xml:space="preserve">Breakeven at Year 3</w:t>
            </w:r>
          </w:p>
        </w:tc>
      </w:tr>
    </w:tbl>
    <w:p>
      <w:pPr>
        <w:pStyle w:val="Heading1"/>
      </w:pPr>
      <w:r>
        <w:t xml:space="preserve">5. Exit Analysis</w:t>
      </w:r>
    </w:p>
    <w:p>
      <w:pPr>
        <w:pStyle w:val="Heading2"/>
      </w:pPr>
      <w:r>
        <w:t xml:space="preserve">5.1 Exit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500"/>
        <w:gridCol w:w="2000"/>
        <w:gridCol w:w="3860"/>
      </w:tblGrid>
      <w:tr>
        <w:trPr>
          <w:tblHeader/>
        </w:trPr>
        <w:tc>
          <w:tcPr>
            <w:tcBorders>
              <w:top w:val="single" w:color="C19A6B" w:sz="1"/>
              <w:left w:val="single" w:color="C19A6B" w:sz="1"/>
              <w:bottom w:val="single" w:color="C19A6B" w:sz="1"/>
              <w:right w:val="single" w:color="C19A6B" w:sz="1"/>
            </w:tcBorders>
            <w:shd w:fill="F5F0EB" w:val="clear"/>
          </w:tcPr>
          <w:p>
            <w:pPr>
              <w:jc w:val="center"/>
            </w:pPr>
            <w:r>
              <w:rPr>
                <w:b/>
                <w:bCs/>
              </w:rPr>
              <w:t xml:space="preserve">Scenario</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Probability</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Exit Value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IRR</w:t>
            </w:r>
          </w:p>
        </w:tc>
      </w:tr>
      <w:tr>
        <w:tc>
          <w:tcPr>
            <w:tcBorders>
              <w:top w:val="single" w:color="C19A6B" w:sz="1"/>
              <w:left w:val="single" w:color="C19A6B" w:sz="1"/>
              <w:bottom w:val="single" w:color="C19A6B" w:sz="1"/>
              <w:right w:val="single" w:color="C19A6B" w:sz="1"/>
            </w:tcBorders>
          </w:tcPr>
          <w:p>
            <w:r>
              <w:t xml:space="preserve">Bull Case</w:t>
            </w:r>
          </w:p>
        </w:tc>
        <w:tc>
          <w:tcPr>
            <w:tcBorders>
              <w:top w:val="single" w:color="C19A6B" w:sz="1"/>
              <w:left w:val="single" w:color="C19A6B" w:sz="1"/>
              <w:bottom w:val="single" w:color="C19A6B" w:sz="1"/>
              <w:right w:val="single" w:color="C19A6B" w:sz="1"/>
            </w:tcBorders>
          </w:tcPr>
          <w:p>
            <w:pPr>
              <w:jc w:val="center"/>
            </w:pPr>
            <w:r>
              <w:t xml:space="preserve">20%</w:t>
            </w:r>
          </w:p>
        </w:tc>
        <w:tc>
          <w:tcPr>
            <w:tcBorders>
              <w:top w:val="single" w:color="C19A6B" w:sz="1"/>
              <w:left w:val="single" w:color="C19A6B" w:sz="1"/>
              <w:bottom w:val="single" w:color="C19A6B" w:sz="1"/>
              <w:right w:val="single" w:color="C19A6B" w:sz="1"/>
            </w:tcBorders>
          </w:tcPr>
          <w:p>
            <w:pPr>
              <w:jc w:val="center"/>
            </w:pPr>
            <w:r>
              <w:t xml:space="preserve">$300-500M</w:t>
            </w:r>
          </w:p>
        </w:tc>
        <w:tc>
          <w:tcPr>
            <w:tcBorders>
              <w:top w:val="single" w:color="C19A6B" w:sz="1"/>
              <w:left w:val="single" w:color="C19A6B" w:sz="1"/>
              <w:bottom w:val="single" w:color="C19A6B" w:sz="1"/>
              <w:right w:val="single" w:color="C19A6B" w:sz="1"/>
            </w:tcBorders>
          </w:tcPr>
          <w:p>
            <w:pPr>
              <w:jc w:val="center"/>
            </w:pPr>
            <w:r>
              <w:t xml:space="preserve">85-120%</w:t>
            </w:r>
          </w:p>
        </w:tc>
      </w:tr>
      <w:tr>
        <w:tc>
          <w:tcPr>
            <w:tcBorders>
              <w:top w:val="single" w:color="C19A6B" w:sz="1"/>
              <w:left w:val="single" w:color="C19A6B" w:sz="1"/>
              <w:bottom w:val="single" w:color="C19A6B" w:sz="1"/>
              <w:right w:val="single" w:color="C19A6B" w:sz="1"/>
            </w:tcBorders>
          </w:tcPr>
          <w:p>
            <w:r>
              <w:t xml:space="preserve">Base Case</w:t>
            </w:r>
          </w:p>
        </w:tc>
        <w:tc>
          <w:tcPr>
            <w:tcBorders>
              <w:top w:val="single" w:color="C19A6B" w:sz="1"/>
              <w:left w:val="single" w:color="C19A6B" w:sz="1"/>
              <w:bottom w:val="single" w:color="C19A6B" w:sz="1"/>
              <w:right w:val="single" w:color="C19A6B" w:sz="1"/>
            </w:tcBorders>
          </w:tcPr>
          <w:p>
            <w:pPr>
              <w:jc w:val="center"/>
            </w:pPr>
            <w:r>
              <w:t xml:space="preserve">45%</w:t>
            </w:r>
          </w:p>
        </w:tc>
        <w:tc>
          <w:tcPr>
            <w:tcBorders>
              <w:top w:val="single" w:color="C19A6B" w:sz="1"/>
              <w:left w:val="single" w:color="C19A6B" w:sz="1"/>
              <w:bottom w:val="single" w:color="C19A6B" w:sz="1"/>
              <w:right w:val="single" w:color="C19A6B" w:sz="1"/>
            </w:tcBorders>
          </w:tcPr>
          <w:p>
            <w:pPr>
              <w:jc w:val="center"/>
            </w:pPr>
            <w:r>
              <w:t xml:space="preserve">$100-200M</w:t>
            </w:r>
          </w:p>
        </w:tc>
        <w:tc>
          <w:tcPr>
            <w:tcBorders>
              <w:top w:val="single" w:color="C19A6B" w:sz="1"/>
              <w:left w:val="single" w:color="C19A6B" w:sz="1"/>
              <w:bottom w:val="single" w:color="C19A6B" w:sz="1"/>
              <w:right w:val="single" w:color="C19A6B" w:sz="1"/>
            </w:tcBorders>
          </w:tcPr>
          <w:p>
            <w:pPr>
              <w:jc w:val="center"/>
            </w:pPr>
            <w:r>
              <w:t xml:space="preserve">35-55%</w:t>
            </w:r>
          </w:p>
        </w:tc>
      </w:tr>
      <w:tr>
        <w:tc>
          <w:tcPr>
            <w:tcBorders>
              <w:top w:val="single" w:color="C19A6B" w:sz="1"/>
              <w:left w:val="single" w:color="C19A6B" w:sz="1"/>
              <w:bottom w:val="single" w:color="C19A6B" w:sz="1"/>
              <w:right w:val="single" w:color="C19A6B" w:sz="1"/>
            </w:tcBorders>
          </w:tcPr>
          <w:p>
            <w:r>
              <w:t xml:space="preserve">Bear Case</w:t>
            </w:r>
          </w:p>
        </w:tc>
        <w:tc>
          <w:tcPr>
            <w:tcBorders>
              <w:top w:val="single" w:color="C19A6B" w:sz="1"/>
              <w:left w:val="single" w:color="C19A6B" w:sz="1"/>
              <w:bottom w:val="single" w:color="C19A6B" w:sz="1"/>
              <w:right w:val="single" w:color="C19A6B" w:sz="1"/>
            </w:tcBorders>
          </w:tcPr>
          <w:p>
            <w:pPr>
              <w:jc w:val="center"/>
            </w:pPr>
            <w:r>
              <w:t xml:space="preserve">25%</w:t>
            </w:r>
          </w:p>
        </w:tc>
        <w:tc>
          <w:tcPr>
            <w:tcBorders>
              <w:top w:val="single" w:color="C19A6B" w:sz="1"/>
              <w:left w:val="single" w:color="C19A6B" w:sz="1"/>
              <w:bottom w:val="single" w:color="C19A6B" w:sz="1"/>
              <w:right w:val="single" w:color="C19A6B" w:sz="1"/>
            </w:tcBorders>
          </w:tcPr>
          <w:p>
            <w:pPr>
              <w:jc w:val="center"/>
            </w:pPr>
            <w:r>
              <w:t xml:space="preserve">$30-80M</w:t>
            </w:r>
          </w:p>
        </w:tc>
        <w:tc>
          <w:tcPr>
            <w:tcBorders>
              <w:top w:val="single" w:color="C19A6B" w:sz="1"/>
              <w:left w:val="single" w:color="C19A6B" w:sz="1"/>
              <w:bottom w:val="single" w:color="C19A6B" w:sz="1"/>
              <w:right w:val="single" w:color="C19A6B" w:sz="1"/>
            </w:tcBorders>
          </w:tcPr>
          <w:p>
            <w:pPr>
              <w:jc w:val="center"/>
            </w:pPr>
            <w:r>
              <w:t xml:space="preserve">0-15%</w:t>
            </w:r>
          </w:p>
        </w:tc>
      </w:tr>
      <w:tr>
        <w:tc>
          <w:tcPr>
            <w:tcBorders>
              <w:top w:val="single" w:color="C19A6B" w:sz="1"/>
              <w:left w:val="single" w:color="C19A6B" w:sz="1"/>
              <w:bottom w:val="single" w:color="C19A6B" w:sz="1"/>
              <w:right w:val="single" w:color="C19A6B" w:sz="1"/>
            </w:tcBorders>
            <w:shd w:fill="F5F0EB" w:val="clear"/>
          </w:tcPr>
          <w:p>
            <w:r>
              <w:rPr>
                <w:b/>
                <w:bCs/>
              </w:rPr>
              <w:t xml:space="preserve">Expected Value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$135M</w:t>
            </w:r>
          </w:p>
        </w:tc>
        <w:tc>
          <w:tcPr>
            <w:tcBorders>
              <w:top w:val="single" w:color="C19A6B" w:sz="1"/>
              <w:left w:val="single" w:color="C19A6B" w:sz="1"/>
              <w:bottom w:val="single" w:color="C19A6B" w:sz="1"/>
              <w:right w:val="single" w:color="C19A6B" w:sz="1"/>
            </w:tcBorders>
            <w:shd w:fill="F5F0EB" w:val="clear"/>
          </w:tcPr>
          <w:p>
            <w:pPr>
              <w:jc w:val="center"/>
            </w:pPr>
            <w:r>
              <w:rPr>
                <w:b/>
                <w:bCs/>
              </w:rPr>
              <w:t xml:space="preserve">38-45%</w:t>
            </w:r>
          </w:p>
        </w:tc>
      </w:tr>
    </w:tbl>
    <w:p>
      <w:pPr>
        <w:pStyle w:val="Heading2"/>
      </w:pPr>
      <w:r>
        <w:t xml:space="preserve">5.2 Acquisition Targets</w:t>
      </w:r>
    </w:p>
    <w:p>
      <w:pPr>
        <w:spacing w:after="100" w:line="360"/>
      </w:pPr>
      <w:r>
        <w:t xml:space="preserve">Based on recent M&amp;A activity in the AI chip space, the most likely acquirers are:</w:t>
      </w:r>
    </w:p>
    <w:p>
      <w:pPr>
        <w:pStyle w:val="ListParagraph"/>
        <w:numPr>
          <w:ilvl w:val="0"/>
          <w:numId w:val="2"/>
        </w:numPr>
      </w:pPr>
      <w:r>
        <w:rPr>
          <w:b/>
          <w:bCs/>
        </w:rPr>
        <w:t xml:space="preserve">Qualcomm (50-60% probability): </w:t>
      </w:r>
      <w:r>
        <w:t xml:space="preserve">Recently acquired Alphawave ($2.4B), actively building edge AI portfolio. SuperInstance complements their mobile/IoT strategy.</w:t>
      </w:r>
    </w:p>
    <w:p>
      <w:pPr>
        <w:pStyle w:val="ListParagraph"/>
        <w:numPr>
          <w:ilvl w:val="0"/>
          <w:numId w:val="2"/>
        </w:numPr>
      </w:pPr>
      <w:r>
        <w:rPr>
          <w:b/>
          <w:bCs/>
        </w:rPr>
        <w:t xml:space="preserve">MediaTek (40-50% probability): </w:t>
      </w:r>
      <w:r>
        <w:t xml:space="preserve">Growing edge AI presence, need for differentiated LLM inference capability.</w:t>
      </w:r>
    </w:p>
    <w:p>
      <w:pPr>
        <w:pStyle w:val="ListParagraph"/>
        <w:numPr>
          <w:ilvl w:val="0"/>
          <w:numId w:val="2"/>
        </w:numPr>
      </w:pPr>
      <w:r>
        <w:rPr>
          <w:b/>
          <w:bCs/>
        </w:rPr>
        <w:t xml:space="preserve">Apple (30-40% probability): </w:t>
      </w:r>
      <w:r>
        <w:t xml:space="preserve">Secretive edge AI chip efforts, acquisition of DarwinAI ($100M) indicates interest.</w:t>
      </w:r>
    </w:p>
    <w:p>
      <w:pPr>
        <w:pStyle w:val="ListParagraph"/>
        <w:numPr>
          <w:ilvl w:val="0"/>
          <w:numId w:val="2"/>
        </w:numPr>
      </w:pPr>
      <w:r>
        <w:rPr>
          <w:b/>
          <w:bCs/>
        </w:rPr>
        <w:t xml:space="preserve">Intel/NVIDIA (20-30% probability): </w:t>
      </w:r>
      <w:r>
        <w:t xml:space="preserve">Strategic interest in edge inference, but less focused on ultra-low power segment.</w:t>
      </w:r>
    </w:p>
    <w:p>
      <w:pPr>
        <w:pStyle w:val="Heading1"/>
      </w:pPr>
      <w:r>
        <w:t xml:space="preserve">6. Proposed Investment Terms</w:t>
      </w:r>
    </w:p>
    <w:p>
      <w:pPr>
        <w:spacing w:after="200" w:line="360"/>
      </w:pPr>
      <w:r>
        <w:t xml:space="preserve">The recommended investment structure includes staged milestones to de-risk the investment while providing sufficient capital for execution:</w:t>
      </w:r>
    </w:p>
    <w:p>
      <w:pPr>
        <w:pStyle w:val="ListParagraph"/>
        <w:numPr>
          <w:ilvl w:val="0"/>
          <w:numId w:val="2"/>
        </w:numPr>
      </w:pPr>
      <w:r>
        <w:rPr>
          <w:b/>
          <w:bCs/>
        </w:rPr>
        <w:t xml:space="preserve">Round Size: </w:t>
      </w:r>
      <w:r>
        <w:t xml:space="preserve">$2-3M Seed</w:t>
      </w:r>
    </w:p>
    <w:p>
      <w:pPr>
        <w:pStyle w:val="ListParagraph"/>
        <w:numPr>
          <w:ilvl w:val="0"/>
          <w:numId w:val="2"/>
        </w:numPr>
      </w:pPr>
      <w:r>
        <w:rPr>
          <w:b/>
          <w:bCs/>
        </w:rPr>
        <w:t xml:space="preserve">Pre-Money Valuation: </w:t>
      </w:r>
      <w:r>
        <w:t xml:space="preserve">$18-22M (maximum recommended)</w:t>
      </w:r>
    </w:p>
    <w:p>
      <w:pPr>
        <w:pStyle w:val="ListParagraph"/>
        <w:numPr>
          <w:ilvl w:val="0"/>
          <w:numId w:val="2"/>
        </w:numPr>
      </w:pPr>
      <w:r>
        <w:rPr>
          <w:b/>
          <w:bCs/>
        </w:rPr>
        <w:t xml:space="preserve">Security Type: </w:t>
      </w:r>
      <w:r>
        <w:t xml:space="preserve">Preferred Stock with 1x liquidation preference</w:t>
      </w:r>
    </w:p>
    <w:p>
      <w:pPr>
        <w:pStyle w:val="ListParagraph"/>
        <w:numPr>
          <w:ilvl w:val="0"/>
          <w:numId w:val="2"/>
        </w:numPr>
      </w:pPr>
      <w:r>
        <w:rPr>
          <w:b/>
          <w:bCs/>
        </w:rPr>
        <w:t xml:space="preserve">Pro-Rata Rights: </w:t>
      </w:r>
      <w:r>
        <w:t xml:space="preserve">Standard for Series A participation</w:t>
      </w:r>
    </w:p>
    <w:p>
      <w:pPr>
        <w:pStyle w:val="ListParagraph"/>
        <w:numPr>
          <w:ilvl w:val="0"/>
          <w:numId w:val="2"/>
        </w:numPr>
      </w:pPr>
      <w:r>
        <w:rPr>
          <w:b/>
          <w:bCs/>
        </w:rPr>
        <w:t xml:space="preserve">Board Seat: </w:t>
      </w:r>
      <w:r>
        <w:t xml:space="preserve">1 investor-designated board member</w:t>
      </w:r>
    </w:p>
    <w:p>
      <w:pPr>
        <w:pStyle w:val="ListParagraph"/>
        <w:numPr>
          <w:ilvl w:val="0"/>
          <w:numId w:val="2"/>
        </w:numPr>
      </w:pPr>
      <w:r>
        <w:rPr>
          <w:b/>
          <w:bCs/>
        </w:rPr>
        <w:t xml:space="preserve">Founder Vesting: </w:t>
      </w:r>
      <w:r>
        <w:t xml:space="preserve">4-year vesting with 1-year cliff</w:t>
      </w:r>
    </w:p>
    <w:p>
      <w:pPr>
        <w:pStyle w:val="ListParagraph"/>
        <w:numPr>
          <w:ilvl w:val="0"/>
          <w:numId w:val="2"/>
        </w:numPr>
      </w:pPr>
      <w:r>
        <w:rPr>
          <w:b/>
          <w:bCs/>
        </w:rPr>
        <w:t xml:space="preserve">Milestone Structure: </w:t>
      </w:r>
      <w:r>
        <w:t xml:space="preserve">Staged releases tied to VP Mfg hire, FPGA demo, patent filings</w:t>
      </w:r>
    </w:p>
    <w:p>
      <w:pPr>
        <w:pStyle w:val="Heading1"/>
      </w:pPr>
      <w:r>
        <w:t xml:space="preserve">7. Critical Investment Conditions</w:t>
      </w:r>
    </w:p>
    <w:p>
      <w:pPr>
        <w:spacing w:after="200" w:line="360"/>
      </w:pPr>
      <w:r>
        <w:t xml:space="preserve">Investment is CONDITIONAL on the following milestones being achieved within specified timeframes:</w:t>
      </w:r>
    </w:p>
    <w:p>
      <w:pPr>
        <w:pStyle w:val="ListParagraph"/>
        <w:numPr>
          <w:ilvl w:val="0"/>
          <w:numId w:val="2"/>
        </w:numPr>
      </w:pPr>
      <w:r>
        <w:rPr>
          <w:b/>
          <w:bCs/>
        </w:rPr>
        <w:t xml:space="preserve">VP Manufacturing Hire (Day 60): </w:t>
      </w:r>
      <w:r>
        <w:t xml:space="preserve">MUST hire semiconductor executive with 5+ tape-out experience. $1M milestone release upon hire.</w:t>
      </w:r>
    </w:p>
    <w:p>
      <w:pPr>
        <w:pStyle w:val="ListParagraph"/>
        <w:numPr>
          <w:ilvl w:val="0"/>
          <w:numId w:val="2"/>
        </w:numPr>
      </w:pPr>
      <w:r>
        <w:rPr>
          <w:b/>
          <w:bCs/>
        </w:rPr>
        <w:t xml:space="preserve">SDK Publication (Day 60): </w:t>
      </w:r>
      <w:r>
        <w:t xml:space="preserve">Alpha version must be published to PyPI with working inference demonstration.</w:t>
      </w:r>
    </w:p>
    <w:p>
      <w:pPr>
        <w:pStyle w:val="ListParagraph"/>
        <w:numPr>
          <w:ilvl w:val="0"/>
          <w:numId w:val="2"/>
        </w:numPr>
      </w:pPr>
      <w:r>
        <w:rPr>
          <w:b/>
          <w:bCs/>
        </w:rPr>
        <w:t xml:space="preserve">Gate 0 FPGA Demo (Day 90): </w:t>
      </w:r>
      <w:r>
        <w:t xml:space="preserve">Demonstration of 25+ tok/s at &lt;5W on AMD KV260 platform.</w:t>
      </w:r>
    </w:p>
    <w:p>
      <w:pPr>
        <w:pStyle w:val="ListParagraph"/>
        <w:numPr>
          <w:ilvl w:val="0"/>
          <w:numId w:val="2"/>
        </w:numPr>
      </w:pPr>
      <w:r>
        <w:rPr>
          <w:b/>
          <w:bCs/>
        </w:rPr>
        <w:t xml:space="preserve">Patent Filings (Day 30): </w:t>
      </w:r>
      <w:r>
        <w:t xml:space="preserve">Three provisional patents filed for core IP protection.</w:t>
      </w:r>
    </w:p>
    <w:p>
      <w:pPr>
        <w:pStyle w:val="Heading1"/>
      </w:pPr>
      <w:r>
        <w:t xml:space="preserve">8. Investment Recommendation</w:t>
      </w:r>
    </w:p>
    <w:p>
      <w:pPr>
        <w:spacing w:after="200" w:line="360"/>
      </w:pPr>
      <w:r>
        <w:rPr>
          <w:b/>
          <w:bCs/>
          <w:color w:val="C19A6B"/>
        </w:rPr>
        <w:t xml:space="preserve">VERDICT: CONDITIONAL INVEST </w:t>
      </w:r>
      <w:r>
        <w:t xml:space="preserve">at $18-22M pre-money valuation.</w:t>
      </w:r>
    </w:p>
    <w:p>
      <w:pPr>
        <w:spacing w:after="200" w:line="360"/>
      </w:pPr>
      <w:r>
        <w:t xml:space="preserve">The Mask-Locked Inference Chip represents a genuine architectural innovation with clear market positioning. The technology is validated (TeLLMe FPGA reference), the market gap is real (no sub-$50 LLM edge hardware), and the strategic value to acquirers is demonstrable. The primary risk—execution capability—is addressable through the mandatory VP Manufacturing hire.</w:t>
      </w:r>
    </w:p>
    <w:p>
      <w:pPr>
        <w:spacing w:after="200" w:line="360"/>
      </w:pPr>
      <w:r>
        <w:t xml:space="preserve">The 12-18 month first-mover window creates urgency. Investment should proceed with staged milestone structure to protect capital while enabling rapid execution.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361"/>
        <w:sz w:val="20"/>
        <w:szCs w:val="20"/>
      </w:rPr>
      <w:t xml:space="preserve">SuperInstance.AI - Investment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3D37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2026-03-08T05:58:41.306Z</dcterms:created>
  <dcterms:modified xsi:type="dcterms:W3CDTF">2026-03-08T05:58:41.306Z</dcterms:modified>
</cp:coreProperties>
</file>

<file path=docProps/custom.xml><?xml version="1.0" encoding="utf-8"?>
<Properties xmlns="http://schemas.openxmlformats.org/officeDocument/2006/custom-properties" xmlns:vt="http://schemas.openxmlformats.org/officeDocument/2006/docPropsVTypes"/>
</file>