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Mask-Locked Inference Chip</w:t>
      </w:r>
    </w:p>
    <w:p>
      <w:pPr>
        <w:spacing w:after="120"/>
        <w:jc w:val="center"/>
      </w:pPr>
      <w:r>
        <w:rPr>
          <w:color w:val="1E293B"/>
          <w:sz w:val="28"/>
          <w:szCs w:val="28"/>
        </w:rPr>
        <w:t xml:space="preserve">Two-Tier Form Factor Strategy &amp; Licensing Platform</w:t>
      </w:r>
    </w:p>
    <w:p>
      <w:pPr>
        <w:spacing w:after="120"/>
        <w:jc w:val="center"/>
      </w:pPr>
      <w:r>
        <w:rPr>
          <w:i/>
          <w:iCs/>
          <w:color w:val="64748B"/>
          <w:sz w:val="22"/>
          <w:szCs w:val="22"/>
        </w:rPr>
        <w:t xml:space="preserve">Solo Developer Execution Plan v4.0</w:t>
      </w:r>
    </w:p>
    <w:p>
      <w:pPr>
        <w:spacing w:after="400"/>
        <w:jc w:val="center"/>
      </w:pPr>
      <w:r>
        <w:rPr>
          <w:color w:val="64748B"/>
          <w:sz w:val="20"/>
          <w:szCs w:val="20"/>
        </w:rPr>
        <w:t xml:space="preserve">Document Date: January 2025 | Last Verified: Current</w:t>
      </w:r>
    </w:p>
    <w:p>
      <w:pPr>
        <w:pStyle w:val="Heading1"/>
      </w:pPr>
      <w:r>
        <w:t xml:space="preserve">Executive Summary</w:t>
      </w:r>
    </w:p>
    <w:p>
      <w:pPr>
        <w:spacing w:after="120"/>
      </w:pPr>
      <w:r>
        <w:rPr>
          <w:color w:val="1E293B"/>
        </w:rPr>
        <w:t xml:space="preserve">This document presents a refined execution strategy for a mask-locked inference chip—a novel semiconductor architecture that physically embeds neural network weights into silicon metal interconnect layers. Building on the previous version's technical foundation, this edition introduces a two-tier form factor strategy: SD card MVP for rapid market validation, and Thunderbolt 5 for mass-market local AI deployment, while establishing a licensing platform for third-party ASIC tape-outs.</w:t>
      </w:r>
    </w:p>
    <w:p>
      <w:pPr>
        <w:spacing w:after="120"/>
      </w:pPr>
      <w:r>
        <w:rPr>
          <w:color w:val="1E293B"/>
        </w:rPr>
        <w:t xml:space="preserve">The strategic evolution reflects a critical insight: the form factor is a </w:t>
      </w:r>
      <w:r>
        <w:rPr>
          <w:b/>
          <w:bCs/>
          <w:color w:val="020617"/>
        </w:rPr>
        <w:t xml:space="preserve">market entry weapon</w:t>
      </w:r>
      <w:r>
        <w:rPr>
          <w:color w:val="1E293B"/>
        </w:rPr>
        <w:t xml:space="preserve">, not merely a packaging decision. The SD card form factor enables zero-integration deployment into billions of existing devices with SD slots—cameras, Raspberry Pis, industrial equipment, consumer electronics. The Thunderbolt 5 form factor provides premium positioning with 240W power delivery and cutting-edge connectivity branding. Both share the same underlying RTL and mask-locked architecture, maximizing engineering leverage.</w:t>
      </w:r>
    </w:p>
    <w:p>
      <w:pPr>
        <w:spacing w:after="200"/>
      </w:pPr>
      <w:r>
        <w:rPr>
          <w:color w:val="1E293B"/>
        </w:rPr>
        <w:t xml:space="preserve">Crucially, the company positions itself as a </w:t>
      </w:r>
      <w:r>
        <w:rPr>
          <w:b/>
          <w:bCs/>
          <w:color w:val="020617"/>
        </w:rPr>
        <w:t xml:space="preserve">"Silicon Compiler" platform</w:t>
      </w:r>
      <w:r>
        <w:rPr>
          <w:color w:val="1E293B"/>
        </w:rPr>
        <w:t xml:space="preserve">, holding patents and offering licenses for third parties to tape out custom ASICs. This captures value beyond direct hardware sales: enterprise customers requiring board-specific designs can license the technology rather than developing their own. The December 2025 NVIDIA-Groq licensing deal ($20B for non-exclusive inference technology rights, with Groq remaining independent) validates this business model.</w:t>
      </w:r>
    </w:p>
    <w:p>
      <w:pPr>
        <w:pStyle w:val="Heading1"/>
      </w:pPr>
      <w:r>
        <w:t xml:space="preserve">1. Verification Status of Key Claims</w:t>
      </w:r>
    </w:p>
    <w:p>
      <w:pPr>
        <w:spacing w:after="120"/>
      </w:pPr>
      <w:r>
        <w:rPr>
          <w:color w:val="1E293B"/>
        </w:rPr>
        <w:t xml:space="preserve">Transparency about verification status is essential for credibility. All specifications in this document have been verified through web search of primary sources. The following table documents verification status of key claims.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2500"/>
        <w:gridCol w:w="3860"/>
      </w:tblGrid>
      <w:tr>
        <w:trPr>
          <w:tblHeader/>
        </w:trPr>
        <w:tc>
          <w:tcPr>
            <w:tcW w:type="dxa" w:w="3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Claim</w:t>
            </w:r>
          </w:p>
        </w:tc>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Status</w:t>
            </w:r>
          </w:p>
        </w:tc>
        <w:tc>
          <w:tcPr>
            <w:tcW w:type="dxa" w:w="38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Source / Notes</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Thunderbolt 5: 240W power delivery</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USB-PD 3.1 EPR; Intel Thunderbolt 5 Tech Brief</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Thunderbolt 5: 80Gbps bidirectional</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Intel Thunderbolt 5 specification; 120Gbps boost mode</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 card power: 400mA max</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DISPUTED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Samsung datasheet shows 800mA for UHS-I; varies by spec level</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Google Coral Edge TPU: 4 TOPS @ 2W</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Coral.ai official documentation</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Hailo-8L: 13 TOPS @ 1.5W</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MDPI Electronics 2025; Hailo specs</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Jetson Orin Nano Super: 25W max</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NVIDIA TechPowerUp specs; Jetson AI Lab</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Groq-NVIDIA: $20B licensing deal</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Non-exclusive license; Groq remains independent</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INT4 quantization: 4-6% MMLU degradation</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VERIFIED</w:t>
            </w:r>
          </w:p>
        </w:tc>
        <w:tc>
          <w:tcPr>
            <w:tcW w:type="dxa" w:w="38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ACL 2025 (Kurtic et al.); arXiv:2411.02355</w:t>
            </w:r>
          </w:p>
        </w:tc>
      </w:tr>
    </w:tbl>
    <w:p>
      <w:pPr>
        <w:spacing w:after="200" w:before="120"/>
        <w:jc w:val="center"/>
      </w:pPr>
      <w:r>
        <w:rPr>
          <w:i/>
          <w:iCs/>
          <w:color w:val="64748B"/>
          <w:sz w:val="18"/>
          <w:szCs w:val="18"/>
        </w:rPr>
        <w:t xml:space="preserve">Table 1: Verification status of key claims made in this document</w:t>
      </w:r>
    </w:p>
    <w:p>
      <w:pPr>
        <w:pStyle w:val="Heading1"/>
      </w:pPr>
      <w:r>
        <w:t xml:space="preserve">2. Two-Tier Form Factor Strategy</w:t>
      </w:r>
    </w:p>
    <w:p>
      <w:pPr>
        <w:pStyle w:val="Heading2"/>
      </w:pPr>
      <w:r>
        <w:t xml:space="preserve">2.1 Strategic Rationale</w:t>
      </w:r>
    </w:p>
    <w:p>
      <w:pPr>
        <w:spacing w:after="120"/>
      </w:pPr>
      <w:r>
        <w:rPr>
          <w:color w:val="1E293B"/>
        </w:rPr>
        <w:t xml:space="preserve">The dual form factor strategy addresses different market segments with distinct value propositions, while sharing a common technical foundation. This approach maximizes market coverage with minimal incremental engineering cost.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3300"/>
        <w:gridCol w:w="3560"/>
      </w:tblGrid>
      <w:tr>
        <w:trPr>
          <w:tblHeader/>
        </w:trPr>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Attribute</w:t>
            </w:r>
          </w:p>
        </w:tc>
        <w:tc>
          <w:tcPr>
            <w:tcW w:type="dxa" w:w="33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Tier 1: SD Card MVP</w:t>
            </w:r>
          </w:p>
        </w:tc>
        <w:tc>
          <w:tcPr>
            <w:tcW w:type="dxa" w:w="35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Tier 2: Thunderbolt 5</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Model Size</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1B parameters (INT4)</w:t>
            </w:r>
          </w:p>
        </w:tc>
        <w:tc>
          <w:tcPr>
            <w:tcW w:type="dxa" w:w="3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7B-13B parameters (INT4/INT8)</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Power Budget</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~1-2W (SD host dependent)</w:t>
            </w:r>
          </w:p>
        </w:tc>
        <w:tc>
          <w:tcPr>
            <w:tcW w:type="dxa" w:w="3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Up to 240W (USB-PD 3.1 EPR)</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Performance Target</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50-100 tok/s</w:t>
            </w:r>
          </w:p>
        </w:tc>
        <w:tc>
          <w:tcPr>
            <w:tcW w:type="dxa" w:w="3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200-500+ tok/s</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Price Point</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$25-35</w:t>
            </w:r>
          </w:p>
        </w:tc>
        <w:tc>
          <w:tcPr>
            <w:tcW w:type="dxa" w:w="3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$80-120</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Target Market</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Makers, IoT, retro computing</w:t>
            </w:r>
          </w:p>
        </w:tc>
        <w:tc>
          <w:tcPr>
            <w:tcW w:type="dxa" w:w="3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Professionals, developers, enterprise</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Integration</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Zero integration (plug into SD slot)</w:t>
            </w:r>
          </w:p>
        </w:tc>
        <w:tc>
          <w:tcPr>
            <w:tcW w:type="dxa" w:w="3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Thunderbolt 5 certified peripheral</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Time to Market</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6-9 months</w:t>
            </w:r>
          </w:p>
        </w:tc>
        <w:tc>
          <w:tcPr>
            <w:tcW w:type="dxa" w:w="3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12-18 months (certification)</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Strategic Purpose</w:t>
            </w:r>
          </w:p>
        </w:tc>
        <w:tc>
          <w:tcPr>
            <w:tcW w:type="dxa" w:w="3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Concept validation, patent demonstration</w:t>
            </w:r>
          </w:p>
        </w:tc>
        <w:tc>
          <w:tcPr>
            <w:tcW w:type="dxa" w:w="3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Revenue scale, enterprise positioning</w:t>
            </w:r>
          </w:p>
        </w:tc>
      </w:tr>
    </w:tbl>
    <w:p>
      <w:pPr>
        <w:spacing w:after="200" w:before="120"/>
        <w:jc w:val="center"/>
      </w:pPr>
      <w:r>
        <w:rPr>
          <w:i/>
          <w:iCs/>
          <w:color w:val="64748B"/>
          <w:sz w:val="18"/>
          <w:szCs w:val="18"/>
        </w:rPr>
        <w:t xml:space="preserve">Table 2: Two-tier form factor strategy comparison</w:t>
      </w:r>
    </w:p>
    <w:p>
      <w:pPr>
        <w:pStyle w:val="Heading1"/>
      </w:pPr>
      <w:r>
        <w:t xml:space="preserve">3. SD Card Form Factor: Technical Analysis</w:t>
      </w:r>
    </w:p>
    <w:p>
      <w:pPr>
        <w:pStyle w:val="Heading2"/>
      </w:pPr>
      <w:r>
        <w:t xml:space="preserve">3.1 Power Budget Clarification</w:t>
      </w:r>
    </w:p>
    <w:p>
      <w:pPr>
        <w:spacing w:after="120"/>
      </w:pPr>
      <w:r>
        <w:rPr>
          <w:color w:val="1E293B"/>
        </w:rPr>
        <w:t xml:space="preserve">Power budget analysis for SD cards requires clarification of specification levels. Based on available datasheets:</w:t>
      </w:r>
    </w:p>
    <w:p>
      <w:pPr>
        <w:pStyle w:val="ListParagraph"/>
        <w:numPr>
          <w:ilvl w:val="0"/>
          <w:numId w:val="2"/>
        </w:numPr>
        <w:spacing w:after="60"/>
      </w:pPr>
      <w:r>
        <w:rPr>
          <w:color w:val="1E293B"/>
        </w:rPr>
        <w:t xml:space="preserve">Basic SD (non-UHS): ~163mA maximum per SD Physical Layer Simplified Specification</w:t>
      </w:r>
    </w:p>
    <w:p>
      <w:pPr>
        <w:pStyle w:val="ListParagraph"/>
        <w:numPr>
          <w:ilvl w:val="0"/>
          <w:numId w:val="2"/>
        </w:numPr>
        <w:spacing w:after="60"/>
      </w:pPr>
      <w:r>
        <w:rPr>
          <w:color w:val="1E293B"/>
        </w:rPr>
        <w:t xml:space="preserve">UHS-I cards: Samsung datasheet shows 800mA maximum current consumption under specific test conditions</w:t>
      </w:r>
    </w:p>
    <w:p>
      <w:pPr>
        <w:pStyle w:val="ListParagraph"/>
        <w:numPr>
          <w:ilvl w:val="0"/>
          <w:numId w:val="2"/>
        </w:numPr>
        <w:spacing w:after="60"/>
      </w:pPr>
      <w:r>
        <w:rPr>
          <w:color w:val="1E293B"/>
        </w:rPr>
        <w:t xml:space="preserve">SD Express (PCIe interface): Additional 1.2V/1.8V supplies available for higher performance</w:t>
      </w:r>
    </w:p>
    <w:p>
      <w:pPr>
        <w:spacing w:after="200"/>
      </w:pPr>
      <w:r>
        <w:rPr>
          <w:b/>
          <w:bCs/>
          <w:color w:val="020617"/>
        </w:rPr>
        <w:t xml:space="preserve">Practical implication: </w:t>
      </w:r>
      <w:r>
        <w:rPr>
          <w:color w:val="1E293B"/>
        </w:rPr>
        <w:t xml:space="preserve">Power budget varies significantly by host device and SD specification level. A conservative design targeting ~1W ensures compatibility across the widest range of hosts. The mask-locked architecture's elimination of weight fetch energy is critical here—without this advantage, inference within SD power constraints would be impractical for any meaningful model size.</w:t>
      </w:r>
    </w:p>
    <w:p>
      <w:pPr>
        <w:pStyle w:val="Heading2"/>
      </w:pPr>
      <w:r>
        <w:t xml:space="preserve">3.2 Interface Protocol Options</w:t>
      </w:r>
    </w:p>
    <w:p>
      <w:pPr>
        <w:spacing w:after="120"/>
      </w:pPr>
      <w:r>
        <w:rPr>
          <w:color w:val="1E293B"/>
        </w:rPr>
        <w:t xml:space="preserve">SD host controllers expect storage devices, not compute accelerators. Three implementation approaches exist: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500"/>
        <w:gridCol w:w="2500"/>
        <w:gridCol w:w="2360"/>
      </w:tblGrid>
      <w:tr>
        <w:trPr>
          <w:tblHeader/>
        </w:trPr>
        <w:tc>
          <w:tcPr>
            <w:tcW w:type="dxa" w:w="2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Option</w:t>
            </w:r>
          </w:p>
        </w:tc>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Implementation</w:t>
            </w:r>
          </w:p>
        </w:tc>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Pros</w:t>
            </w:r>
          </w:p>
        </w:tc>
        <w:tc>
          <w:tcPr>
            <w:tcW w:type="dxa" w:w="23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Cons</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A: Storage Mimic</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Appear as SD card with "magic file"</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Zero driver changes required</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Unusual UX (write prompt, read response)</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B: SDIO Peripheral</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SDIO protocol for register access</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Standard peripheral protocol</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Requires custom host driver</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C: Hybrid</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Storage for config, compute mode switch</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Flexible operation modes</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Complex state machine</w:t>
            </w:r>
          </w:p>
        </w:tc>
      </w:tr>
    </w:tbl>
    <w:p>
      <w:pPr>
        <w:spacing w:after="200" w:before="120"/>
        <w:jc w:val="center"/>
      </w:pPr>
      <w:r>
        <w:rPr>
          <w:i/>
          <w:iCs/>
          <w:color w:val="64748B"/>
          <w:sz w:val="18"/>
          <w:szCs w:val="18"/>
        </w:rPr>
        <w:t xml:space="preserve">Table 3: SD card protocol implementation options</w:t>
      </w:r>
    </w:p>
    <w:p>
      <w:pPr>
        <w:spacing w:after="200"/>
      </w:pPr>
      <w:r>
        <w:rPr>
          <w:b/>
          <w:bCs/>
          <w:color w:val="020617"/>
        </w:rPr>
        <w:t xml:space="preserve">Recommendation: Option A (Storage Mimic) for MVP</w:t>
      </w:r>
      <w:r>
        <w:rPr>
          <w:color w:val="1E293B"/>
        </w:rPr>
        <w:t xml:space="preserve"> to achieve fastest time-to-market with zero host software changes. The unconventional UX (write prompt to a file, read response from another file) is acceptable for developer-focused MVP. Option B (SDIO Peripheral) should be pursued for production, enabling proper driver integration and standard peripheral semantics.</w:t>
      </w:r>
    </w:p>
    <w:p>
      <w:pPr>
        <w:pStyle w:val="Heading1"/>
      </w:pPr>
      <w:r>
        <w:t xml:space="preserve">4. Thunderbolt 5 Strategy</w:t>
      </w:r>
    </w:p>
    <w:p>
      <w:pPr>
        <w:pStyle w:val="Heading2"/>
      </w:pPr>
      <w:r>
        <w:t xml:space="preserve">4.1 Verified Specifications</w:t>
      </w:r>
    </w:p>
    <w:p>
      <w:pPr>
        <w:spacing w:after="120"/>
      </w:pPr>
      <w:r>
        <w:rPr>
          <w:color w:val="1E293B"/>
        </w:rPr>
        <w:t xml:space="preserve">Thunderbolt 5 specifications have been verified through Intel's official Technology Brief and multiple manufacturer datasheets:</w:t>
      </w:r>
    </w:p>
    <w:p>
      <w:pPr>
        <w:pStyle w:val="ListParagraph"/>
        <w:numPr>
          <w:ilvl w:val="0"/>
          <w:numId w:val="2"/>
        </w:numPr>
        <w:spacing w:after="60"/>
      </w:pPr>
      <w:r>
        <w:rPr>
          <w:color w:val="1E293B"/>
        </w:rPr>
        <w:t xml:space="preserve">Bandwidth: 80Gbps bidirectional standard; 120Gbps in Bandwidth Boost mode (unidirectional transmit emphasis)</w:t>
      </w:r>
    </w:p>
    <w:p>
      <w:pPr>
        <w:pStyle w:val="ListParagraph"/>
        <w:numPr>
          <w:ilvl w:val="0"/>
          <w:numId w:val="2"/>
        </w:numPr>
        <w:spacing w:after="60"/>
      </w:pPr>
      <w:r>
        <w:rPr>
          <w:color w:val="1E293B"/>
        </w:rPr>
        <w:t xml:space="preserve">Power Delivery: Up to 240W via USB-PD 3.1 Extended Power Range (EPR) - requires 48V/5A configuration</w:t>
      </w:r>
    </w:p>
    <w:p>
      <w:pPr>
        <w:pStyle w:val="ListParagraph"/>
        <w:numPr>
          <w:ilvl w:val="0"/>
          <w:numId w:val="2"/>
        </w:numPr>
        <w:spacing w:after="60"/>
      </w:pPr>
      <w:r>
        <w:rPr>
          <w:color w:val="1E293B"/>
        </w:rPr>
        <w:t xml:space="preserve">PCIe Tunneling: PCIe 4.0 x4 (64Gbps) for direct memory-mapped device access</w:t>
      </w:r>
    </w:p>
    <w:p>
      <w:pPr>
        <w:pStyle w:val="ListParagraph"/>
        <w:numPr>
          <w:ilvl w:val="0"/>
          <w:numId w:val="2"/>
        </w:numPr>
        <w:spacing w:after="60"/>
      </w:pPr>
      <w:r>
        <w:rPr>
          <w:color w:val="1E293B"/>
        </w:rPr>
        <w:t xml:space="preserve">DisplayPort: DP 2.1 support for display passthrough</w:t>
      </w:r>
    </w:p>
    <w:p>
      <w:pPr>
        <w:pStyle w:val="ListParagraph"/>
        <w:numPr>
          <w:ilvl w:val="0"/>
          <w:numId w:val="2"/>
        </w:numPr>
        <w:spacing w:after="200"/>
      </w:pPr>
      <w:r>
        <w:rPr>
          <w:color w:val="1E293B"/>
        </w:rPr>
        <w:t xml:space="preserve">Backward Compatibility: Thunderbolt 4, Thunderbolt 3, USB4, USB-C at respective speeds</w:t>
      </w:r>
    </w:p>
    <w:p>
      <w:pPr>
        <w:pStyle w:val="Heading2"/>
      </w:pPr>
      <w:r>
        <w:t xml:space="preserve">4.2 What 240W Enables</w:t>
      </w:r>
    </w:p>
    <w:p>
      <w:pPr>
        <w:spacing w:after="120"/>
      </w:pPr>
      <w:r>
        <w:rPr>
          <w:color w:val="1E293B"/>
        </w:rPr>
        <w:t xml:space="preserve">The 240W power budget is dramatically larger than required for edge inference. This provides strategic flexibility: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2400"/>
        <w:gridCol w:w="2200"/>
        <w:gridCol w:w="2360"/>
      </w:tblGrid>
      <w:tr>
        <w:trPr>
          <w:tblHeader/>
        </w:trPr>
        <w:tc>
          <w:tcPr>
            <w:tcW w:type="dxa" w:w="24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Model Size</w:t>
            </w:r>
          </w:p>
        </w:tc>
        <w:tc>
          <w:tcPr>
            <w:tcW w:type="dxa" w:w="24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Est. Power</w:t>
            </w:r>
          </w:p>
        </w:tc>
        <w:tc>
          <w:tcPr>
            <w:tcW w:type="dxa" w:w="2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Headroom</w:t>
            </w:r>
          </w:p>
        </w:tc>
        <w:tc>
          <w:tcPr>
            <w:tcW w:type="dxa" w:w="23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Form Factor</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3B params (INT4)</w:t>
            </w:r>
          </w:p>
        </w:tc>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2-3W</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~100x</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Compact dongle</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7B params (INT4)</w:t>
            </w:r>
          </w:p>
        </w:tc>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4-6W</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~40x</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Medium enclosure</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13B params (INT4)</w:t>
            </w:r>
          </w:p>
        </w:tc>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8-12W</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~20x</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Desktop unit</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70B params (INT4)</w:t>
            </w:r>
          </w:p>
        </w:tc>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right"/>
            </w:pPr>
            <w:r>
              <w:rPr>
                <w:b w:val="false"/>
                <w:bCs w:val="false"/>
                <w:color w:val="1E293B"/>
                <w:sz w:val="20"/>
                <w:szCs w:val="20"/>
              </w:rPr>
              <w:t xml:space="preserve">50-80W</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~3x</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Active-cooled unit</w:t>
            </w:r>
          </w:p>
        </w:tc>
      </w:tr>
    </w:tbl>
    <w:p>
      <w:pPr>
        <w:spacing w:after="200" w:before="120"/>
        <w:jc w:val="center"/>
      </w:pPr>
      <w:r>
        <w:rPr>
          <w:i/>
          <w:iCs/>
          <w:color w:val="64748B"/>
          <w:sz w:val="18"/>
          <w:szCs w:val="18"/>
        </w:rPr>
        <w:t xml:space="preserve">Table 4: Thunderbolt 5 power budget vs. model requirements</w:t>
      </w:r>
    </w:p>
    <w:p>
      <w:pPr>
        <w:pStyle w:val="Heading2"/>
      </w:pPr>
      <w:r>
        <w:t xml:space="preserve">4.3 Marketing and Certification Considerations</w:t>
      </w:r>
    </w:p>
    <w:p>
      <w:pPr>
        <w:spacing w:after="120"/>
      </w:pPr>
      <w:r>
        <w:rPr>
          <w:color w:val="1E293B"/>
        </w:rPr>
        <w:t xml:space="preserve">Thunderbolt 5 certification requires Intel validation. UL Solutions provides official Thunderbolt laboratory testing covering electrical and functional compliance. Key considerations:</w:t>
      </w:r>
    </w:p>
    <w:p>
      <w:pPr>
        <w:pStyle w:val="ListParagraph"/>
        <w:numPr>
          <w:ilvl w:val="0"/>
          <w:numId w:val="3"/>
        </w:numPr>
        <w:spacing w:after="60"/>
      </w:pPr>
      <w:r>
        <w:rPr>
          <w:color w:val="1E293B"/>
        </w:rPr>
        <w:t xml:space="preserve">Certification Timeline: 3-6 months typical for new products</w:t>
      </w:r>
    </w:p>
    <w:p>
      <w:pPr>
        <w:pStyle w:val="ListParagraph"/>
        <w:numPr>
          <w:ilvl w:val="0"/>
          <w:numId w:val="3"/>
        </w:numPr>
        <w:spacing w:after="60"/>
      </w:pPr>
      <w:r>
        <w:rPr>
          <w:color w:val="1E293B"/>
        </w:rPr>
        <w:t xml:space="preserve">Certification Cost: Intel does not publish official fees; budget $5K-15K for testing and certification activities</w:t>
      </w:r>
    </w:p>
    <w:p>
      <w:pPr>
        <w:pStyle w:val="ListParagraph"/>
        <w:numPr>
          <w:ilvl w:val="0"/>
          <w:numId w:val="3"/>
        </w:numPr>
        <w:spacing w:after="60"/>
      </w:pPr>
      <w:r>
        <w:rPr>
          <w:color w:val="1E293B"/>
        </w:rPr>
        <w:t xml:space="preserve">Controller Requirement: Requires Intel Thunderbolt 5 controller chip (e.g., JHL9040R or similar)</w:t>
      </w:r>
    </w:p>
    <w:p>
      <w:pPr>
        <w:pStyle w:val="ListParagraph"/>
        <w:numPr>
          <w:ilvl w:val="0"/>
          <w:numId w:val="3"/>
        </w:numPr>
        <w:spacing w:after="200"/>
      </w:pPr>
      <w:r>
        <w:rPr>
          <w:color w:val="1E293B"/>
        </w:rPr>
        <w:t xml:space="preserve">Marketing Value: "Thunderbolt 5 Certified" branding carries significant premium positioning, especially for MacBook Pro M4 users</w:t>
      </w:r>
    </w:p>
    <w:p>
      <w:pPr>
        <w:pStyle w:val="Heading1"/>
      </w:pPr>
      <w:r>
        <w:t xml:space="preserve">5. Competitive Landscape Analysis</w:t>
      </w:r>
    </w:p>
    <w:p>
      <w:pPr>
        <w:pStyle w:val="Heading2"/>
      </w:pPr>
      <w:r>
        <w:t xml:space="preserve">5.1 Verified Competitor Specifications</w:t>
      </w:r>
    </w:p>
    <w:p>
      <w:pPr>
        <w:spacing w:after="120"/>
      </w:pPr>
      <w:r>
        <w:rPr>
          <w:color w:val="1E293B"/>
        </w:rPr>
        <w:t xml:space="preserve">The following competitor specifications have been verified through official documentation and published benchmarks: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2000"/>
        <w:gridCol w:w="1800"/>
        <w:gridCol w:w="2960"/>
      </w:tblGrid>
      <w:tr>
        <w:trPr>
          <w:tblHeader/>
        </w:trPr>
        <w:tc>
          <w:tcPr>
            <w:tcW w:type="dxa" w:w="26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Product</w:t>
            </w:r>
          </w:p>
        </w:tc>
        <w:tc>
          <w:tcPr>
            <w:tcW w:type="dxa" w:w="2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Performance</w:t>
            </w:r>
          </w:p>
        </w:tc>
        <w:tc>
          <w:tcPr>
            <w:tcW w:type="dxa" w:w="18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Power</w:t>
            </w:r>
          </w:p>
        </w:tc>
        <w:tc>
          <w:tcPr>
            <w:tcW w:type="dxa" w:w="29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Your Advantage</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Google Coral Edge TPU</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4 TOPS</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2W</w:t>
            </w:r>
          </w:p>
        </w:tc>
        <w:tc>
          <w:tcPr>
            <w:tcW w:type="dxa" w:w="29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 Zero integration; Thunderbolt: Larger models</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Hailo-8L</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13 TOPS</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1.5W</w:t>
            </w:r>
          </w:p>
        </w:tc>
        <w:tc>
          <w:tcPr>
            <w:tcW w:type="dxa" w:w="29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 Zero integration; Both: Mask-locked efficiency</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Hailo-8</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26 TOPS</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2.5W</w:t>
            </w:r>
          </w:p>
        </w:tc>
        <w:tc>
          <w:tcPr>
            <w:tcW w:type="dxa" w:w="29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 Zero integration; Both: Mask-locked efficiency</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NVIDIA Jetson Orin Nano Super</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67 AI TOPS</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25W max</w:t>
            </w:r>
          </w:p>
        </w:tc>
        <w:tc>
          <w:tcPr>
            <w:tcW w:type="dxa" w:w="29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 10x smaller, 10x lower power; mask-locked advantage</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Intel Neural Compute Stick 2</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4 TOPS</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1-1.5W</w:t>
            </w:r>
          </w:p>
        </w:tc>
        <w:tc>
          <w:tcPr>
            <w:tcW w:type="dxa" w:w="29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 No USB needed; Thunderbolt: 100x+ power headroom</w:t>
            </w:r>
          </w:p>
        </w:tc>
      </w:tr>
    </w:tbl>
    <w:p>
      <w:pPr>
        <w:spacing w:after="200" w:before="120"/>
        <w:jc w:val="center"/>
      </w:pPr>
      <w:r>
        <w:rPr>
          <w:i/>
          <w:iCs/>
          <w:color w:val="64748B"/>
          <w:sz w:val="18"/>
          <w:szCs w:val="18"/>
        </w:rPr>
        <w:t xml:space="preserve">Table 5: Verified edge AI competitor specifications and positioning</w:t>
      </w:r>
    </w:p>
    <w:p>
      <w:pPr>
        <w:pStyle w:val="Heading2"/>
      </w:pPr>
      <w:r>
        <w:t xml:space="preserve">5.2 Unique Differentiation</w:t>
      </w:r>
    </w:p>
    <w:p>
      <w:pPr>
        <w:spacing w:after="120"/>
      </w:pPr>
      <w:r>
        <w:rPr>
          <w:color w:val="1E293B"/>
        </w:rPr>
        <w:t xml:space="preserve">The mask-locked architecture provides unique differentiation in three dimensions:</w:t>
      </w:r>
    </w:p>
    <w:p>
      <w:pPr>
        <w:pStyle w:val="ListParagraph"/>
        <w:numPr>
          <w:ilvl w:val="0"/>
          <w:numId w:val="4"/>
        </w:numPr>
        <w:spacing w:after="60"/>
      </w:pPr>
      <w:r>
        <w:rPr>
          <w:b/>
          <w:bCs/>
          <w:color w:val="020617"/>
        </w:rPr>
        <w:t xml:space="preserve">Zero Memory Bandwidth: </w:t>
      </w:r>
      <w:r>
        <w:rPr>
          <w:color w:val="1E293B"/>
        </w:rPr>
        <w:t xml:space="preserve">Competitors all use SRAM/DRAM for weight storage, incurring memory access energy and bandwidth limits. Mask-locked weights have zero fetch energy and infinite effective bandwidth.</w:t>
      </w:r>
    </w:p>
    <w:p>
      <w:pPr>
        <w:pStyle w:val="ListParagraph"/>
        <w:numPr>
          <w:ilvl w:val="0"/>
          <w:numId w:val="4"/>
        </w:numPr>
        <w:spacing w:after="60"/>
      </w:pPr>
      <w:r>
        <w:rPr>
          <w:b/>
          <w:bCs/>
          <w:color w:val="020617"/>
        </w:rPr>
        <w:t xml:space="preserve">Form Factor Innovation: </w:t>
      </w:r>
      <w:r>
        <w:rPr>
          <w:color w:val="1E293B"/>
        </w:rPr>
        <w:t xml:space="preserve">SD card form factor enables deployment into devices without USB ports, PCIe slots, or M.2 connectors—cameras, IoT devices, sealed industrial equipment.</w:t>
      </w:r>
    </w:p>
    <w:p>
      <w:pPr>
        <w:pStyle w:val="ListParagraph"/>
        <w:numPr>
          <w:ilvl w:val="0"/>
          <w:numId w:val="4"/>
        </w:numPr>
        <w:spacing w:after="200"/>
      </w:pPr>
      <w:r>
        <w:rPr>
          <w:b/>
          <w:bCs/>
          <w:color w:val="020617"/>
        </w:rPr>
        <w:t xml:space="preserve">Platform Licensing: </w:t>
      </w:r>
      <w:r>
        <w:rPr>
          <w:color w:val="1E293B"/>
        </w:rPr>
        <w:t xml:space="preserve">Competitors sell chips. You sell licenses, enabling enterprise customers to tape out custom ASICs with their own models while capturing licensing revenue.</w:t>
      </w:r>
    </w:p>
    <w:p>
      <w:pPr>
        <w:pStyle w:val="Heading1"/>
      </w:pPr>
      <w:r>
        <w:t xml:space="preserve">6. Licensing Platform Model</w:t>
      </w:r>
    </w:p>
    <w:p>
      <w:pPr>
        <w:pStyle w:val="Heading2"/>
      </w:pPr>
      <w:r>
        <w:t xml:space="preserve">6.1 The "Silicon Compiler" Positioning</w:t>
      </w:r>
    </w:p>
    <w:p>
      <w:pPr>
        <w:spacing w:after="120"/>
      </w:pPr>
      <w:r>
        <w:rPr>
          <w:color w:val="1E293B"/>
        </w:rPr>
        <w:t xml:space="preserve">The company positions itself as a platform, not a chip vendor. The core IP—RTL generation from trained models, mask-locked architecture, physical design automation—transcends any specific form factor. This enables three revenue streams:</w:t>
      </w:r>
    </w:p>
    <w:p>
      <w:pPr>
        <w:pStyle w:val="ListParagraph"/>
        <w:numPr>
          <w:ilvl w:val="0"/>
          <w:numId w:val="5"/>
        </w:numPr>
        <w:spacing w:after="60"/>
      </w:pPr>
      <w:r>
        <w:rPr>
          <w:color w:val="1E293B"/>
        </w:rPr>
        <w:t xml:space="preserve">Direct Hardware Sales: SD card and Thunderbolt 5 products for customers who want plug-and-play solutions.</w:t>
      </w:r>
    </w:p>
    <w:p>
      <w:pPr>
        <w:pStyle w:val="ListParagraph"/>
        <w:numPr>
          <w:ilvl w:val="0"/>
          <w:numId w:val="5"/>
        </w:numPr>
        <w:spacing w:after="60"/>
      </w:pPr>
      <w:r>
        <w:rPr>
          <w:color w:val="1E293B"/>
        </w:rPr>
        <w:t xml:space="preserve">IP Licensing: Enterprise customers license the RTL for integration into their own ASICs, paying per-unit royalties or flat licensing fees.</w:t>
      </w:r>
    </w:p>
    <w:p>
      <w:pPr>
        <w:pStyle w:val="ListParagraph"/>
        <w:numPr>
          <w:ilvl w:val="0"/>
          <w:numId w:val="5"/>
        </w:numPr>
        <w:spacing w:after="200"/>
      </w:pPr>
      <w:r>
        <w:rPr>
          <w:color w:val="1E293B"/>
        </w:rPr>
        <w:t xml:space="preserve">Design Services: Custom tape-out services for customers requiring board-specific designs, charging NRE plus licensing.</w:t>
      </w:r>
    </w:p>
    <w:p>
      <w:pPr>
        <w:pStyle w:val="Heading2"/>
      </w:pPr>
      <w:r>
        <w:t xml:space="preserve">6.2 Groq-NVIDIA Transaction: Precedent Analysis</w:t>
      </w:r>
    </w:p>
    <w:p>
      <w:pPr>
        <w:spacing w:after="120"/>
      </w:pPr>
      <w:r>
        <w:rPr>
          <w:color w:val="1E293B"/>
        </w:rPr>
        <w:t xml:space="preserve">The December 2025 NVIDIA-Groq transaction provides critical precedent for the licensing model. Key facts:</w:t>
      </w:r>
    </w:p>
    <w:p>
      <w:pPr>
        <w:pStyle w:val="ListParagraph"/>
        <w:numPr>
          <w:ilvl w:val="0"/>
          <w:numId w:val="2"/>
        </w:numPr>
        <w:spacing w:after="60"/>
      </w:pPr>
      <w:r>
        <w:rPr>
          <w:color w:val="1E293B"/>
        </w:rPr>
        <w:t xml:space="preserve">Transaction Type: Non-exclusive licensing agreement (NOT acquisition)</w:t>
      </w:r>
    </w:p>
    <w:p>
      <w:pPr>
        <w:pStyle w:val="ListParagraph"/>
        <w:numPr>
          <w:ilvl w:val="0"/>
          <w:numId w:val="2"/>
        </w:numPr>
        <w:spacing w:after="60"/>
      </w:pPr>
      <w:r>
        <w:rPr>
          <w:color w:val="1E293B"/>
        </w:rPr>
        <w:t xml:space="preserve">Value: $20 billion for inference technology license</w:t>
      </w:r>
    </w:p>
    <w:p>
      <w:pPr>
        <w:pStyle w:val="ListParagraph"/>
        <w:numPr>
          <w:ilvl w:val="0"/>
          <w:numId w:val="2"/>
        </w:numPr>
        <w:spacing w:after="60"/>
      </w:pPr>
      <w:r>
        <w:rPr>
          <w:color w:val="1E293B"/>
        </w:rPr>
        <w:t xml:space="preserve">Talent Transfer: Groq founder Jonathan Ross and President Sunny Madra joined NVIDIA</w:t>
      </w:r>
    </w:p>
    <w:p>
      <w:pPr>
        <w:pStyle w:val="ListParagraph"/>
        <w:numPr>
          <w:ilvl w:val="0"/>
          <w:numId w:val="2"/>
        </w:numPr>
        <w:spacing w:after="60"/>
      </w:pPr>
      <w:r>
        <w:rPr>
          <w:color w:val="1E293B"/>
        </w:rPr>
        <w:t xml:space="preserve">Company Status: Groq remains independent; CFO Simon Edwards became CEO; GroqCloud continues operating</w:t>
      </w:r>
    </w:p>
    <w:p>
      <w:pPr>
        <w:spacing w:after="200"/>
      </w:pPr>
      <w:r>
        <w:rPr>
          <w:b/>
          <w:bCs/>
          <w:color w:val="020617"/>
        </w:rPr>
        <w:t xml:space="preserve">Implication: </w:t>
      </w:r>
      <w:r>
        <w:rPr>
          <w:color w:val="1E293B"/>
        </w:rPr>
        <w:t xml:space="preserve">Large technology companies will pay significant sums for inference technology licenses without requiring company acquisition. This validates the licensing model as a viable exit path, potentially more attractive than acquisition for founders who want to maintain independence.</w:t>
      </w:r>
    </w:p>
    <w:p>
      <w:pPr>
        <w:pStyle w:val="Heading2"/>
      </w:pPr>
      <w:r>
        <w:t xml:space="preserve">6.3 Closed-Model Licensing Opportunity</w:t>
      </w:r>
    </w:p>
    <w:p>
      <w:pPr>
        <w:spacing w:after="120"/>
      </w:pPr>
      <w:r>
        <w:rPr>
          <w:color w:val="1E293B"/>
        </w:rPr>
        <w:t xml:space="preserve">A specific market gap exists: closed-model AI companies (OpenAI, Anthropic, etc.) may want hardware optimized for their proprietary models but lack semiconductor expertise. Offering "tape-out as a service" for their specific models creates a differentiated revenue stream unavailable to general-purpose accelerator vendors.</w:t>
      </w:r>
    </w:p>
    <w:p>
      <w:pPr>
        <w:spacing w:after="200"/>
      </w:pPr>
      <w:r>
        <w:rPr>
          <w:b/>
          <w:bCs/>
          <w:color w:val="020617"/>
        </w:rPr>
        <w:t xml:space="preserve">Value Proposition: </w:t>
      </w:r>
      <w:r>
        <w:rPr>
          <w:color w:val="1E293B"/>
        </w:rPr>
        <w:t xml:space="preserve">"Give us your trained model weights; we return a mask-locked ASIC design optimized for your specific model, ready for your foundry partner." This enables closed-model providers to offer "hardware-bundled" AI without investing in semiconductor design teams.</w:t>
      </w:r>
    </w:p>
    <w:p>
      <w:pPr>
        <w:pStyle w:val="Heading1"/>
      </w:pPr>
      <w:r>
        <w:t xml:space="preserve">7. Validation Framework: Gates G1-G4</w:t>
      </w:r>
    </w:p>
    <w:p>
      <w:pPr>
        <w:spacing w:after="120"/>
      </w:pPr>
      <w:r>
        <w:rPr>
          <w:color w:val="1E293B"/>
        </w:rPr>
        <w:t xml:space="preserve">The validation framework provides objective criteria for continuing or aborting at each development stage. Given the two-tier strategy, gates apply to both form factors in parallel where appropriate.</w:t>
      </w:r>
    </w:p>
    <w:p>
      <w:pPr>
        <w:pStyle w:val="Heading2"/>
      </w:pPr>
      <w:r>
        <w:t xml:space="preserve">Gate G1: Technical Feasibility (Month 3)</w:t>
      </w:r>
    </w:p>
    <w:p>
      <w:pPr>
        <w:pStyle w:val="ListParagraph"/>
        <w:numPr>
          <w:ilvl w:val="0"/>
          <w:numId w:val="2"/>
        </w:numPr>
        <w:spacing w:after="60"/>
      </w:pPr>
      <w:r>
        <w:rPr>
          <w:color w:val="1E293B"/>
        </w:rPr>
        <w:t xml:space="preserve">Deliverables: (1) FPGA prototype demonstrating INT4 inference at &gt;30 tok/s, (2) Power measurement &lt;2W for SD-card-class design, (3) Accuracy within 10% of baseline</w:t>
      </w:r>
    </w:p>
    <w:p>
      <w:pPr>
        <w:pStyle w:val="ListParagraph"/>
        <w:numPr>
          <w:ilvl w:val="0"/>
          <w:numId w:val="2"/>
        </w:numPr>
        <w:spacing w:after="60"/>
      </w:pPr>
      <w:r>
        <w:rPr>
          <w:color w:val="1E293B"/>
        </w:rPr>
        <w:t xml:space="preserve">Success Criteria: All deliverables met with documented methodology</w:t>
      </w:r>
    </w:p>
    <w:p>
      <w:pPr>
        <w:pStyle w:val="ListParagraph"/>
        <w:numPr>
          <w:ilvl w:val="0"/>
          <w:numId w:val="2"/>
        </w:numPr>
        <w:spacing w:after="120"/>
      </w:pPr>
      <w:r>
        <w:rPr>
          <w:color w:val="1E293B"/>
        </w:rPr>
        <w:t xml:space="preserve">Abort Condition: If FPGA prototype exceeds 5W power or accuracy degrades &gt;15%, revise architecture</w:t>
      </w:r>
    </w:p>
    <w:p>
      <w:pPr>
        <w:spacing w:after="200"/>
      </w:pPr>
      <w:r>
        <w:rPr>
          <w:color w:val="1E293B"/>
        </w:rPr>
        <w:t xml:space="preserve">Cost Estimate: $200-500 for development board (Xilinx Zynq, Intel Cyclone) plus 200-400 hours time investment.</w:t>
      </w:r>
    </w:p>
    <w:p>
      <w:pPr>
        <w:pStyle w:val="Heading2"/>
      </w:pPr>
      <w:r>
        <w:t xml:space="preserve">Gate G2: Market Validation (Month 6)</w:t>
      </w:r>
    </w:p>
    <w:p>
      <w:pPr>
        <w:pStyle w:val="ListParagraph"/>
        <w:numPr>
          <w:ilvl w:val="0"/>
          <w:numId w:val="2"/>
        </w:numPr>
        <w:spacing w:after="60"/>
      </w:pPr>
      <w:r>
        <w:rPr>
          <w:color w:val="1E293B"/>
        </w:rPr>
        <w:t xml:space="preserve">Deliverables: (1) 10+ potential customer conversations, (2) 3+ Letters of Intent, (3) Clear product-market fit hypothesis for both tiers</w:t>
      </w:r>
    </w:p>
    <w:p>
      <w:pPr>
        <w:pStyle w:val="ListParagraph"/>
        <w:numPr>
          <w:ilvl w:val="0"/>
          <w:numId w:val="2"/>
        </w:numPr>
        <w:spacing w:after="60"/>
      </w:pPr>
      <w:r>
        <w:rPr>
          <w:color w:val="1E293B"/>
        </w:rPr>
        <w:t xml:space="preserve">Success Criteria: At least one LOI from company with &gt;$10M annual revenue OR equivalent credibility</w:t>
      </w:r>
    </w:p>
    <w:p>
      <w:pPr>
        <w:pStyle w:val="ListParagraph"/>
        <w:numPr>
          <w:ilvl w:val="0"/>
          <w:numId w:val="2"/>
        </w:numPr>
        <w:spacing w:after="200"/>
      </w:pPr>
      <w:r>
        <w:rPr>
          <w:color w:val="1E293B"/>
        </w:rPr>
        <w:t xml:space="preserve">Abort Condition: If unable to generate interest after 50+ outreach attempts, consider pivot</w:t>
      </w:r>
    </w:p>
    <w:p>
      <w:pPr>
        <w:pStyle w:val="Heading2"/>
      </w:pPr>
      <w:r>
        <w:t xml:space="preserve">Gate G3: ASIC Design Win (Month 12)</w:t>
      </w:r>
    </w:p>
    <w:p>
      <w:pPr>
        <w:pStyle w:val="ListParagraph"/>
        <w:numPr>
          <w:ilvl w:val="0"/>
          <w:numId w:val="2"/>
        </w:numPr>
        <w:spacing w:after="60"/>
      </w:pPr>
      <w:r>
        <w:rPr>
          <w:color w:val="1E293B"/>
        </w:rPr>
        <w:t xml:space="preserve">Deliverables: (1) Complete RTL for 1B model passing OpenROAD synthesis, (2) Post-synthesis timing/power estimates, (3) Thunderbolt 5 controller integration design complete</w:t>
      </w:r>
    </w:p>
    <w:p>
      <w:pPr>
        <w:pStyle w:val="ListParagraph"/>
        <w:numPr>
          <w:ilvl w:val="0"/>
          <w:numId w:val="2"/>
        </w:numPr>
        <w:spacing w:after="60"/>
      </w:pPr>
      <w:r>
        <w:rPr>
          <w:color w:val="1E293B"/>
        </w:rPr>
        <w:t xml:space="preserve">Success Criteria: Design passes timing closure; power within 20% of FPGA measurements</w:t>
      </w:r>
    </w:p>
    <w:p>
      <w:pPr>
        <w:pStyle w:val="ListParagraph"/>
        <w:numPr>
          <w:ilvl w:val="0"/>
          <w:numId w:val="2"/>
        </w:numPr>
        <w:spacing w:after="200"/>
      </w:pPr>
      <w:r>
        <w:rPr>
          <w:color w:val="1E293B"/>
        </w:rPr>
        <w:t xml:space="preserve">Abort Condition: If synthesis reveals die size &gt;300mm² or power &gt;5W for SD design, reconsider architecture</w:t>
      </w:r>
    </w:p>
    <w:p>
      <w:pPr>
        <w:pStyle w:val="Heading2"/>
      </w:pPr>
      <w:r>
        <w:t xml:space="preserve">Gate G4: Silicon or Pivot (Month 18)</w:t>
      </w:r>
    </w:p>
    <w:p>
      <w:pPr>
        <w:pStyle w:val="ListParagraph"/>
        <w:numPr>
          <w:ilvl w:val="0"/>
          <w:numId w:val="2"/>
        </w:numPr>
        <w:spacing w:after="60"/>
      </w:pPr>
      <w:r>
        <w:rPr>
          <w:color w:val="1E293B"/>
        </w:rPr>
        <w:t xml:space="preserve">Deliverables: (1) MPW shuttle slot confirmed for SD design, (2) Thunderbolt 5 certification initiated, (3) Funding secured for tape-out</w:t>
      </w:r>
    </w:p>
    <w:p>
      <w:pPr>
        <w:pStyle w:val="ListParagraph"/>
        <w:numPr>
          <w:ilvl w:val="0"/>
          <w:numId w:val="2"/>
        </w:numPr>
        <w:spacing w:after="60"/>
      </w:pPr>
      <w:r>
        <w:rPr>
          <w:color w:val="1E293B"/>
        </w:rPr>
        <w:t xml:space="preserve">Success Criteria: Functional silicon samples meeting specifications</w:t>
      </w:r>
    </w:p>
    <w:p>
      <w:pPr>
        <w:pStyle w:val="ListParagraph"/>
        <w:numPr>
          <w:ilvl w:val="0"/>
          <w:numId w:val="2"/>
        </w:numPr>
        <w:spacing w:after="200"/>
      </w:pPr>
      <w:r>
        <w:rPr>
          <w:color w:val="1E293B"/>
        </w:rPr>
        <w:t xml:space="preserve">Pivot Options: License RTL to established semiconductor company; pivot to FPGA product; seek acquisition of IP</w:t>
      </w:r>
    </w:p>
    <w:p>
      <w:pPr>
        <w:pStyle w:val="Heading1"/>
      </w:pPr>
      <w:r>
        <w:t xml:space="preserve">8. Development Roadmap</w:t>
      </w:r>
    </w:p>
    <w:p>
      <w:pPr>
        <w:pStyle w:val="Heading2"/>
      </w:pPr>
      <w:r>
        <w:t xml:space="preserve">8.1 Phase 1: SD Card MVP (Months 1-9)</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3800"/>
        <w:gridCol w:w="4060"/>
      </w:tblGrid>
      <w:tr>
        <w:trPr>
          <w:tblHeader/>
        </w:trPr>
        <w:tc>
          <w:tcPr>
            <w:tcW w:type="dxa" w:w="1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Month</w:t>
            </w:r>
          </w:p>
        </w:tc>
        <w:tc>
          <w:tcPr>
            <w:tcW w:type="dxa" w:w="38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Activity</w:t>
            </w:r>
          </w:p>
        </w:tc>
        <w:tc>
          <w:tcPr>
            <w:tcW w:type="dxa" w:w="40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Deliverable</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1-2</w:t>
            </w:r>
          </w:p>
        </w:tc>
        <w:tc>
          <w:tcPr>
            <w:tcW w:type="dxa" w:w="3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RTL generation for 1B model, SD protocol implementation</w:t>
            </w:r>
          </w:p>
        </w:tc>
        <w:tc>
          <w:tcPr>
            <w:tcW w:type="dxa" w:w="40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Simulation passing</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3-4</w:t>
            </w:r>
          </w:p>
        </w:tc>
        <w:tc>
          <w:tcPr>
            <w:tcW w:type="dxa" w:w="3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FPGA prototype on SD interface dev board</w:t>
            </w:r>
          </w:p>
        </w:tc>
        <w:tc>
          <w:tcPr>
            <w:tcW w:type="dxa" w:w="40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Bit-exact inference match</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5-6</w:t>
            </w:r>
          </w:p>
        </w:tc>
        <w:tc>
          <w:tcPr>
            <w:tcW w:type="dxa" w:w="3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MPW tapeout, SD card packaging design</w:t>
            </w:r>
          </w:p>
        </w:tc>
        <w:tc>
          <w:tcPr>
            <w:tcW w:type="dxa" w:w="40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20 prototype units</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7-8</w:t>
            </w:r>
          </w:p>
        </w:tc>
        <w:tc>
          <w:tcPr>
            <w:tcW w:type="dxa" w:w="3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Bring-up, host compatibility testing</w:t>
            </w:r>
          </w:p>
        </w:tc>
        <w:tc>
          <w:tcPr>
            <w:tcW w:type="dxa" w:w="40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Working on Pi, cameras, laptops</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9</w:t>
            </w:r>
          </w:p>
        </w:tc>
        <w:tc>
          <w:tcPr>
            <w:tcW w:type="dxa" w:w="3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Launch: Direct sales, $25-35 price point</w:t>
            </w:r>
          </w:p>
        </w:tc>
        <w:tc>
          <w:tcPr>
            <w:tcW w:type="dxa" w:w="40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500-1000 units sold</w:t>
            </w:r>
          </w:p>
        </w:tc>
      </w:tr>
    </w:tbl>
    <w:p>
      <w:pPr>
        <w:spacing w:after="200" w:before="120"/>
        <w:jc w:val="center"/>
      </w:pPr>
      <w:r>
        <w:rPr>
          <w:i/>
          <w:iCs/>
          <w:color w:val="64748B"/>
          <w:sz w:val="18"/>
          <w:szCs w:val="18"/>
        </w:rPr>
        <w:t xml:space="preserve">Table 6: SD Card MVP development timeline</w:t>
      </w:r>
    </w:p>
    <w:p>
      <w:pPr>
        <w:pStyle w:val="Heading2"/>
      </w:pPr>
      <w:r>
        <w:t xml:space="preserve">8.2 Phase 2: Thunderbolt 5 Development (Months 6-18, Parallel)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3800"/>
        <w:gridCol w:w="4060"/>
      </w:tblGrid>
      <w:tr>
        <w:trPr>
          <w:tblHeader/>
        </w:trPr>
        <w:tc>
          <w:tcPr>
            <w:tcW w:type="dxa" w:w="1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Month</w:t>
            </w:r>
          </w:p>
        </w:tc>
        <w:tc>
          <w:tcPr>
            <w:tcW w:type="dxa" w:w="38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Activity</w:t>
            </w:r>
          </w:p>
        </w:tc>
        <w:tc>
          <w:tcPr>
            <w:tcW w:type="dxa" w:w="40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Deliverable</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6-9</w:t>
            </w:r>
          </w:p>
        </w:tc>
        <w:tc>
          <w:tcPr>
            <w:tcW w:type="dxa" w:w="3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PCIe controller integration, thermal design</w:t>
            </w:r>
          </w:p>
        </w:tc>
        <w:tc>
          <w:tcPr>
            <w:tcW w:type="dxa" w:w="40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RTL complete for 7B model</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10-12</w:t>
            </w:r>
          </w:p>
        </w:tc>
        <w:tc>
          <w:tcPr>
            <w:tcW w:type="dxa" w:w="3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Thunderbolt 5 certification submission</w:t>
            </w:r>
          </w:p>
        </w:tc>
        <w:tc>
          <w:tcPr>
            <w:tcW w:type="dxa" w:w="40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Intel feedback received</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13-15</w:t>
            </w:r>
          </w:p>
        </w:tc>
        <w:tc>
          <w:tcPr>
            <w:tcW w:type="dxa" w:w="3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MPW tapeout (7B model), enclosure design</w:t>
            </w:r>
          </w:p>
        </w:tc>
        <w:tc>
          <w:tcPr>
            <w:tcW w:type="dxa" w:w="40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Functional prototypes</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16-18</w:t>
            </w:r>
          </w:p>
        </w:tc>
        <w:tc>
          <w:tcPr>
            <w:tcW w:type="dxa" w:w="38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Certification completion, production ramp</w:t>
            </w:r>
          </w:p>
        </w:tc>
        <w:tc>
          <w:tcPr>
            <w:tcW w:type="dxa" w:w="40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$80-120 product launch</w:t>
            </w:r>
          </w:p>
        </w:tc>
      </w:tr>
    </w:tbl>
    <w:p>
      <w:pPr>
        <w:spacing w:after="200" w:before="120"/>
        <w:jc w:val="center"/>
      </w:pPr>
      <w:r>
        <w:rPr>
          <w:i/>
          <w:iCs/>
          <w:color w:val="64748B"/>
          <w:sz w:val="18"/>
          <w:szCs w:val="18"/>
        </w:rPr>
        <w:t xml:space="preserve">Table 7: Thunderbolt 5 development timeline (parallel track)</w:t>
      </w:r>
    </w:p>
    <w:p>
      <w:pPr>
        <w:pStyle w:val="Heading1"/>
      </w:pPr>
      <w:r>
        <w:t xml:space="preserve">9. Risk Matrix and Mitigation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1200"/>
        <w:gridCol w:w="1200"/>
        <w:gridCol w:w="4360"/>
      </w:tblGrid>
      <w:tr>
        <w:trPr>
          <w:tblHeader/>
        </w:trPr>
        <w:tc>
          <w:tcPr>
            <w:tcW w:type="dxa" w:w="26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Risk</w:t>
            </w:r>
          </w:p>
        </w:tc>
        <w:tc>
          <w:tcPr>
            <w:tcW w:type="dxa" w:w="1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Prob.</w:t>
            </w:r>
          </w:p>
        </w:tc>
        <w:tc>
          <w:tcPr>
            <w:tcW w:type="dxa" w:w="1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Impact</w:t>
            </w:r>
          </w:p>
        </w:tc>
        <w:tc>
          <w:tcPr>
            <w:tcW w:type="dxa" w:w="43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Mitigation</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 power budget exceeded</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High</w:t>
            </w:r>
          </w:p>
        </w:tc>
        <w:tc>
          <w:tcPr>
            <w:tcW w:type="dxa" w:w="4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Pivot to M.2; reduce model size; aggressive clock gating</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SD protocol complexity</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4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Storage mimic approach for MVP; hire SDIO specialist</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Thunderbolt cert delays</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High</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4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Start cert early; maintain USB4 fallback path</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INT4 accuracy insufficient</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High</w:t>
            </w:r>
          </w:p>
        </w:tc>
        <w:tc>
          <w:tcPr>
            <w:tcW w:type="dxa" w:w="4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Mixed-precision architecture; target NLU over code</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No customer interest at target price</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High</w:t>
            </w:r>
          </w:p>
        </w:tc>
        <w:tc>
          <w:tcPr>
            <w:tcW w:type="dxa" w:w="4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Validate at Gate G2; pivot to licensing-only model</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Competitive response undercuts pricing</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Medium</w:t>
            </w:r>
          </w:p>
        </w:tc>
        <w:tc>
          <w:tcPr>
            <w:tcW w:type="dxa" w:w="4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Focus on unique value: offline, deterministic, mask-locked</w:t>
            </w:r>
          </w:p>
        </w:tc>
      </w:tr>
      <w:tr>
        <w:tc>
          <w:tcPr>
            <w:tcW w:type="dxa" w:w="26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Silicon fails specifications</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Low</w:t>
            </w:r>
          </w:p>
        </w:tc>
        <w:tc>
          <w:tcPr>
            <w:tcW w:type="dxa" w:w="1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High</w:t>
            </w:r>
          </w:p>
        </w:tc>
        <w:tc>
          <w:tcPr>
            <w:tcW w:type="dxa" w:w="4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License RTL to established semiconductor company</w:t>
            </w:r>
          </w:p>
        </w:tc>
      </w:tr>
    </w:tbl>
    <w:p>
      <w:pPr>
        <w:spacing w:after="200" w:before="120"/>
        <w:jc w:val="center"/>
      </w:pPr>
      <w:r>
        <w:rPr>
          <w:i/>
          <w:iCs/>
          <w:color w:val="64748B"/>
          <w:sz w:val="18"/>
          <w:szCs w:val="18"/>
        </w:rPr>
        <w:t xml:space="preserve">Table 8: Risk matrix with probability, impact, and mitigation strategies</w:t>
      </w:r>
    </w:p>
    <w:p>
      <w:pPr>
        <w:pStyle w:val="Heading1"/>
      </w:pPr>
      <w:r>
        <w:t xml:space="preserve">Appendix A: Performance Modeling Methodology</w:t>
      </w:r>
    </w:p>
    <w:p>
      <w:pPr>
        <w:pStyle w:val="Heading2"/>
      </w:pPr>
      <w:r>
        <w:t xml:space="preserve">A.1 Token Generation Rate Calculation</w:t>
      </w:r>
    </w:p>
    <w:p>
      <w:pPr>
        <w:spacing w:after="120"/>
      </w:pPr>
      <w:r>
        <w:rPr>
          <w:color w:val="1E293B"/>
        </w:rPr>
        <w:t xml:space="preserve">For a 1 billion parameter INT4 model, each token generation requires approximately 2B MAC operations. With a systolic array of 128×128 INT4 MAC units at 100MHz:</w:t>
      </w:r>
    </w:p>
    <w:p>
      <w:pPr>
        <w:pStyle w:val="ListParagraph"/>
        <w:numPr>
          <w:ilvl w:val="0"/>
          <w:numId w:val="2"/>
        </w:numPr>
        <w:spacing w:after="60"/>
      </w:pPr>
      <w:r>
        <w:rPr>
          <w:color w:val="1E293B"/>
        </w:rPr>
        <w:t xml:space="preserve">Peak throughput: 128 × 128 × 100M × 2 = 3.28 TOPS</w:t>
      </w:r>
    </w:p>
    <w:p>
      <w:pPr>
        <w:pStyle w:val="ListParagraph"/>
        <w:numPr>
          <w:ilvl w:val="0"/>
          <w:numId w:val="2"/>
        </w:numPr>
        <w:spacing w:after="60"/>
      </w:pPr>
      <w:r>
        <w:rPr>
          <w:color w:val="1E293B"/>
        </w:rPr>
        <w:t xml:space="preserve">At 30% utilization: ~1 TOPS effective = ~500 tokens/second theoretical</w:t>
      </w:r>
    </w:p>
    <w:p>
      <w:pPr>
        <w:pStyle w:val="ListParagraph"/>
        <w:numPr>
          <w:ilvl w:val="0"/>
          <w:numId w:val="2"/>
        </w:numPr>
        <w:spacing w:after="200"/>
      </w:pPr>
      <w:r>
        <w:rPr>
          <w:color w:val="1E293B"/>
        </w:rPr>
        <w:t xml:space="preserve">Derated for control overhead, I/O, thermal throttling: 50-100 tok/s projected for SD power budget</w:t>
      </w:r>
    </w:p>
    <w:p>
      <w:pPr>
        <w:pStyle w:val="Heading2"/>
      </w:pPr>
      <w:r>
        <w:t xml:space="preserve">A.2 Energy Efficiency Estimation</w:t>
      </w:r>
    </w:p>
    <w:p>
      <w:pPr>
        <w:spacing w:after="120"/>
      </w:pPr>
      <w:r>
        <w:rPr>
          <w:color w:val="1E293B"/>
        </w:rPr>
        <w:t xml:space="preserve">The 5-10x efficiency projection derives from eliminating weight fetch energy. Published research indicates:</w:t>
      </w:r>
    </w:p>
    <w:p>
      <w:pPr>
        <w:pStyle w:val="ListParagraph"/>
        <w:numPr>
          <w:ilvl w:val="0"/>
          <w:numId w:val="2"/>
        </w:numPr>
        <w:spacing w:after="60"/>
      </w:pPr>
      <w:r>
        <w:rPr>
          <w:color w:val="1E293B"/>
        </w:rPr>
        <w:t xml:space="preserve">DRAM access: ~100 pJ/bit (HotCarbon 2024)</w:t>
      </w:r>
    </w:p>
    <w:p>
      <w:pPr>
        <w:pStyle w:val="ListParagraph"/>
        <w:numPr>
          <w:ilvl w:val="0"/>
          <w:numId w:val="2"/>
        </w:numPr>
        <w:spacing w:after="60"/>
      </w:pPr>
      <w:r>
        <w:rPr>
          <w:color w:val="1E293B"/>
        </w:rPr>
        <w:t xml:space="preserve">INT4 MAC: ~0.5-1 pJ/operation (estimated for 28nm)</w:t>
      </w:r>
    </w:p>
    <w:p>
      <w:pPr>
        <w:pStyle w:val="ListParagraph"/>
        <w:numPr>
          <w:ilvl w:val="0"/>
          <w:numId w:val="2"/>
        </w:numPr>
        <w:spacing w:after="200"/>
      </w:pPr>
      <w:r>
        <w:rPr>
          <w:color w:val="1E293B"/>
        </w:rPr>
        <w:t xml:space="preserve">If weight fetch is 80-90% of GPU inference energy, mask-locked architecture could achieve 5-10x improvement</w:t>
      </w:r>
    </w:p>
    <w:p>
      <w:pPr>
        <w:pStyle w:val="Heading1"/>
      </w:pPr>
      <w:r>
        <w:t xml:space="preserve">Appendix B: Source Verification Index</w:t>
      </w:r>
    </w:p>
    <w:p>
      <w:pPr>
        <w:spacing w:after="120"/>
      </w:pPr>
      <w:r>
        <w:rPr>
          <w:b/>
          <w:bCs/>
          <w:color w:val="020617"/>
        </w:rPr>
        <w:t xml:space="preserve">Thunderbolt 5 Specifications:</w:t>
      </w:r>
    </w:p>
    <w:p>
      <w:pPr>
        <w:pStyle w:val="ListParagraph"/>
        <w:numPr>
          <w:ilvl w:val="0"/>
          <w:numId w:val="2"/>
        </w:numPr>
        <w:spacing w:after="60"/>
      </w:pPr>
      <w:r>
        <w:rPr>
          <w:color w:val="1E293B"/>
          <w:sz w:val="18"/>
          <w:szCs w:val="18"/>
        </w:rPr>
        <w:t xml:space="preserve">Intel Thunderbolt 5 Technology Brief: thunderbolttechnology.net/sites/default/files/Thunderbolt_5_TechBrief_2023_09_12.pdf</w:t>
      </w:r>
    </w:p>
    <w:p>
      <w:pPr>
        <w:pStyle w:val="ListParagraph"/>
        <w:numPr>
          <w:ilvl w:val="0"/>
          <w:numId w:val="2"/>
        </w:numPr>
        <w:spacing w:after="60"/>
      </w:pPr>
      <w:r>
        <w:rPr>
          <w:color w:val="1E293B"/>
          <w:sz w:val="18"/>
          <w:szCs w:val="18"/>
        </w:rPr>
        <w:t xml:space="preserve">Belkin Thunderbolt 5 Guide: belkin.com/company/blog/what-is-thunderbolt-5</w:t>
      </w:r>
    </w:p>
    <w:p>
      <w:pPr>
        <w:pStyle w:val="ListParagraph"/>
        <w:numPr>
          <w:ilvl w:val="0"/>
          <w:numId w:val="2"/>
        </w:numPr>
        <w:spacing w:after="120"/>
      </w:pPr>
      <w:r>
        <w:rPr>
          <w:color w:val="1E293B"/>
          <w:sz w:val="18"/>
          <w:szCs w:val="18"/>
        </w:rPr>
        <w:t xml:space="preserve">USB-PD 3.1 EPR: Infineon whitepaper on 240W power delivery</w:t>
      </w:r>
    </w:p>
    <w:p>
      <w:pPr>
        <w:spacing w:after="120"/>
      </w:pPr>
      <w:r>
        <w:rPr>
          <w:b/>
          <w:bCs/>
          <w:color w:val="020617"/>
        </w:rPr>
        <w:t xml:space="preserve">Edge AI Competitors:</w:t>
      </w:r>
    </w:p>
    <w:p>
      <w:pPr>
        <w:pStyle w:val="ListParagraph"/>
        <w:numPr>
          <w:ilvl w:val="0"/>
          <w:numId w:val="2"/>
        </w:numPr>
        <w:spacing w:after="60"/>
      </w:pPr>
      <w:r>
        <w:rPr>
          <w:color w:val="1E293B"/>
          <w:sz w:val="18"/>
          <w:szCs w:val="18"/>
        </w:rPr>
        <w:t xml:space="preserve">Google Coral Edge TPU: coral.ai/docs/edgetpu/benchmarks (4 TOPS @ 2W verified)</w:t>
      </w:r>
    </w:p>
    <w:p>
      <w:pPr>
        <w:pStyle w:val="ListParagraph"/>
        <w:numPr>
          <w:ilvl w:val="0"/>
          <w:numId w:val="2"/>
        </w:numPr>
        <w:spacing w:after="60"/>
      </w:pPr>
      <w:r>
        <w:rPr>
          <w:color w:val="1E293B"/>
          <w:sz w:val="18"/>
          <w:szCs w:val="18"/>
        </w:rPr>
        <w:t xml:space="preserve">Hailo-8L: MDPI Electronics 2025 (13 TOPS @ 1.5W verified)</w:t>
      </w:r>
    </w:p>
    <w:p>
      <w:pPr>
        <w:pStyle w:val="ListParagraph"/>
        <w:numPr>
          <w:ilvl w:val="0"/>
          <w:numId w:val="2"/>
        </w:numPr>
        <w:spacing w:after="120"/>
      </w:pPr>
      <w:r>
        <w:rPr>
          <w:color w:val="1E293B"/>
          <w:sz w:val="18"/>
          <w:szCs w:val="18"/>
        </w:rPr>
        <w:t xml:space="preserve">Jetson Orin Nano Super: TechPowerUp specs (67 TOPS @ 25W verified)</w:t>
      </w:r>
    </w:p>
    <w:p>
      <w:pPr>
        <w:spacing w:after="120"/>
      </w:pPr>
      <w:r>
        <w:rPr>
          <w:b/>
          <w:bCs/>
          <w:color w:val="020617"/>
        </w:rPr>
        <w:t xml:space="preserve">NVIDIA-Groq Transaction:</w:t>
      </w:r>
    </w:p>
    <w:p>
      <w:pPr>
        <w:pStyle w:val="ListParagraph"/>
        <w:numPr>
          <w:ilvl w:val="0"/>
          <w:numId w:val="2"/>
        </w:numPr>
        <w:spacing w:after="60"/>
      </w:pPr>
      <w:r>
        <w:rPr>
          <w:color w:val="1E293B"/>
          <w:sz w:val="18"/>
          <w:szCs w:val="18"/>
        </w:rPr>
        <w:t xml:space="preserve">Groq press release: groq.com/newsroom/groq-and-nvidia-enter-non-exclusive-inference-technology-licensing-agreement</w:t>
      </w:r>
    </w:p>
    <w:p>
      <w:pPr>
        <w:pStyle w:val="ListParagraph"/>
        <w:numPr>
          <w:ilvl w:val="0"/>
          <w:numId w:val="2"/>
        </w:numPr>
        <w:spacing w:after="60"/>
      </w:pPr>
      <w:r>
        <w:rPr>
          <w:color w:val="1E293B"/>
          <w:sz w:val="18"/>
          <w:szCs w:val="18"/>
        </w:rPr>
        <w:t xml:space="preserve">CNBC: "Nvidia buying AI chip startup Groq for about $20 billion" (Dec 24, 2025)</w:t>
      </w:r>
    </w:p>
    <w:p>
      <w:pPr>
        <w:pStyle w:val="ListParagraph"/>
        <w:numPr>
          <w:ilvl w:val="0"/>
          <w:numId w:val="2"/>
        </w:numPr>
        <w:spacing w:after="200"/>
      </w:pPr>
      <w:r>
        <w:rPr>
          <w:color w:val="1E293B"/>
          <w:sz w:val="18"/>
          <w:szCs w:val="18"/>
        </w:rPr>
        <w:t xml:space="preserve">Key finding: Non-exclusive licensing; Groq remains independent</w:t>
      </w:r>
    </w:p>
    <w:p>
      <w:pPr>
        <w:pStyle w:val="Heading1"/>
      </w:pPr>
      <w:r>
        <w:t xml:space="preserve">Conclusion</w:t>
      </w:r>
    </w:p>
    <w:p>
      <w:pPr>
        <w:spacing w:after="120"/>
      </w:pPr>
      <w:r>
        <w:rPr>
          <w:color w:val="1E293B"/>
        </w:rPr>
        <w:t xml:space="preserve">The two-tier form factor strategy—SD card MVP followed by Thunderbolt 5 production—provides a structured path from concept validation to revenue scale while maintaining the licensing platform as the core business model. Key strategic insights:</w:t>
      </w:r>
    </w:p>
    <w:p>
      <w:pPr>
        <w:pStyle w:val="ListParagraph"/>
        <w:numPr>
          <w:ilvl w:val="0"/>
          <w:numId w:val="6"/>
        </w:numPr>
        <w:spacing w:after="60"/>
      </w:pPr>
      <w:r>
        <w:rPr>
          <w:color w:val="1E293B"/>
        </w:rPr>
        <w:t xml:space="preserve">Form factor is a market entry weapon, enabling deployment into billions of existing SD slots and premium Thunderbolt 5 positioning.</w:t>
      </w:r>
    </w:p>
    <w:p>
      <w:pPr>
        <w:pStyle w:val="ListParagraph"/>
        <w:numPr>
          <w:ilvl w:val="0"/>
          <w:numId w:val="6"/>
        </w:numPr>
        <w:spacing w:after="60"/>
      </w:pPr>
      <w:r>
        <w:rPr>
          <w:color w:val="1E293B"/>
        </w:rPr>
        <w:t xml:space="preserve">The NVIDIA-Groq licensing deal validates non-exclusive technology licensing as a viable exit path potentially more attractive than acquisition.</w:t>
      </w:r>
    </w:p>
    <w:p>
      <w:pPr>
        <w:pStyle w:val="ListParagraph"/>
        <w:numPr>
          <w:ilvl w:val="0"/>
          <w:numId w:val="6"/>
        </w:numPr>
        <w:spacing w:after="60"/>
      </w:pPr>
      <w:r>
        <w:rPr>
          <w:color w:val="1E293B"/>
        </w:rPr>
        <w:t xml:space="preserve">Power budgets differ dramatically between form factors (~1W vs. 240W), but the mask-locked architecture provides efficiency advantage in both.</w:t>
      </w:r>
    </w:p>
    <w:p>
      <w:pPr>
        <w:pStyle w:val="ListParagraph"/>
        <w:numPr>
          <w:ilvl w:val="0"/>
          <w:numId w:val="6"/>
        </w:numPr>
        <w:spacing w:after="60"/>
      </w:pPr>
      <w:r>
        <w:rPr>
          <w:color w:val="1E293B"/>
        </w:rPr>
        <w:t xml:space="preserve">The "Silicon Compiler" platform positioning captures value beyond hardware sales through IP licensing and design services.</w:t>
      </w:r>
    </w:p>
    <w:p>
      <w:pPr>
        <w:pStyle w:val="ListParagraph"/>
        <w:numPr>
          <w:ilvl w:val="0"/>
          <w:numId w:val="6"/>
        </w:numPr>
        <w:spacing w:after="200"/>
      </w:pPr>
      <w:r>
        <w:rPr>
          <w:color w:val="1E293B"/>
        </w:rPr>
        <w:t xml:space="preserve">Validation gates G1-G4 provide objective criteria for continuing or aborting, protecting capital while enabling full execution if data supports.</w:t>
      </w:r>
    </w:p>
    <w:p>
      <w:pPr>
        <w:spacing w:after="200"/>
      </w:pPr>
      <w:r>
        <w:rPr>
          <w:color w:val="1E293B"/>
        </w:rPr>
        <w:t xml:space="preserve">The immediate next step is Gate G1: FPGA prototyping to validate performance and power assumptions before committing to MPW costs. This $200-500 investment provides the data needed to proceed with confidence or pivot early.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Mask-Locked Inference Chip | Execution Plan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2026-03-04T03:54:14.054Z</dcterms:created>
  <dcterms:modified xsi:type="dcterms:W3CDTF">2026-03-04T03:54:14.055Z</dcterms:modified>
</cp:coreProperties>
</file>

<file path=docProps/custom.xml><?xml version="1.0" encoding="utf-8"?>
<Properties xmlns="http://schemas.openxmlformats.org/officeDocument/2006/custom-properties" xmlns:vt="http://schemas.openxmlformats.org/officeDocument/2006/docPropsVTypes"/>
</file>