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Mask-Locked Inference Chip</w:t>
      </w:r>
    </w:p>
    <w:p>
      <w:pPr>
        <w:spacing w:after="120"/>
        <w:jc w:val="center"/>
      </w:pPr>
      <w:r>
        <w:rPr>
          <w:color w:val="1E293B"/>
          <w:sz w:val="28"/>
          <w:szCs w:val="28"/>
        </w:rPr>
        <w:t xml:space="preserve">Verified Execution Plan v5.0</w:t>
      </w:r>
    </w:p>
    <w:p>
      <w:pPr>
        <w:spacing w:after="120"/>
        <w:jc w:val="center"/>
      </w:pPr>
      <w:r>
        <w:rPr>
          <w:i/>
          <w:iCs/>
          <w:color w:val="059669"/>
          <w:sz w:val="22"/>
          <w:szCs w:val="22"/>
        </w:rPr>
        <w:t xml:space="preserve">All Claims Verified Through Primary Sources</w:t>
      </w:r>
    </w:p>
    <w:p>
      <w:pPr>
        <w:spacing w:after="400"/>
        <w:jc w:val="center"/>
      </w:pPr>
      <w:r>
        <w:rPr>
          <w:color w:val="64748B"/>
          <w:sz w:val="20"/>
          <w:szCs w:val="20"/>
        </w:rPr>
        <w:t xml:space="preserve">Research Document | January 2025</w:t>
      </w:r>
    </w:p>
    <w:p>
      <w:pPr>
        <w:pStyle w:val="Heading1"/>
      </w:pPr>
      <w:r>
        <w:t xml:space="preserve">Executive Summary</w:t>
      </w:r>
    </w:p>
    <w:p>
      <w:pPr>
        <w:spacing w:after="120"/>
      </w:pPr>
      <w:r>
        <w:rPr>
          <w:color w:val="1E293B"/>
        </w:rPr>
        <w:t xml:space="preserve">This document presents a corrected and verified execution plan for developing mask-locked inference chips—semiconductors that physically embed neural network weights into silicon metal layers, eliminating memory bandwidth constraints. Following critical review of v4.0, this version corrects factual errors, adds missing financial specifications, and provides realistic timelines for a solo developer.</w:t>
      </w:r>
    </w:p>
    <w:p>
      <w:pPr>
        <w:spacing w:after="120"/>
      </w:pPr>
      <w:r>
        <w:rPr>
          <w:b/>
          <w:bCs/>
          <w:color w:val="020617"/>
        </w:rPr>
        <w:t xml:space="preserve">Key corrections from v4.0:</w:t>
      </w:r>
    </w:p>
    <w:p>
      <w:pPr>
        <w:pStyle w:val="ListParagraph"/>
        <w:numPr>
          <w:ilvl w:val="0"/>
          <w:numId w:val="2"/>
        </w:numPr>
        <w:spacing w:after="60"/>
      </w:pPr>
      <w:r>
        <w:rPr>
          <w:b/>
          <w:bCs/>
        </w:rPr>
        <w:t xml:space="preserve">SD Card Power: </w:t>
      </w:r>
      <w:r>
        <w:rPr>
          <w:color w:val="1E293B"/>
        </w:rPr>
        <w:t xml:space="preserve">Corrected from "800mA/2.6W" to verified 400mA/∼1.3W per SanDisk Industrial datasheet</w:t>
      </w:r>
    </w:p>
    <w:p>
      <w:pPr>
        <w:pStyle w:val="ListParagraph"/>
        <w:numPr>
          <w:ilvl w:val="0"/>
          <w:numId w:val="2"/>
        </w:numPr>
        <w:spacing w:after="60"/>
      </w:pPr>
      <w:r>
        <w:rPr>
          <w:b/>
          <w:bCs/>
        </w:rPr>
        <w:t xml:space="preserve">Groq-NVIDIA Deal: </w:t>
      </w:r>
      <w:r>
        <w:rPr>
          <w:color w:val="1E293B"/>
        </w:rPr>
        <w:t xml:space="preserve">Clarified as hybrid license + acquihire structure (not pure acquisition OR pure licensing)</w:t>
      </w:r>
    </w:p>
    <w:p>
      <w:pPr>
        <w:pStyle w:val="ListParagraph"/>
        <w:numPr>
          <w:ilvl w:val="0"/>
          <w:numId w:val="2"/>
        </w:numPr>
        <w:spacing w:after="60"/>
      </w:pPr>
      <w:r>
        <w:rPr>
          <w:b/>
          <w:bCs/>
        </w:rPr>
        <w:t xml:space="preserve">Added Raspberry Pi HAT: </w:t>
      </w:r>
      <w:r>
        <w:rPr>
          <w:color w:val="1E293B"/>
        </w:rPr>
        <w:t xml:space="preserve">Parallel path with 5W power budget vs. 1W for SD card</w:t>
      </w:r>
    </w:p>
    <w:p>
      <w:pPr>
        <w:pStyle w:val="ListParagraph"/>
        <w:numPr>
          <w:ilvl w:val="0"/>
          <w:numId w:val="2"/>
        </w:numPr>
        <w:spacing w:after="60"/>
      </w:pPr>
      <w:r>
        <w:rPr>
          <w:b/>
          <w:bCs/>
        </w:rPr>
        <w:t xml:space="preserve">Financial Specificity: </w:t>
      </w:r>
      <w:r>
        <w:rPr>
          <w:color w:val="1E293B"/>
        </w:rPr>
        <w:t xml:space="preserve">Added COGS, capital requirements, and realistic revenue projections</w:t>
      </w:r>
    </w:p>
    <w:p>
      <w:pPr>
        <w:pStyle w:val="ListParagraph"/>
        <w:numPr>
          <w:ilvl w:val="0"/>
          <w:numId w:val="2"/>
        </w:numPr>
        <w:spacing w:after="200"/>
      </w:pPr>
      <w:r>
        <w:rPr>
          <w:b/>
          <w:bCs/>
        </w:rPr>
        <w:t xml:space="preserve">Pre-Order Gate: </w:t>
      </w:r>
      <w:r>
        <w:rPr>
          <w:color w:val="1E293B"/>
        </w:rPr>
        <w:t xml:space="preserve">New validation gate requiring customer cash before MPW commitment</w:t>
      </w:r>
    </w:p>
    <w:p>
      <w:pPr>
        <w:pStyle w:val="Heading1"/>
      </w:pPr>
      <w:r>
        <w:t xml:space="preserve">1. Verified Claims and Sources</w:t>
      </w:r>
    </w:p>
    <w:p>
      <w:pPr>
        <w:pStyle w:val="Heading2"/>
      </w:pPr>
      <w:r>
        <w:t xml:space="preserve">1.1 SD Card Power Specification (CORRECTED)</w:t>
      </w:r>
    </w:p>
    <w:p>
      <w:pPr>
        <w:spacing w:after="120"/>
      </w:pPr>
      <w:r>
        <w:rPr>
          <w:b/>
          <w:bCs/>
          <w:color w:val="B45309"/>
        </w:rPr>
        <w:t xml:space="preserve">Previous Error: </w:t>
      </w:r>
      <w:r>
        <w:rPr>
          <w:color w:val="1E293B"/>
        </w:rPr>
        <w:t xml:space="preserve">v4.0 claimed "Samsung datasheet shows 800mA" enabling ~2.6W power budget.</w:t>
      </w:r>
    </w:p>
    <w:p>
      <w:pPr>
        <w:spacing w:after="120"/>
      </w:pPr>
      <w:r>
        <w:rPr>
          <w:b/>
          <w:bCs/>
          <w:color w:val="059669"/>
        </w:rPr>
        <w:t xml:space="preserve">Verified Reality: </w:t>
      </w:r>
      <w:r>
        <w:rPr>
          <w:color w:val="1E293B"/>
        </w:rPr>
        <w:t xml:space="preserve">SanDisk Industrial microSD Datasheet and GOODRAM Industrial datasheet both specify: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3200"/>
        <w:gridCol w:w="3160"/>
      </w:tblGrid>
      <w:tr>
        <w:trPr>
          <w:tblHeader/>
        </w:trPr>
        <w:tc>
          <w:tcPr>
            <w:tcW w:type="dxa" w:w="30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Mode</w:t>
            </w:r>
          </w:p>
        </w:tc>
        <w:tc>
          <w:tcPr>
            <w:tcW w:type="dxa" w:w="32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Current</w:t>
            </w:r>
          </w:p>
        </w:tc>
        <w:tc>
          <w:tcPr>
            <w:tcW w:type="dxa" w:w="31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Power @ 3.3V</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Power Up</w:t>
            </w:r>
          </w:p>
        </w:tc>
        <w:tc>
          <w:tcPr>
            <w:tcW w:type="dxa" w:w="3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&lt; 250µA</w:t>
            </w:r>
          </w:p>
        </w:tc>
        <w:tc>
          <w:tcPr>
            <w:tcW w:type="dxa" w:w="31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&lt; 0.8mW</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Standby</w:t>
            </w:r>
          </w:p>
        </w:tc>
        <w:tc>
          <w:tcPr>
            <w:tcW w:type="dxa" w:w="3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&lt; 1000µA</w:t>
            </w:r>
          </w:p>
        </w:tc>
        <w:tc>
          <w:tcPr>
            <w:tcW w:type="dxa" w:w="31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&lt; 3.3mW</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Read (UHS-I)</w:t>
            </w:r>
          </w:p>
        </w:tc>
        <w:tc>
          <w:tcPr>
            <w:tcW w:type="dxa" w:w="3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&lt; 400mA</w:t>
            </w:r>
          </w:p>
        </w:tc>
        <w:tc>
          <w:tcPr>
            <w:tcW w:type="dxa" w:w="31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&lt; 1.32W</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Write (UHS-I)</w:t>
            </w:r>
          </w:p>
        </w:tc>
        <w:tc>
          <w:tcPr>
            <w:tcW w:type="dxa" w:w="3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&lt; 400mA</w:t>
            </w:r>
          </w:p>
        </w:tc>
        <w:tc>
          <w:tcPr>
            <w:tcW w:type="dxa" w:w="31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&lt; 1.32W</w:t>
            </w:r>
          </w:p>
        </w:tc>
      </w:tr>
    </w:tbl>
    <w:p>
      <w:pPr>
        <w:spacing w:after="200" w:before="120"/>
        <w:jc w:val="center"/>
      </w:pPr>
      <w:r>
        <w:rPr>
          <w:i/>
          <w:iCs/>
          <w:color w:val="64748B"/>
          <w:sz w:val="18"/>
          <w:szCs w:val="18"/>
        </w:rPr>
        <w:t xml:space="preserve">Table 1: SD card power specifications verified from SanDisk Industrial and GOODRAM datasheets</w:t>
      </w:r>
    </w:p>
    <w:p>
      <w:pPr>
        <w:spacing w:after="200"/>
      </w:pPr>
      <w:r>
        <w:rPr>
          <w:b/>
          <w:bCs/>
          <w:color w:val="020617"/>
        </w:rPr>
        <w:t xml:space="preserve">Design Impact: </w:t>
      </w:r>
      <w:r>
        <w:rPr>
          <w:color w:val="1E293B"/>
        </w:rPr>
        <w:t xml:space="preserve">Target 1W maximum (0.8W typical) for SD tier. This constrains model size to 500M-1B parameters at INT4, not the 1B+ claimed in v4.0. Conservative thermal budget for hosts like Raspberry Pi (3.3V rail limited).</w:t>
      </w:r>
    </w:p>
    <w:p>
      <w:pPr>
        <w:pStyle w:val="Heading2"/>
      </w:pPr>
      <w:r>
        <w:t xml:space="preserve">1.2 Raspberry Pi HAT Power (NEW)</w:t>
      </w:r>
    </w:p>
    <w:p>
      <w:pPr>
        <w:spacing w:after="120"/>
      </w:pPr>
      <w:r>
        <w:rPr>
          <w:color w:val="1E293B"/>
        </w:rPr>
        <w:t xml:space="preserve">The Raspberry Pi 40-pin GPIO header provides significantly more power than SD card slot: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000"/>
        <w:gridCol w:w="3200"/>
        <w:gridCol w:w="3160"/>
      </w:tblGrid>
      <w:tr>
        <w:trPr>
          <w:tblHeader/>
        </w:trPr>
        <w:tc>
          <w:tcPr>
            <w:tcW w:type="dxa" w:w="30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Power Rail</w:t>
            </w:r>
          </w:p>
        </w:tc>
        <w:tc>
          <w:tcPr>
            <w:tcW w:type="dxa" w:w="32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Available Current</w:t>
            </w:r>
          </w:p>
        </w:tc>
        <w:tc>
          <w:tcPr>
            <w:tcW w:type="dxa" w:w="31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Power Available</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5V Pin (GPIO)</w:t>
            </w:r>
          </w:p>
        </w:tc>
        <w:tc>
          <w:tcPr>
            <w:tcW w:type="dxa" w:w="3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1-1.5A safe</w:t>
            </w:r>
          </w:p>
        </w:tc>
        <w:tc>
          <w:tcPr>
            <w:tcW w:type="dxa" w:w="31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5-7.5W</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3.3V Pin (GPIO)</w:t>
            </w:r>
          </w:p>
        </w:tc>
        <w:tc>
          <w:tcPr>
            <w:tcW w:type="dxa" w:w="3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~50mA total</w:t>
            </w:r>
          </w:p>
        </w:tc>
        <w:tc>
          <w:tcPr>
            <w:tcW w:type="dxa" w:w="31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~0.17W</w:t>
            </w:r>
          </w:p>
        </w:tc>
      </w:tr>
      <w:tr>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Official PSU (Pi 5)</w:t>
            </w:r>
          </w:p>
        </w:tc>
        <w:tc>
          <w:tcPr>
            <w:tcW w:type="dxa" w:w="3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5A @ 5.1V</w:t>
            </w:r>
          </w:p>
        </w:tc>
        <w:tc>
          <w:tcPr>
            <w:tcW w:type="dxa" w:w="31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27W total system</w:t>
            </w:r>
          </w:p>
        </w:tc>
      </w:tr>
    </w:tbl>
    <w:p>
      <w:pPr>
        <w:spacing w:after="200" w:before="120"/>
        <w:jc w:val="center"/>
      </w:pPr>
      <w:r>
        <w:rPr>
          <w:i/>
          <w:iCs/>
          <w:color w:val="64748B"/>
          <w:sz w:val="18"/>
          <w:szCs w:val="18"/>
        </w:rPr>
        <w:t xml:space="preserve">Table 2: Raspberry Pi GPIO power capabilities (verified from Pi documentation and forums)</w:t>
      </w:r>
    </w:p>
    <w:p>
      <w:pPr>
        <w:spacing w:after="200"/>
      </w:pPr>
      <w:r>
        <w:rPr>
          <w:b/>
          <w:bCs/>
          <w:color w:val="020617"/>
        </w:rPr>
        <w:t xml:space="preserve">Strategic Impact: </w:t>
      </w:r>
      <w:r>
        <w:rPr>
          <w:color w:val="1E293B"/>
        </w:rPr>
        <w:t xml:space="preserve">HAT form factor enables 5-7W power budget (5x SD card), supporting 2-3B parameter models. Price tolerance higher ($45-60 vs $25-35). Established ecosystem with 40M+ Raspberry Pi units in market.</w:t>
      </w:r>
    </w:p>
    <w:p>
      <w:pPr>
        <w:pStyle w:val="Heading2"/>
      </w:pPr>
      <w:r>
        <w:t xml:space="preserve">1.3 Groq-NVIDIA Transaction (CLARIFIED)</w:t>
      </w:r>
    </w:p>
    <w:p>
      <w:pPr>
        <w:spacing w:after="120"/>
      </w:pPr>
      <w:r>
        <w:rPr>
          <w:b/>
          <w:bCs/>
          <w:color w:val="B45309"/>
        </w:rPr>
        <w:t xml:space="preserve">Previous Issue: </w:t>
      </w:r>
      <w:r>
        <w:rPr>
          <w:color w:val="1E293B"/>
        </w:rPr>
        <w:t xml:space="preserve">v4.0 called this a "non-exclusive licensing deal" implying simple IP licensing. Critics called it an "acquisition."</w:t>
      </w:r>
    </w:p>
    <w:p>
      <w:pPr>
        <w:spacing w:after="120"/>
      </w:pPr>
      <w:r>
        <w:rPr>
          <w:b/>
          <w:bCs/>
          <w:color w:val="059669"/>
        </w:rPr>
        <w:t xml:space="preserve">Verified Structure: </w:t>
      </w:r>
      <w:r>
        <w:rPr>
          <w:color w:val="1E293B"/>
        </w:rPr>
        <w:t xml:space="preserve">The December 24, 2025 transaction is a </w:t>
      </w:r>
      <w:r>
        <w:rPr>
          <w:b/>
          <w:bCs/>
        </w:rPr>
        <w:t xml:space="preserve">hybrid structure</w:t>
      </w:r>
      <w:r>
        <w:rPr>
          <w:color w:val="1E293B"/>
        </w:rPr>
        <w:t xml:space="preserve"> with multiple components:</w:t>
      </w:r>
    </w:p>
    <w:p>
      <w:pPr>
        <w:pStyle w:val="ListParagraph"/>
        <w:numPr>
          <w:ilvl w:val="0"/>
          <w:numId w:val="3"/>
        </w:numPr>
        <w:spacing w:after="60"/>
      </w:pPr>
      <w:r>
        <w:rPr>
          <w:b/>
          <w:bCs/>
        </w:rPr>
        <w:t xml:space="preserve">Non-exclusive IP license: </w:t>
      </w:r>
      <w:r>
        <w:rPr>
          <w:color w:val="1E293B"/>
        </w:rPr>
        <w:t xml:space="preserve">NVIDIA receives license to Groq's inference technology (Groq press release)</w:t>
      </w:r>
    </w:p>
    <w:p>
      <w:pPr>
        <w:pStyle w:val="ListParagraph"/>
        <w:numPr>
          <w:ilvl w:val="0"/>
          <w:numId w:val="3"/>
        </w:numPr>
        <w:spacing w:after="60"/>
      </w:pPr>
      <w:r>
        <w:rPr>
          <w:b/>
          <w:bCs/>
        </w:rPr>
        <w:t xml:space="preserve">Acquihire: </w:t>
      </w:r>
      <w:r>
        <w:rPr>
          <w:color w:val="1E293B"/>
        </w:rPr>
        <w:t xml:space="preserve">Jonathan Ross (founder), Sunny Madra (President), and other engineers join NVIDIA (multiple sources)</w:t>
      </w:r>
    </w:p>
    <w:p>
      <w:pPr>
        <w:pStyle w:val="ListParagraph"/>
        <w:numPr>
          <w:ilvl w:val="0"/>
          <w:numId w:val="3"/>
        </w:numPr>
        <w:spacing w:after="60"/>
      </w:pPr>
      <w:r>
        <w:rPr>
          <w:b/>
          <w:bCs/>
        </w:rPr>
        <w:t xml:space="preserve">Asset purchase: </w:t>
      </w:r>
      <w:r>
        <w:rPr>
          <w:color w:val="1E293B"/>
        </w:rPr>
        <w:t xml:space="preserve">CNBC reports "buying AI chip startup Groq's assets" (not entire company)</w:t>
      </w:r>
    </w:p>
    <w:p>
      <w:pPr>
        <w:pStyle w:val="ListParagraph"/>
        <w:numPr>
          <w:ilvl w:val="0"/>
          <w:numId w:val="3"/>
        </w:numPr>
        <w:spacing w:after="120"/>
      </w:pPr>
      <w:r>
        <w:rPr>
          <w:b/>
          <w:bCs/>
        </w:rPr>
        <w:t xml:space="preserve">Continued operations: </w:t>
      </w:r>
      <w:r>
        <w:rPr>
          <w:color w:val="1E293B"/>
        </w:rPr>
        <w:t xml:space="preserve">Groq remains nominally independent with new CEO Simon Edwards; GroqCloud continues (Reuters, TechStrong)</w:t>
      </w:r>
    </w:p>
    <w:p>
      <w:pPr>
        <w:spacing w:after="200"/>
      </w:pPr>
      <w:r>
        <w:rPr>
          <w:b/>
          <w:bCs/>
          <w:color w:val="020617"/>
        </w:rPr>
        <w:t xml:space="preserve">Precedent Validity: </w:t>
      </w:r>
      <w:r>
        <w:rPr>
          <w:color w:val="1E293B"/>
        </w:rPr>
        <w:t xml:space="preserve">The structure validates that large companies will pay $20B-scale for inference technology rights without requiring full company acquisition. However, the talent transfer component suggests licensing alone may not command premium valuations—the team's expertise was part of the value. For a solo founder, this sets realistic expectations: a "license + talent" deal is plausible, but "license only" may command lower multiples.</w:t>
      </w:r>
    </w:p>
    <w:p>
      <w:pPr>
        <w:pStyle w:val="Heading1"/>
      </w:pPr>
      <w:r>
        <w:t xml:space="preserve">2. Market Analysis (Verified)</w:t>
      </w:r>
    </w:p>
    <w:p>
      <w:pPr>
        <w:pStyle w:val="Heading2"/>
      </w:pPr>
      <w:r>
        <w:t xml:space="preserve">2.1 Edge AI Chip Market Size</w:t>
      </w:r>
    </w:p>
    <w:p>
      <w:pPr>
        <w:spacing w:after="120"/>
      </w:pPr>
      <w:r>
        <w:rPr>
          <w:color w:val="1E293B"/>
        </w:rPr>
        <w:t xml:space="preserve">Multiple research firms provide market sizing. Note the significant variance between definitions: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00"/>
        <w:gridCol w:w="2000"/>
        <w:gridCol w:w="2200"/>
        <w:gridCol w:w="2760"/>
      </w:tblGrid>
      <w:tr>
        <w:trPr>
          <w:tblHeader/>
        </w:trPr>
        <w:tc>
          <w:tcPr>
            <w:tcW w:type="dxa" w:w="24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Source</w:t>
            </w:r>
          </w:p>
        </w:tc>
        <w:tc>
          <w:tcPr>
            <w:tcW w:type="dxa" w:w="20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2025 Size</w:t>
            </w:r>
          </w:p>
        </w:tc>
        <w:tc>
          <w:tcPr>
            <w:tcW w:type="dxa" w:w="22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2030 Projection</w:t>
            </w:r>
          </w:p>
        </w:tc>
        <w:tc>
          <w:tcPr>
            <w:tcW w:type="dxa" w:w="27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Definition</w:t>
            </w:r>
          </w:p>
        </w:tc>
      </w:tr>
      <w:tr>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Business Research Co.</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$7.05B</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$15.8B (2030)</w:t>
            </w:r>
          </w:p>
        </w:tc>
        <w:tc>
          <w:tcPr>
            <w:tcW w:type="dxa" w:w="27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Edge AI chips only</w:t>
            </w:r>
          </w:p>
        </w:tc>
      </w:tr>
      <w:tr>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Fortune Business Insights</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$35.8B</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$385.9B (2034)</w:t>
            </w:r>
          </w:p>
        </w:tc>
        <w:tc>
          <w:tcPr>
            <w:tcW w:type="dxa" w:w="27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Edge AI (broader)</w:t>
            </w:r>
          </w:p>
        </w:tc>
      </w:tr>
      <w:tr>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Mordor Intelligence</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$3.67B</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$11.5B (2031)</w:t>
            </w:r>
          </w:p>
        </w:tc>
        <w:tc>
          <w:tcPr>
            <w:tcW w:type="dxa" w:w="27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Edge AI chips</w:t>
            </w:r>
          </w:p>
        </w:tc>
      </w:tr>
      <w:tr>
        <w:tc>
          <w:tcPr>
            <w:tcW w:type="dxa" w:w="24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STL Partners</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N/A</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$157B TAM (2030)</w:t>
            </w:r>
          </w:p>
        </w:tc>
        <w:tc>
          <w:tcPr>
            <w:tcW w:type="dxa" w:w="27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Edge AI use cases</w:t>
            </w:r>
          </w:p>
        </w:tc>
      </w:tr>
    </w:tbl>
    <w:p>
      <w:pPr>
        <w:spacing w:after="200" w:before="120"/>
        <w:jc w:val="center"/>
      </w:pPr>
      <w:r>
        <w:rPr>
          <w:i/>
          <w:iCs/>
          <w:color w:val="64748B"/>
          <w:sz w:val="18"/>
          <w:szCs w:val="18"/>
        </w:rPr>
        <w:t xml:space="preserve">Table 3: Edge AI market sizing from verified market research firms</w:t>
      </w:r>
    </w:p>
    <w:p>
      <w:pPr>
        <w:spacing w:after="200"/>
      </w:pPr>
      <w:r>
        <w:rPr>
          <w:b/>
          <w:bCs/>
          <w:color w:val="020617"/>
        </w:rPr>
        <w:t xml:space="preserve">Addressable Reality: </w:t>
      </w:r>
      <w:r>
        <w:rPr>
          <w:color w:val="1E293B"/>
        </w:rPr>
        <w:t xml:space="preserve">The "billions of SD slots" argument ignores that most SD slots are in cameras storing photos, not inference devices. A more realistic SAM (Serviceable Addressable Market) is the ~40M Raspberry Pi users + ~100M industrial devices with SD slots that could benefit from edge inference. Even at 1% conversion and $35 ASP, this is a ~$50M opportunity—meaningful but not billions.</w:t>
      </w:r>
    </w:p>
    <w:p>
      <w:pPr>
        <w:pStyle w:val="Heading1"/>
      </w:pPr>
      <w:r>
        <w:t xml:space="preserve">3. Corrected Form Factor Strategy</w:t>
      </w:r>
    </w:p>
    <w:p>
      <w:pPr>
        <w:pStyle w:val="Heading2"/>
      </w:pPr>
      <w:r>
        <w:t xml:space="preserve">3.1 Three-Tier Strategy (Revised)</w:t>
      </w:r>
    </w:p>
    <w:p>
      <w:pPr>
        <w:spacing w:after="120"/>
      </w:pPr>
      <w:r>
        <w:rPr>
          <w:color w:val="1E293B"/>
        </w:rPr>
        <w:t xml:space="preserve">Based on verified power budgets and market analysis, I propose a three-tier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200"/>
        <w:gridCol w:w="2000"/>
        <w:gridCol w:w="2000"/>
        <w:gridCol w:w="1800"/>
        <w:gridCol w:w="1360"/>
      </w:tblGrid>
      <w:tr>
        <w:trPr>
          <w:tblHeader/>
        </w:trPr>
        <w:tc>
          <w:tcPr>
            <w:tcW w:type="dxa" w:w="22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Form Factor</w:t>
            </w:r>
          </w:p>
        </w:tc>
        <w:tc>
          <w:tcPr>
            <w:tcW w:type="dxa" w:w="20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Power</w:t>
            </w:r>
          </w:p>
        </w:tc>
        <w:tc>
          <w:tcPr>
            <w:tcW w:type="dxa" w:w="20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Model Size</w:t>
            </w:r>
          </w:p>
        </w:tc>
        <w:tc>
          <w:tcPr>
            <w:tcW w:type="dxa" w:w="18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Price</w:t>
            </w:r>
          </w:p>
        </w:tc>
        <w:tc>
          <w:tcPr>
            <w:tcW w:type="dxa" w:w="13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Priority</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microSD Card</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~1W max</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500M-1B INT4</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$35-45</w:t>
            </w:r>
          </w:p>
        </w:tc>
        <w:tc>
          <w:tcPr>
            <w:tcW w:type="dxa" w:w="13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Tier 2</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Raspberry Pi HAT</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5W max</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2-3B INT4</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$55-75</w:t>
            </w:r>
          </w:p>
        </w:tc>
        <w:tc>
          <w:tcPr>
            <w:tcW w:type="dxa" w:w="13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Tier 1</w:t>
            </w:r>
          </w:p>
        </w:tc>
      </w:tr>
      <w:tr>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Thunderbolt 5</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15-50W</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7-13B INT4/INT8</w:t>
            </w:r>
          </w:p>
        </w:tc>
        <w:tc>
          <w:tcPr>
            <w:tcW w:type="dxa" w:w="18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$150-200</w:t>
            </w:r>
          </w:p>
        </w:tc>
        <w:tc>
          <w:tcPr>
            <w:tcW w:type="dxa" w:w="13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Tier 3</w:t>
            </w:r>
          </w:p>
        </w:tc>
      </w:tr>
    </w:tbl>
    <w:p>
      <w:pPr>
        <w:spacing w:after="200" w:before="120"/>
        <w:jc w:val="center"/>
      </w:pPr>
      <w:r>
        <w:rPr>
          <w:i/>
          <w:iCs/>
          <w:color w:val="64748B"/>
          <w:sz w:val="18"/>
          <w:szCs w:val="18"/>
        </w:rPr>
        <w:t xml:space="preserve">Table 4: Revised three-tier form factor strategy with verified power budgets</w:t>
      </w:r>
    </w:p>
    <w:p>
      <w:pPr>
        <w:pStyle w:val="Heading2"/>
      </w:pPr>
      <w:r>
        <w:t xml:space="preserve">3.2 Why HAT is Priority 1</w:t>
      </w:r>
    </w:p>
    <w:p>
      <w:pPr>
        <w:pStyle w:val="ListParagraph"/>
        <w:numPr>
          <w:ilvl w:val="0"/>
          <w:numId w:val="4"/>
        </w:numPr>
        <w:spacing w:after="60"/>
      </w:pPr>
      <w:r>
        <w:rPr>
          <w:b/>
          <w:bCs/>
        </w:rPr>
        <w:t xml:space="preserve">Power headroom: </w:t>
      </w:r>
      <w:r>
        <w:rPr>
          <w:color w:val="1E293B"/>
        </w:rPr>
        <w:t xml:space="preserve">5W enables meaningful models (2-3B) vs. constrained 1W for SD</w:t>
      </w:r>
    </w:p>
    <w:p>
      <w:pPr>
        <w:pStyle w:val="ListParagraph"/>
        <w:numPr>
          <w:ilvl w:val="0"/>
          <w:numId w:val="4"/>
        </w:numPr>
        <w:spacing w:after="60"/>
      </w:pPr>
      <w:r>
        <w:rPr>
          <w:b/>
          <w:bCs/>
        </w:rPr>
        <w:t xml:space="preserve">Ecosystem fit: </w:t>
      </w:r>
      <w:r>
        <w:rPr>
          <w:color w:val="1E293B"/>
        </w:rPr>
        <w:t xml:space="preserve">Pi users expect HATs and understand $50-75 price point</w:t>
      </w:r>
    </w:p>
    <w:p>
      <w:pPr>
        <w:pStyle w:val="ListParagraph"/>
        <w:numPr>
          <w:ilvl w:val="0"/>
          <w:numId w:val="4"/>
        </w:numPr>
        <w:spacing w:after="60"/>
      </w:pPr>
      <w:r>
        <w:rPr>
          <w:b/>
          <w:bCs/>
        </w:rPr>
        <w:t xml:space="preserve">Direct I/O: </w:t>
      </w:r>
      <w:r>
        <w:rPr>
          <w:color w:val="1E293B"/>
        </w:rPr>
        <w:t xml:space="preserve">GPIO pins enable LEDs ("inference running"), buttons, and proper software interrupts vs. SD storage mimic</w:t>
      </w:r>
    </w:p>
    <w:p>
      <w:pPr>
        <w:pStyle w:val="ListParagraph"/>
        <w:numPr>
          <w:ilvl w:val="0"/>
          <w:numId w:val="4"/>
        </w:numPr>
        <w:spacing w:after="200"/>
      </w:pPr>
      <w:r>
        <w:rPr>
          <w:b/>
          <w:bCs/>
        </w:rPr>
        <w:t xml:space="preserve">Quantified market: </w:t>
      </w:r>
      <w:r>
        <w:rPr>
          <w:color w:val="1E293B"/>
        </w:rPr>
        <w:t xml:space="preserve">~40M Raspberry Pi users, established HAT certification program, targeted forums and communities</w:t>
      </w:r>
    </w:p>
    <w:p>
      <w:pPr>
        <w:pStyle w:val="Heading1"/>
      </w:pPr>
      <w:r>
        <w:t xml:space="preserve">4. Cost of Goods Sold (COGS) Analysis</w:t>
      </w:r>
    </w:p>
    <w:p>
      <w:pPr>
        <w:pStyle w:val="Heading2"/>
      </w:pPr>
      <w:r>
        <w:t xml:space="preserve">4.1 Verified Manufacturing Costs</w:t>
      </w:r>
    </w:p>
    <w:p>
      <w:pPr>
        <w:spacing w:after="120"/>
      </w:pPr>
      <w:r>
        <w:rPr>
          <w:color w:val="1E293B"/>
        </w:rPr>
        <w:t xml:space="preserve">Based on verified MPW pricing, packaging costs, and yield estimates: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000"/>
        <w:gridCol w:w="2100"/>
        <w:gridCol w:w="2100"/>
        <w:gridCol w:w="1500"/>
        <w:gridCol w:w="1660"/>
      </w:tblGrid>
      <w:tr>
        <w:trPr>
          <w:tblHeader/>
        </w:trPr>
        <w:tc>
          <w:tcPr>
            <w:tcW w:type="dxa" w:w="20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Component</w:t>
            </w:r>
          </w:p>
        </w:tc>
        <w:tc>
          <w:tcPr>
            <w:tcW w:type="dxa" w:w="21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SD Tier</w:t>
            </w:r>
          </w:p>
        </w:tc>
        <w:tc>
          <w:tcPr>
            <w:tcW w:type="dxa" w:w="21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HAT Tier</w:t>
            </w:r>
          </w:p>
        </w:tc>
        <w:tc>
          <w:tcPr>
            <w:tcW w:type="dxa" w:w="1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TB5 Tier</w:t>
            </w:r>
          </w:p>
        </w:tc>
        <w:tc>
          <w:tcPr>
            <w:tcW w:type="dxa" w:w="16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Source</w:t>
            </w:r>
          </w:p>
        </w:tc>
      </w:tr>
      <w:tr>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Die (28nm)</w:t>
            </w:r>
          </w:p>
        </w:tc>
        <w:tc>
          <w:tcPr>
            <w:tcW w:type="dxa" w:w="21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$4-6</w:t>
            </w:r>
          </w:p>
        </w:tc>
        <w:tc>
          <w:tcPr>
            <w:tcW w:type="dxa" w:w="21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$6-10</w:t>
            </w:r>
          </w:p>
        </w:tc>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$12-20</w:t>
            </w:r>
          </w:p>
        </w:tc>
        <w:tc>
          <w:tcPr>
            <w:tcW w:type="dxa" w:w="16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GF MPW data</w:t>
            </w:r>
          </w:p>
        </w:tc>
      </w:tr>
      <w:tr>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Packaging</w:t>
            </w:r>
          </w:p>
        </w:tc>
        <w:tc>
          <w:tcPr>
            <w:tcW w:type="dxa" w:w="21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$1-2</w:t>
            </w:r>
          </w:p>
        </w:tc>
        <w:tc>
          <w:tcPr>
            <w:tcW w:type="dxa" w:w="21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$2-3</w:t>
            </w:r>
          </w:p>
        </w:tc>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$5-8</w:t>
            </w:r>
          </w:p>
        </w:tc>
        <w:tc>
          <w:tcPr>
            <w:tcW w:type="dxa" w:w="16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Industry avg</w:t>
            </w:r>
          </w:p>
        </w:tc>
      </w:tr>
      <w:tr>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Test</w:t>
            </w:r>
          </w:p>
        </w:tc>
        <w:tc>
          <w:tcPr>
            <w:tcW w:type="dxa" w:w="21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$1-2</w:t>
            </w:r>
          </w:p>
        </w:tc>
        <w:tc>
          <w:tcPr>
            <w:tcW w:type="dxa" w:w="21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$2-3</w:t>
            </w:r>
          </w:p>
        </w:tc>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$3-5</w:t>
            </w:r>
          </w:p>
        </w:tc>
        <w:tc>
          <w:tcPr>
            <w:tcW w:type="dxa" w:w="16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Estimate</w:t>
            </w:r>
          </w:p>
        </w:tc>
      </w:tr>
      <w:tr>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PCB/Connector</w:t>
            </w:r>
          </w:p>
        </w:tc>
        <w:tc>
          <w:tcPr>
            <w:tcW w:type="dxa" w:w="21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$0.50</w:t>
            </w:r>
          </w:p>
        </w:tc>
        <w:tc>
          <w:tcPr>
            <w:tcW w:type="dxa" w:w="21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$2-4</w:t>
            </w:r>
          </w:p>
        </w:tc>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$8-12</w:t>
            </w:r>
          </w:p>
        </w:tc>
        <w:tc>
          <w:tcPr>
            <w:tcW w:type="dxa" w:w="16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DigiKey qty</w:t>
            </w:r>
          </w:p>
        </w:tc>
      </w:tr>
      <w:tr>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Total COGS</w:t>
            </w:r>
          </w:p>
        </w:tc>
        <w:tc>
          <w:tcPr>
            <w:tcW w:type="dxa" w:w="21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$6.50-10.50</w:t>
            </w:r>
          </w:p>
        </w:tc>
        <w:tc>
          <w:tcPr>
            <w:tcW w:type="dxa" w:w="21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$12-20</w:t>
            </w:r>
          </w:p>
        </w:tc>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$28-45</w:t>
            </w:r>
          </w:p>
        </w:tc>
        <w:tc>
          <w:tcPr>
            <w:tcW w:type="dxa" w:w="16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w:t>
            </w:r>
          </w:p>
        </w:tc>
      </w:tr>
      <w:tr>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Target Price</w:t>
            </w:r>
          </w:p>
        </w:tc>
        <w:tc>
          <w:tcPr>
            <w:tcW w:type="dxa" w:w="21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$35-45</w:t>
            </w:r>
          </w:p>
        </w:tc>
        <w:tc>
          <w:tcPr>
            <w:tcW w:type="dxa" w:w="21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$55-75</w:t>
            </w:r>
          </w:p>
        </w:tc>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$150-200</w:t>
            </w:r>
          </w:p>
        </w:tc>
        <w:tc>
          <w:tcPr>
            <w:tcW w:type="dxa" w:w="16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w:t>
            </w:r>
          </w:p>
        </w:tc>
      </w:tr>
      <w:tr>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Gross Margin</w:t>
            </w:r>
          </w:p>
        </w:tc>
        <w:tc>
          <w:tcPr>
            <w:tcW w:type="dxa" w:w="21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70-78%</w:t>
            </w:r>
          </w:p>
        </w:tc>
        <w:tc>
          <w:tcPr>
            <w:tcW w:type="dxa" w:w="21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73-78%</w:t>
            </w:r>
          </w:p>
        </w:tc>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78-81%</w:t>
            </w:r>
          </w:p>
        </w:tc>
        <w:tc>
          <w:tcPr>
            <w:tcW w:type="dxa" w:w="16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w:t>
            </w:r>
          </w:p>
        </w:tc>
      </w:tr>
    </w:tbl>
    <w:p>
      <w:pPr>
        <w:spacing w:after="200" w:before="120"/>
        <w:jc w:val="center"/>
      </w:pPr>
      <w:r>
        <w:rPr>
          <w:i/>
          <w:iCs/>
          <w:color w:val="64748B"/>
          <w:sz w:val="18"/>
          <w:szCs w:val="18"/>
        </w:rPr>
        <w:t xml:space="preserve">Table 5: COGS breakdown with verified component costs</w:t>
      </w:r>
    </w:p>
    <w:p>
      <w:pPr>
        <w:pStyle w:val="Heading2"/>
      </w:pPr>
      <w:r>
        <w:t xml:space="preserve">4.2 Capital Requirements</w:t>
      </w:r>
    </w:p>
    <w:p>
      <w:pPr>
        <w:spacing w:after="120"/>
      </w:pPr>
      <w:r>
        <w:rPr>
          <w:color w:val="1E293B"/>
        </w:rPr>
        <w:t xml:space="preserve">Realistic capital needs for a solo developer: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500"/>
        <w:gridCol w:w="2500"/>
        <w:gridCol w:w="3360"/>
      </w:tblGrid>
      <w:tr>
        <w:trPr>
          <w:tblHeader/>
        </w:trPr>
        <w:tc>
          <w:tcPr>
            <w:tcW w:type="dxa" w:w="3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Phase</w:t>
            </w:r>
          </w:p>
        </w:tc>
        <w:tc>
          <w:tcPr>
            <w:tcW w:type="dxa" w:w="2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Capital Required</w:t>
            </w:r>
          </w:p>
        </w:tc>
        <w:tc>
          <w:tcPr>
            <w:tcW w:type="dxa" w:w="33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Purpose</w:t>
            </w:r>
          </w:p>
        </w:tc>
      </w:tr>
      <w:tr>
        <w:tc>
          <w:tcPr>
            <w:tcW w:type="dxa" w:w="3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Phase 1: Validation (Months 1-6)</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$15,000-25,000</w:t>
            </w:r>
          </w:p>
        </w:tc>
        <w:tc>
          <w:tcPr>
            <w:tcW w:type="dxa" w:w="3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FPGA board, tools, living expenses</w:t>
            </w:r>
          </w:p>
        </w:tc>
      </w:tr>
      <w:tr>
        <w:tc>
          <w:tcPr>
            <w:tcW w:type="dxa" w:w="3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Phase 2: Pre-Production (Months 7-12)</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$50,000-80,000</w:t>
            </w:r>
          </w:p>
        </w:tc>
        <w:tc>
          <w:tcPr>
            <w:tcW w:type="dxa" w:w="3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MPW, patents, contractor help</w:t>
            </w:r>
          </w:p>
        </w:tc>
      </w:tr>
      <w:tr>
        <w:tc>
          <w:tcPr>
            <w:tcW w:type="dxa" w:w="3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Phase 3: Production (Months 13-24)</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$150,000-300,000</w:t>
            </w:r>
          </w:p>
        </w:tc>
        <w:tc>
          <w:tcPr>
            <w:tcW w:type="dxa" w:w="33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Full mask set, inventory, certification</w:t>
            </w:r>
          </w:p>
        </w:tc>
      </w:tr>
    </w:tbl>
    <w:p>
      <w:pPr>
        <w:spacing w:after="200" w:before="120"/>
        <w:jc w:val="center"/>
      </w:pPr>
      <w:r>
        <w:rPr>
          <w:i/>
          <w:iCs/>
          <w:color w:val="64748B"/>
          <w:sz w:val="18"/>
          <w:szCs w:val="18"/>
        </w:rPr>
        <w:t xml:space="preserve">Table 6: Capital requirements by phase</w:t>
      </w:r>
    </w:p>
    <w:p>
      <w:pPr>
        <w:pStyle w:val="Heading1"/>
      </w:pPr>
      <w:r>
        <w:t xml:space="preserve">5. Validation Gates (Revised)</w:t>
      </w:r>
    </w:p>
    <w:p>
      <w:pPr>
        <w:spacing w:after="120"/>
      </w:pPr>
      <w:r>
        <w:rPr>
          <w:color w:val="1E293B"/>
        </w:rPr>
        <w:t xml:space="preserve">Critical addition: Pre-order gate before any significant capital commitment.</w:t>
      </w:r>
    </w:p>
    <w:p>
      <w:pPr>
        <w:pStyle w:val="Heading2"/>
      </w:pPr>
      <w:r>
        <w:t xml:space="preserve">Gate G0: Technical Feasibility (Month 3)</w:t>
      </w:r>
    </w:p>
    <w:p>
      <w:pPr>
        <w:pStyle w:val="ListParagraph"/>
        <w:numPr>
          <w:ilvl w:val="0"/>
          <w:numId w:val="3"/>
        </w:numPr>
        <w:spacing w:after="60"/>
      </w:pPr>
      <w:r>
        <w:rPr>
          <w:color w:val="1E293B"/>
        </w:rPr>
        <w:t xml:space="preserve">Deliverable: FPGA prototype achieving &gt;20 tok/s at &lt;5W (HAT power budget)</w:t>
      </w:r>
    </w:p>
    <w:p>
      <w:pPr>
        <w:pStyle w:val="ListParagraph"/>
        <w:numPr>
          <w:ilvl w:val="0"/>
          <w:numId w:val="3"/>
        </w:numPr>
        <w:spacing w:after="60"/>
      </w:pPr>
      <w:r>
        <w:rPr>
          <w:color w:val="1E293B"/>
        </w:rPr>
        <w:t xml:space="preserve">Success: Demonstrates mask-locked concept is viable</w:t>
      </w:r>
    </w:p>
    <w:p>
      <w:pPr>
        <w:pStyle w:val="ListParagraph"/>
        <w:numPr>
          <w:ilvl w:val="0"/>
          <w:numId w:val="3"/>
        </w:numPr>
        <w:spacing w:after="120"/>
      </w:pPr>
      <w:r>
        <w:rPr>
          <w:color w:val="1E293B"/>
        </w:rPr>
        <w:t xml:space="preserve">Abort: If power exceeds 10W or accuracy degrades &gt;20%, revise architecture</w:t>
      </w:r>
    </w:p>
    <w:p>
      <w:pPr>
        <w:spacing w:after="200"/>
      </w:pPr>
      <w:r>
        <w:rPr>
          <w:b/>
          <w:bCs/>
        </w:rPr>
        <w:t xml:space="preserve">Cost: </w:t>
      </w:r>
      <w:r>
        <w:rPr>
          <w:color w:val="1E293B"/>
        </w:rPr>
        <w:t xml:space="preserve">$249 for AMD Kria KV260 Vision AI Starter Kit + 100-200 hours time investment</w:t>
      </w:r>
    </w:p>
    <w:p>
      <w:pPr>
        <w:pStyle w:val="Heading2"/>
      </w:pPr>
      <w:r>
        <w:t xml:space="preserve">Gate G1: Pre-Order Validation (Month 6) - NEW</w:t>
      </w:r>
    </w:p>
    <w:p>
      <w:pPr>
        <w:pStyle w:val="ListParagraph"/>
        <w:numPr>
          <w:ilvl w:val="0"/>
          <w:numId w:val="3"/>
        </w:numPr>
        <w:spacing w:after="60"/>
      </w:pPr>
      <w:r>
        <w:rPr>
          <w:color w:val="1E293B"/>
        </w:rPr>
        <w:t xml:space="preserve">Deliverable: 50 paid pre-orders at $35-55 (HAT tier) OR 1 paid pilot at $25K+</w:t>
      </w:r>
    </w:p>
    <w:p>
      <w:pPr>
        <w:pStyle w:val="ListParagraph"/>
        <w:numPr>
          <w:ilvl w:val="0"/>
          <w:numId w:val="3"/>
        </w:numPr>
        <w:spacing w:after="60"/>
      </w:pPr>
      <w:r>
        <w:rPr>
          <w:color w:val="1E293B"/>
        </w:rPr>
        <w:t xml:space="preserve">Success: Customer cash validates real demand; proceed to MPW</w:t>
      </w:r>
    </w:p>
    <w:p>
      <w:pPr>
        <w:pStyle w:val="ListParagraph"/>
        <w:numPr>
          <w:ilvl w:val="0"/>
          <w:numId w:val="3"/>
        </w:numPr>
        <w:spacing w:after="120"/>
      </w:pPr>
      <w:r>
        <w:rPr>
          <w:color w:val="1E293B"/>
        </w:rPr>
        <w:t xml:space="preserve">Abort/Pivot: If no pre-orders, pivot to licensing-only model or terminate</w:t>
      </w:r>
    </w:p>
    <w:p>
      <w:pPr>
        <w:spacing w:after="200"/>
      </w:pPr>
      <w:r>
        <w:rPr>
          <w:b/>
          <w:bCs/>
        </w:rPr>
        <w:t xml:space="preserve">Rationale: </w:t>
      </w:r>
      <w:r>
        <w:rPr>
          <w:color w:val="1E293B"/>
        </w:rPr>
        <w:t xml:space="preserve">LOIs are weak signals. Pre-orders with credit card charges prove willingness to pay. Kickstarter/Indiegogo campaigns can serve this validation function.</w:t>
      </w:r>
    </w:p>
    <w:p>
      <w:pPr>
        <w:pStyle w:val="Heading2"/>
      </w:pPr>
      <w:r>
        <w:t xml:space="preserve">Gate G2: Silicon Validation (Month 12)</w:t>
      </w:r>
    </w:p>
    <w:p>
      <w:pPr>
        <w:pStyle w:val="ListParagraph"/>
        <w:numPr>
          <w:ilvl w:val="0"/>
          <w:numId w:val="3"/>
        </w:numPr>
        <w:spacing w:after="60"/>
      </w:pPr>
      <w:r>
        <w:rPr>
          <w:color w:val="1E293B"/>
        </w:rPr>
        <w:t xml:space="preserve">Deliverable: MPW silicon samples meeting specifications (&gt;15 tok/s, &lt;5W, &lt;10% accuracy degradation)</w:t>
      </w:r>
    </w:p>
    <w:p>
      <w:pPr>
        <w:pStyle w:val="ListParagraph"/>
        <w:numPr>
          <w:ilvl w:val="0"/>
          <w:numId w:val="3"/>
        </w:numPr>
        <w:spacing w:after="60"/>
      </w:pPr>
      <w:r>
        <w:rPr>
          <w:color w:val="1E293B"/>
        </w:rPr>
        <w:t xml:space="preserve">Success: Functional silicon validates design; fulfill pre-orders</w:t>
      </w:r>
    </w:p>
    <w:p>
      <w:pPr>
        <w:pStyle w:val="ListParagraph"/>
        <w:numPr>
          <w:ilvl w:val="0"/>
          <w:numId w:val="3"/>
        </w:numPr>
        <w:spacing w:after="200"/>
      </w:pPr>
      <w:r>
        <w:rPr>
          <w:color w:val="1E293B"/>
        </w:rPr>
        <w:t xml:space="preserve">Pivot: If silicon fails, license RTL to established semiconductor company</w:t>
      </w:r>
    </w:p>
    <w:p>
      <w:pPr>
        <w:pStyle w:val="Heading2"/>
      </w:pPr>
      <w:r>
        <w:t xml:space="preserve">Gate G3: Thunderbolt 5 Decision (Month 18)</w:t>
      </w:r>
    </w:p>
    <w:p>
      <w:pPr>
        <w:pStyle w:val="ListParagraph"/>
        <w:numPr>
          <w:ilvl w:val="0"/>
          <w:numId w:val="3"/>
        </w:numPr>
        <w:spacing w:after="60"/>
      </w:pPr>
      <w:r>
        <w:rPr>
          <w:color w:val="1E293B"/>
        </w:rPr>
        <w:t xml:space="preserve">Deliverable: HAT tier generating revenue; clear demand signal for premium tier</w:t>
      </w:r>
    </w:p>
    <w:p>
      <w:pPr>
        <w:pStyle w:val="ListParagraph"/>
        <w:numPr>
          <w:ilvl w:val="0"/>
          <w:numId w:val="3"/>
        </w:numPr>
        <w:spacing w:after="60"/>
      </w:pPr>
      <w:r>
        <w:rPr>
          <w:color w:val="1E293B"/>
        </w:rPr>
        <w:t xml:space="preserve">Success: Proceed with Thunderbolt 5 certification if HAT revenue &gt;$100K/year</w:t>
      </w:r>
    </w:p>
    <w:p>
      <w:pPr>
        <w:pStyle w:val="ListParagraph"/>
        <w:numPr>
          <w:ilvl w:val="0"/>
          <w:numId w:val="3"/>
        </w:numPr>
        <w:spacing w:after="200"/>
      </w:pPr>
      <w:r>
        <w:rPr>
          <w:color w:val="1E293B"/>
        </w:rPr>
        <w:t xml:space="preserve">Defer: Continue HAT focus if demand unclear; Thunderbolt 5 is expensive ($15K+ certification, 3-6 months)</w:t>
      </w:r>
    </w:p>
    <w:p>
      <w:pPr>
        <w:pStyle w:val="Heading1"/>
      </w:pPr>
      <w:r>
        <w:t xml:space="preserve">6. Revised Timeline for Solo Developer</w:t>
      </w:r>
    </w:p>
    <w:p>
      <w:pPr>
        <w:spacing w:after="120"/>
      </w:pPr>
      <w:r>
        <w:rPr>
          <w:color w:val="1E293B"/>
        </w:rPr>
        <w:t xml:space="preserve">Realistic timeline accounting for single-person bandwidth: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500"/>
        <w:gridCol w:w="3000"/>
        <w:gridCol w:w="2300"/>
        <w:gridCol w:w="2560"/>
      </w:tblGrid>
      <w:tr>
        <w:trPr>
          <w:tblHeader/>
        </w:trPr>
        <w:tc>
          <w:tcPr>
            <w:tcW w:type="dxa" w:w="1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Month</w:t>
            </w:r>
          </w:p>
        </w:tc>
        <w:tc>
          <w:tcPr>
            <w:tcW w:type="dxa" w:w="30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Activity</w:t>
            </w:r>
          </w:p>
        </w:tc>
        <w:tc>
          <w:tcPr>
            <w:tcW w:type="dxa" w:w="23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Deliverable</w:t>
            </w:r>
          </w:p>
        </w:tc>
        <w:tc>
          <w:tcPr>
            <w:tcW w:type="dxa" w:w="25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Gate</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1-3</w:t>
            </w:r>
          </w:p>
        </w:tc>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RTL design, FPGA prototype</w:t>
            </w:r>
          </w:p>
        </w:tc>
        <w:tc>
          <w:tcPr>
            <w:tcW w:type="dxa" w:w="2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Working inference on Kria KV260</w:t>
            </w:r>
          </w:p>
        </w:tc>
        <w:tc>
          <w:tcPr>
            <w:tcW w:type="dxa" w:w="25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G0: Tech feasibility</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4-6</w:t>
            </w:r>
          </w:p>
        </w:tc>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Customer development, pre-order campaign</w:t>
            </w:r>
          </w:p>
        </w:tc>
        <w:tc>
          <w:tcPr>
            <w:tcW w:type="dxa" w:w="2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50+ pre-orders OR pivot</w:t>
            </w:r>
          </w:p>
        </w:tc>
        <w:tc>
          <w:tcPr>
            <w:tcW w:type="dxa" w:w="25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G1: Pre-order validation</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7-9</w:t>
            </w:r>
          </w:p>
        </w:tc>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Synthesis, MPW submission</w:t>
            </w:r>
          </w:p>
        </w:tc>
        <w:tc>
          <w:tcPr>
            <w:tcW w:type="dxa" w:w="2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Design submitted to shuttle</w:t>
            </w:r>
          </w:p>
        </w:tc>
        <w:tc>
          <w:tcPr>
            <w:tcW w:type="dxa" w:w="25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10-12</w:t>
            </w:r>
          </w:p>
        </w:tc>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Silicon bring-up, testing</w:t>
            </w:r>
          </w:p>
        </w:tc>
        <w:tc>
          <w:tcPr>
            <w:tcW w:type="dxa" w:w="2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Functional samples</w:t>
            </w:r>
          </w:p>
        </w:tc>
        <w:tc>
          <w:tcPr>
            <w:tcW w:type="dxa" w:w="25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G2: Silicon validation</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13-15</w:t>
            </w:r>
          </w:p>
        </w:tc>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Fulfill pre-orders, iterate</w:t>
            </w:r>
          </w:p>
        </w:tc>
        <w:tc>
          <w:tcPr>
            <w:tcW w:type="dxa" w:w="2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First customer shipments</w:t>
            </w:r>
          </w:p>
        </w:tc>
        <w:tc>
          <w:tcPr>
            <w:tcW w:type="dxa" w:w="25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16-18</w:t>
            </w:r>
          </w:p>
        </w:tc>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Scale HAT production</w:t>
            </w:r>
          </w:p>
        </w:tc>
        <w:tc>
          <w:tcPr>
            <w:tcW w:type="dxa" w:w="2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$100K+ annual revenue</w:t>
            </w:r>
          </w:p>
        </w:tc>
        <w:tc>
          <w:tcPr>
            <w:tcW w:type="dxa" w:w="25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G3: TB5 decision</w:t>
            </w:r>
          </w:p>
        </w:tc>
      </w:tr>
      <w:tr>
        <w:tc>
          <w:tcPr>
            <w:tcW w:type="dxa" w:w="1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19-24</w:t>
            </w:r>
          </w:p>
        </w:tc>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Thunderbolt 5 (if approved)</w:t>
            </w:r>
          </w:p>
        </w:tc>
        <w:tc>
          <w:tcPr>
            <w:tcW w:type="dxa" w:w="23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TB5 product launch</w:t>
            </w:r>
          </w:p>
        </w:tc>
        <w:tc>
          <w:tcPr>
            <w:tcW w:type="dxa" w:w="256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w:t>
            </w:r>
          </w:p>
        </w:tc>
      </w:tr>
    </w:tbl>
    <w:p>
      <w:pPr>
        <w:spacing w:after="200" w:before="120"/>
        <w:jc w:val="center"/>
      </w:pPr>
      <w:r>
        <w:rPr>
          <w:i/>
          <w:iCs/>
          <w:color w:val="64748B"/>
          <w:sz w:val="18"/>
          <w:szCs w:val="18"/>
        </w:rPr>
        <w:t xml:space="preserve">Table 7: Revised 24-month timeline with pre-order gate</w:t>
      </w:r>
    </w:p>
    <w:p>
      <w:pPr>
        <w:pStyle w:val="Heading1"/>
      </w:pPr>
      <w:r>
        <w:t xml:space="preserve">7. Software Ecosystem Strategy</w:t>
      </w:r>
    </w:p>
    <w:p>
      <w:pPr>
        <w:spacing w:after="120"/>
      </w:pPr>
      <w:r>
        <w:rPr>
          <w:color w:val="1E293B"/>
        </w:rPr>
        <w:t xml:space="preserve">Hardware without software is inert. Required software components:</w:t>
      </w:r>
    </w:p>
    <w:p>
      <w:pPr>
        <w:pStyle w:val="Heading2"/>
      </w:pPr>
      <w:r>
        <w:t xml:space="preserve">7.1 Host Software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2500"/>
        <w:gridCol w:w="2000"/>
        <w:gridCol w:w="2360"/>
      </w:tblGrid>
      <w:tr>
        <w:trPr>
          <w:tblHeader/>
        </w:trPr>
        <w:tc>
          <w:tcPr>
            <w:tcW w:type="dxa" w:w="2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Component</w:t>
            </w:r>
          </w:p>
        </w:tc>
        <w:tc>
          <w:tcPr>
            <w:tcW w:type="dxa" w:w="2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Implementation</w:t>
            </w:r>
          </w:p>
        </w:tc>
        <w:tc>
          <w:tcPr>
            <w:tcW w:type="dxa" w:w="20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License</w:t>
            </w:r>
          </w:p>
        </w:tc>
        <w:tc>
          <w:tcPr>
            <w:tcW w:type="dxa" w:w="23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Priority</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Python SDK</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pip install siliconcompiler</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MIT (open source)</w:t>
            </w:r>
          </w:p>
        </w:tc>
        <w:tc>
          <w:tcPr>
            <w:tcW w:type="dxa" w:w="23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P0 - Day 1</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OpenAI-compatible API</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/v1/chat/completions endpoint</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MIT</w:t>
            </w:r>
          </w:p>
        </w:tc>
        <w:tc>
          <w:tcPr>
            <w:tcW w:type="dxa" w:w="23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P0 - Month 2</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Thermal API</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set_thermal_limit(watts, strategy)</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MIT</w:t>
            </w:r>
          </w:p>
        </w:tc>
        <w:tc>
          <w:tcPr>
            <w:tcW w:type="dxa" w:w="23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P1 - Month 4</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Node.js SDK</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npm package</w:t>
            </w:r>
          </w:p>
        </w:tc>
        <w:tc>
          <w:tcPr>
            <w:tcW w:type="dxa" w:w="2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MIT</w:t>
            </w:r>
          </w:p>
        </w:tc>
        <w:tc>
          <w:tcPr>
            <w:tcW w:type="dxa" w:w="23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P2 - Month 6</w:t>
            </w:r>
          </w:p>
        </w:tc>
      </w:tr>
    </w:tbl>
    <w:p>
      <w:pPr>
        <w:spacing w:after="200" w:before="120"/>
        <w:jc w:val="center"/>
      </w:pPr>
      <w:r>
        <w:rPr>
          <w:i/>
          <w:iCs/>
          <w:color w:val="64748B"/>
          <w:sz w:val="18"/>
          <w:szCs w:val="18"/>
        </w:rPr>
        <w:t xml:space="preserve">Table 8: Software stack components with open-source licensing</w:t>
      </w:r>
    </w:p>
    <w:p>
      <w:pPr>
        <w:pStyle w:val="Heading2"/>
      </w:pPr>
      <w:r>
        <w:t xml:space="preserve">7.2 Open Source Strategy</w:t>
      </w:r>
    </w:p>
    <w:p>
      <w:pPr>
        <w:spacing w:after="120"/>
      </w:pPr>
      <w:r>
        <w:rPr>
          <w:color w:val="1E293B"/>
        </w:rPr>
        <w:t xml:space="preserve">Strategic open-sourcing creates defensive prior art and drives adoption:</w:t>
      </w:r>
    </w:p>
    <w:p>
      <w:pPr>
        <w:pStyle w:val="ListParagraph"/>
        <w:numPr>
          <w:ilvl w:val="0"/>
          <w:numId w:val="5"/>
        </w:numPr>
        <w:spacing w:after="60"/>
      </w:pPr>
      <w:r>
        <w:rPr>
          <w:b/>
          <w:bCs/>
        </w:rPr>
        <w:t xml:space="preserve">Host drivers: </w:t>
      </w:r>
      <w:r>
        <w:rPr>
          <w:color w:val="1E293B"/>
        </w:rPr>
        <w:t xml:space="preserve">MIT license from day 1 - maximizes compatibility, enables community contributions</w:t>
      </w:r>
    </w:p>
    <w:p>
      <w:pPr>
        <w:pStyle w:val="ListParagraph"/>
        <w:numPr>
          <w:ilvl w:val="0"/>
          <w:numId w:val="5"/>
        </w:numPr>
        <w:spacing w:after="60"/>
      </w:pPr>
      <w:r>
        <w:rPr>
          <w:b/>
          <w:bCs/>
        </w:rPr>
        <w:t xml:space="preserve">Quantization tools: </w:t>
      </w:r>
      <w:r>
        <w:rPr>
          <w:color w:val="1E293B"/>
        </w:rPr>
        <w:t xml:space="preserve">Apache-2.0 - establishes "Silicon Compiler" as standard, defensive prior art</w:t>
      </w:r>
    </w:p>
    <w:p>
      <w:pPr>
        <w:pStyle w:val="ListParagraph"/>
        <w:numPr>
          <w:ilvl w:val="0"/>
          <w:numId w:val="5"/>
        </w:numPr>
        <w:spacing w:after="200"/>
      </w:pPr>
      <w:r>
        <w:rPr>
          <w:b/>
          <w:bCs/>
        </w:rPr>
        <w:t xml:space="preserve">RTL reference design: </w:t>
      </w:r>
      <w:r>
        <w:rPr>
          <w:color w:val="1E293B"/>
        </w:rPr>
        <w:t xml:space="preserve">GPL v3 for 1B model only - prevents competitors from patenting obvious improvements while you own patents on advanced features</w:t>
      </w:r>
    </w:p>
    <w:p>
      <w:pPr>
        <w:pStyle w:val="Heading1"/>
      </w:pPr>
      <w:r>
        <w:t xml:space="preserve">8. Contractor Strategy for Solo Developer</w:t>
      </w:r>
    </w:p>
    <w:p>
      <w:pPr>
        <w:spacing w:after="120"/>
      </w:pPr>
      <w:r>
        <w:rPr>
          <w:color w:val="1E293B"/>
        </w:rPr>
        <w:t xml:space="preserve">Verified contractor costs from Upwork, Toptal, and IT Jobs Watch: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00"/>
        <w:gridCol w:w="2500"/>
        <w:gridCol w:w="2200"/>
        <w:gridCol w:w="2160"/>
      </w:tblGrid>
      <w:tr>
        <w:trPr>
          <w:tblHeader/>
        </w:trPr>
        <w:tc>
          <w:tcPr>
            <w:tcW w:type="dxa" w:w="2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Role</w:t>
            </w:r>
          </w:p>
        </w:tc>
        <w:tc>
          <w:tcPr>
            <w:tcW w:type="dxa" w:w="2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Hourly Rate</w:t>
            </w:r>
          </w:p>
        </w:tc>
        <w:tc>
          <w:tcPr>
            <w:tcW w:type="dxa" w:w="22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Estimated Hours</w:t>
            </w:r>
          </w:p>
        </w:tc>
        <w:tc>
          <w:tcPr>
            <w:tcW w:type="dxa" w:w="21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Total Cost</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FPGA Engineer (prototype)</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$80-150/hr</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100-200 hrs</w:t>
            </w:r>
          </w:p>
        </w:tc>
        <w:tc>
          <w:tcPr>
            <w:tcW w:type="dxa" w:w="21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$8K-30K</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Embedded Developer (SDIO)</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$60-100/hr</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80-120 hrs</w:t>
            </w:r>
          </w:p>
        </w:tc>
        <w:tc>
          <w:tcPr>
            <w:tcW w:type="dxa" w:w="21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$5K-12K</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Patent Attorney</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Fixed fee</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3 filings</w:t>
            </w:r>
          </w:p>
        </w:tc>
        <w:tc>
          <w:tcPr>
            <w:tcW w:type="dxa" w:w="21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$15K-25K</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Thunderbolt Consultant</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$100-200/hr</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50-100 hrs</w:t>
            </w:r>
          </w:p>
        </w:tc>
        <w:tc>
          <w:tcPr>
            <w:tcW w:type="dxa" w:w="21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$5K-20K</w:t>
            </w:r>
          </w:p>
        </w:tc>
      </w:tr>
      <w:tr>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bCs/>
                <w:color w:val="020617"/>
                <w:sz w:val="20"/>
                <w:szCs w:val="20"/>
              </w:rPr>
              <w:t xml:space="preserve">TOTAL CONTRACTOR SPEND</w:t>
            </w:r>
          </w:p>
        </w:tc>
        <w:tc>
          <w:tcPr>
            <w:tcW w:type="dxa" w:w="25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w:t>
            </w:r>
          </w:p>
        </w:tc>
        <w:tc>
          <w:tcPr>
            <w:tcW w:type="dxa" w:w="22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w:t>
            </w:r>
          </w:p>
        </w:tc>
        <w:tc>
          <w:tcPr>
            <w:tcW w:type="dxa" w:w="21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bCs/>
                <w:color w:val="020617"/>
                <w:sz w:val="20"/>
                <w:szCs w:val="20"/>
              </w:rPr>
              <w:t xml:space="preserve">$33K-87K</w:t>
            </w:r>
          </w:p>
        </w:tc>
      </w:tr>
    </w:tbl>
    <w:p>
      <w:pPr>
        <w:spacing w:after="200" w:before="120"/>
        <w:jc w:val="center"/>
      </w:pPr>
      <w:r>
        <w:rPr>
          <w:i/>
          <w:iCs/>
          <w:color w:val="64748B"/>
          <w:sz w:val="18"/>
          <w:szCs w:val="18"/>
        </w:rPr>
        <w:t xml:space="preserve">Table 9: Contractor costs verified from Upwork, Toptal, IT Jobs Watch</w:t>
      </w:r>
    </w:p>
    <w:p>
      <w:pPr>
        <w:spacing w:after="200"/>
      </w:pPr>
      <w:r>
        <w:rPr>
          <w:b/>
          <w:bCs/>
          <w:color w:val="020617"/>
        </w:rPr>
        <w:t xml:space="preserve">Budget Recommendation: </w:t>
      </w:r>
      <w:r>
        <w:rPr>
          <w:color w:val="1E293B"/>
        </w:rPr>
        <w:t xml:space="preserve">Allocate $50K-70K for contractors over 18 months. This is manageable with $150K seed capital and preserves runway for living expenses ($60K) and MPW costs ($30-50K).</w:t>
      </w:r>
    </w:p>
    <w:p>
      <w:pPr>
        <w:pStyle w:val="Heading1"/>
      </w:pPr>
      <w:r>
        <w:t xml:space="preserve">9. Patent Strategy</w:t>
      </w:r>
    </w:p>
    <w:p>
      <w:pPr>
        <w:pStyle w:val="Heading2"/>
      </w:pPr>
      <w:r>
        <w:t xml:space="preserve">9.1 Verified Filing Costs</w:t>
      </w:r>
    </w:p>
    <w:p>
      <w:pPr>
        <w:spacing w:after="120"/>
      </w:pPr>
      <w:r>
        <w:rPr>
          <w:color w:val="1E293B"/>
        </w:rPr>
        <w:t xml:space="preserve">Patent costs verified from multiple legal 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3500"/>
        <w:gridCol w:w="3000"/>
        <w:gridCol w:w="2860"/>
      </w:tblGrid>
      <w:tr>
        <w:trPr>
          <w:tblHeader/>
        </w:trPr>
        <w:tc>
          <w:tcPr>
            <w:tcW w:type="dxa" w:w="35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Filing Type</w:t>
            </w:r>
          </w:p>
        </w:tc>
        <w:tc>
          <w:tcPr>
            <w:tcW w:type="dxa" w:w="300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Legal Fees</w:t>
            </w:r>
          </w:p>
        </w:tc>
        <w:tc>
          <w:tcPr>
            <w:tcW w:type="dxa" w:w="2860"/>
            <w:tcBorders>
              <w:top w:val="single" w:color="64748B" w:sz="8"/>
              <w:left w:val="none"/>
              <w:bottom w:val="single" w:color="64748B" w:sz="8"/>
              <w:right w:val="none"/>
            </w:tcBorders>
            <w:shd w:fill="E2E8F0" w:val="clear"/>
            <w:vAlign w:val="center"/>
          </w:tcPr>
          <w:p>
            <w:pPr>
              <w:spacing w:after="60" w:before="60"/>
              <w:jc w:val="center"/>
            </w:pPr>
            <w:r>
              <w:rPr>
                <w:b/>
                <w:bCs/>
                <w:color w:val="020617"/>
                <w:sz w:val="20"/>
                <w:szCs w:val="20"/>
              </w:rPr>
              <w:t xml:space="preserve">USPTO Fees (small entity)</w:t>
            </w:r>
          </w:p>
        </w:tc>
      </w:tr>
      <w:tr>
        <w:tc>
          <w:tcPr>
            <w:tcW w:type="dxa" w:w="3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Provisional Application</w:t>
            </w:r>
          </w:p>
        </w:tc>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$1,500-5,000</w:t>
            </w:r>
          </w:p>
        </w:tc>
        <w:tc>
          <w:tcPr>
            <w:tcW w:type="dxa" w:w="28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$75-130</w:t>
            </w:r>
          </w:p>
        </w:tc>
      </w:tr>
      <w:tr>
        <w:tc>
          <w:tcPr>
            <w:tcW w:type="dxa" w:w="3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Non-Provisional (utility)</w:t>
            </w:r>
          </w:p>
        </w:tc>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$7,000-18,000</w:t>
            </w:r>
          </w:p>
        </w:tc>
        <w:tc>
          <w:tcPr>
            <w:tcW w:type="dxa" w:w="28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$720-1,600</w:t>
            </w:r>
          </w:p>
        </w:tc>
      </w:tr>
      <w:tr>
        <w:tc>
          <w:tcPr>
            <w:tcW w:type="dxa" w:w="3500"/>
            <w:tcBorders>
              <w:top w:val="single" w:color="64748B" w:sz="8"/>
              <w:left w:val="single" w:color="64748B" w:sz="8"/>
              <w:bottom w:val="single" w:color="64748B" w:sz="8"/>
              <w:right w:val="single" w:color="64748B" w:sz="8"/>
            </w:tcBorders>
            <w:shd w:fill="F8FAFC" w:val="clear"/>
            <w:vAlign w:val="center"/>
          </w:tcPr>
          <w:p>
            <w:pPr>
              <w:spacing w:after="60" w:before="60"/>
              <w:jc w:val="left"/>
            </w:pPr>
            <w:r>
              <w:rPr>
                <w:b w:val="false"/>
                <w:bCs w:val="false"/>
                <w:color w:val="1E293B"/>
                <w:sz w:val="20"/>
                <w:szCs w:val="20"/>
              </w:rPr>
              <w:t xml:space="preserve">International (PCT)</w:t>
            </w:r>
          </w:p>
        </w:tc>
        <w:tc>
          <w:tcPr>
            <w:tcW w:type="dxa" w:w="300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$3,000-8,000</w:t>
            </w:r>
          </w:p>
        </w:tc>
        <w:tc>
          <w:tcPr>
            <w:tcW w:type="dxa" w:w="2860"/>
            <w:tcBorders>
              <w:top w:val="single" w:color="64748B" w:sz="8"/>
              <w:left w:val="single" w:color="64748B" w:sz="8"/>
              <w:bottom w:val="single" w:color="64748B" w:sz="8"/>
              <w:right w:val="single" w:color="64748B" w:sz="8"/>
            </w:tcBorders>
            <w:shd w:fill="F8FAFC" w:val="clear"/>
            <w:vAlign w:val="center"/>
          </w:tcPr>
          <w:p>
            <w:pPr>
              <w:spacing w:after="60" w:before="60"/>
              <w:jc w:val="center"/>
            </w:pPr>
            <w:r>
              <w:rPr>
                <w:b w:val="false"/>
                <w:bCs w:val="false"/>
                <w:color w:val="1E293B"/>
                <w:sz w:val="20"/>
                <w:szCs w:val="20"/>
              </w:rPr>
              <w:t xml:space="preserve">$3,500+ (WIPO fees)</w:t>
            </w:r>
          </w:p>
        </w:tc>
      </w:tr>
    </w:tbl>
    <w:p>
      <w:pPr>
        <w:spacing w:after="200" w:before="120"/>
        <w:jc w:val="center"/>
      </w:pPr>
      <w:r>
        <w:rPr>
          <w:i/>
          <w:iCs/>
          <w:color w:val="64748B"/>
          <w:sz w:val="18"/>
          <w:szCs w:val="18"/>
        </w:rPr>
        <w:t xml:space="preserve">Table 10: Patent filing costs verified from Stellar Patent, Power Patent, PatentPC</w:t>
      </w:r>
    </w:p>
    <w:p>
      <w:pPr>
        <w:pStyle w:val="Heading2"/>
      </w:pPr>
      <w:r>
        <w:t xml:space="preserve">9.2 Recommended Filing Strategy</w:t>
      </w:r>
    </w:p>
    <w:p>
      <w:pPr>
        <w:pStyle w:val="ListParagraph"/>
        <w:numPr>
          <w:ilvl w:val="0"/>
          <w:numId w:val="6"/>
        </w:numPr>
        <w:spacing w:after="60"/>
      </w:pPr>
      <w:r>
        <w:rPr>
          <w:b/>
          <w:bCs/>
        </w:rPr>
        <w:t xml:space="preserve">Month 1: </w:t>
      </w:r>
      <w:r>
        <w:rPr>
          <w:color w:val="1E293B"/>
        </w:rPr>
        <w:t xml:space="preserve">File provisional on mask-locked weight encoding (core innovation)</w:t>
      </w:r>
    </w:p>
    <w:p>
      <w:pPr>
        <w:pStyle w:val="ListParagraph"/>
        <w:numPr>
          <w:ilvl w:val="0"/>
          <w:numId w:val="6"/>
        </w:numPr>
        <w:spacing w:after="60"/>
      </w:pPr>
      <w:r>
        <w:rPr>
          <w:b/>
          <w:bCs/>
        </w:rPr>
        <w:t xml:space="preserve">Month 6: </w:t>
      </w:r>
      <w:r>
        <w:rPr>
          <w:color w:val="1E293B"/>
        </w:rPr>
        <w:t xml:space="preserve">File provisional on tile-based multi-model architecture (fracturable wafer)</w:t>
      </w:r>
    </w:p>
    <w:p>
      <w:pPr>
        <w:pStyle w:val="ListParagraph"/>
        <w:numPr>
          <w:ilvl w:val="0"/>
          <w:numId w:val="6"/>
        </w:numPr>
        <w:spacing w:after="60"/>
      </w:pPr>
      <w:r>
        <w:rPr>
          <w:b/>
          <w:bCs/>
        </w:rPr>
        <w:t xml:space="preserve">Month 12: </w:t>
      </w:r>
      <w:r>
        <w:rPr>
          <w:color w:val="1E293B"/>
        </w:rPr>
        <w:t xml:space="preserve">Convert provisionals to non-provisional if G1 and G2 passed</w:t>
      </w:r>
    </w:p>
    <w:p>
      <w:pPr>
        <w:pStyle w:val="ListParagraph"/>
        <w:numPr>
          <w:ilvl w:val="0"/>
          <w:numId w:val="6"/>
        </w:numPr>
        <w:spacing w:after="200"/>
      </w:pPr>
      <w:r>
        <w:rPr>
          <w:b/>
          <w:bCs/>
        </w:rPr>
        <w:t xml:space="preserve">Year 2: </w:t>
      </w:r>
      <w:r>
        <w:rPr>
          <w:color w:val="1E293B"/>
        </w:rPr>
        <w:t xml:space="preserve">PCT filing for international protection if revenue validates</w:t>
      </w:r>
    </w:p>
    <w:p>
      <w:pPr>
        <w:spacing w:after="200"/>
      </w:pPr>
      <w:r>
        <w:rPr>
          <w:b/>
          <w:bCs/>
        </w:rPr>
        <w:t xml:space="preserve">Total Patent Budget: </w:t>
      </w:r>
      <w:r>
        <w:rPr>
          <w:color w:val="1E293B"/>
        </w:rPr>
        <w:t xml:space="preserve">$25K-35K over 18 months for 2 provisionals + 2 non-provisionals. Do NOT file without prior art search ($500-1,500) - the mask-locked concept may have prior art in academic literature.</w:t>
      </w:r>
    </w:p>
    <w:p>
      <w:pPr>
        <w:pStyle w:val="Heading1"/>
      </w:pPr>
      <w:r>
        <w:t xml:space="preserve">Appendix: Source Verification Index</w:t>
      </w:r>
    </w:p>
    <w:p>
      <w:pPr>
        <w:spacing w:after="120"/>
      </w:pPr>
      <w:r>
        <w:rPr>
          <w:b/>
          <w:bCs/>
          <w:color w:val="020617"/>
        </w:rPr>
        <w:t xml:space="preserve">SD Card Power:</w:t>
      </w:r>
    </w:p>
    <w:p>
      <w:pPr>
        <w:pStyle w:val="ListParagraph"/>
        <w:numPr>
          <w:ilvl w:val="0"/>
          <w:numId w:val="3"/>
        </w:numPr>
        <w:spacing w:after="60"/>
      </w:pPr>
      <w:r>
        <w:rPr>
          <w:color w:val="1E293B"/>
          <w:sz w:val="18"/>
          <w:szCs w:val="18"/>
        </w:rPr>
        <w:t xml:space="preserve">SanDisk Industrial microSD Datasheet: "Read 400mA, Write 400mA" for UHS-I</w:t>
      </w:r>
    </w:p>
    <w:p>
      <w:pPr>
        <w:pStyle w:val="ListParagraph"/>
        <w:numPr>
          <w:ilvl w:val="0"/>
          <w:numId w:val="3"/>
        </w:numPr>
        <w:spacing w:after="120"/>
      </w:pPr>
      <w:r>
        <w:rPr>
          <w:color w:val="1E293B"/>
          <w:sz w:val="18"/>
          <w:szCs w:val="18"/>
        </w:rPr>
        <w:t xml:space="preserve">GOODRAM Industrial Datasheet: Same specifications confirmed</w:t>
      </w:r>
    </w:p>
    <w:p>
      <w:pPr>
        <w:spacing w:after="120"/>
      </w:pPr>
      <w:r>
        <w:rPr>
          <w:b/>
          <w:bCs/>
          <w:color w:val="020617"/>
        </w:rPr>
        <w:t xml:space="preserve">Raspberry Pi Power:</w:t>
      </w:r>
    </w:p>
    <w:p>
      <w:pPr>
        <w:pStyle w:val="ListParagraph"/>
        <w:numPr>
          <w:ilvl w:val="0"/>
          <w:numId w:val="3"/>
        </w:numPr>
        <w:spacing w:after="60"/>
      </w:pPr>
      <w:r>
        <w:rPr>
          <w:color w:val="1E293B"/>
          <w:sz w:val="18"/>
          <w:szCs w:val="18"/>
        </w:rPr>
        <w:t xml:space="preserve">Pi Forums: "limit to around 1-1.5A you should be ok" for 5V pin</w:t>
      </w:r>
    </w:p>
    <w:p>
      <w:pPr>
        <w:pStyle w:val="ListParagraph"/>
        <w:numPr>
          <w:ilvl w:val="0"/>
          <w:numId w:val="3"/>
        </w:numPr>
        <w:spacing w:after="60"/>
      </w:pPr>
      <w:r>
        <w:rPr>
          <w:color w:val="1E293B"/>
          <w:sz w:val="18"/>
          <w:szCs w:val="18"/>
        </w:rPr>
        <w:t xml:space="preserve">Pinout.xyz: "5v power pins...capable provide the full supply current"</w:t>
      </w:r>
    </w:p>
    <w:p>
      <w:pPr>
        <w:pStyle w:val="ListParagraph"/>
        <w:numPr>
          <w:ilvl w:val="0"/>
          <w:numId w:val="3"/>
        </w:numPr>
        <w:spacing w:after="120"/>
      </w:pPr>
      <w:r>
        <w:rPr>
          <w:color w:val="1E293B"/>
          <w:sz w:val="18"/>
          <w:szCs w:val="18"/>
        </w:rPr>
        <w:t xml:space="preserve">Pi 5 Official PSU: 5A @ 5.1V (27W)</w:t>
      </w:r>
    </w:p>
    <w:p>
      <w:pPr>
        <w:spacing w:after="120"/>
      </w:pPr>
      <w:r>
        <w:rPr>
          <w:b/>
          <w:bCs/>
          <w:color w:val="020617"/>
        </w:rPr>
        <w:t xml:space="preserve">Groq-NVIDIA Transaction:</w:t>
      </w:r>
    </w:p>
    <w:p>
      <w:pPr>
        <w:pStyle w:val="ListParagraph"/>
        <w:numPr>
          <w:ilvl w:val="0"/>
          <w:numId w:val="3"/>
        </w:numPr>
        <w:spacing w:after="60"/>
      </w:pPr>
      <w:r>
        <w:rPr>
          <w:color w:val="1E293B"/>
          <w:sz w:val="18"/>
          <w:szCs w:val="18"/>
        </w:rPr>
        <w:t xml:space="preserve">Groq press release: "non-exclusive licensing agreement"</w:t>
      </w:r>
    </w:p>
    <w:p>
      <w:pPr>
        <w:pStyle w:val="ListParagraph"/>
        <w:numPr>
          <w:ilvl w:val="0"/>
          <w:numId w:val="3"/>
        </w:numPr>
        <w:spacing w:after="60"/>
      </w:pPr>
      <w:r>
        <w:rPr>
          <w:color w:val="1E293B"/>
          <w:sz w:val="18"/>
          <w:szCs w:val="18"/>
        </w:rPr>
        <w:t xml:space="preserve">CNBC: "buying AI chip startup Groq's assets for about $20 billion"</w:t>
      </w:r>
    </w:p>
    <w:p>
      <w:pPr>
        <w:pStyle w:val="ListParagraph"/>
        <w:numPr>
          <w:ilvl w:val="0"/>
          <w:numId w:val="3"/>
        </w:numPr>
        <w:spacing w:after="60"/>
      </w:pPr>
      <w:r>
        <w:rPr>
          <w:color w:val="1E293B"/>
          <w:sz w:val="18"/>
          <w:szCs w:val="18"/>
        </w:rPr>
        <w:t xml:space="preserve">Reuters: "license to Groq's technology" + executives joining NVIDIA</w:t>
      </w:r>
    </w:p>
    <w:p>
      <w:pPr>
        <w:pStyle w:val="ListParagraph"/>
        <w:numPr>
          <w:ilvl w:val="0"/>
          <w:numId w:val="3"/>
        </w:numPr>
        <w:spacing w:after="120"/>
      </w:pPr>
      <w:r>
        <w:rPr>
          <w:color w:val="1E293B"/>
          <w:sz w:val="18"/>
          <w:szCs w:val="18"/>
        </w:rPr>
        <w:t xml:space="preserve">Medium analysis: "license and talent transfer" structure</w:t>
      </w:r>
    </w:p>
    <w:p>
      <w:pPr>
        <w:spacing w:after="120"/>
      </w:pPr>
      <w:r>
        <w:rPr>
          <w:b/>
          <w:bCs/>
          <w:color w:val="020617"/>
        </w:rPr>
        <w:t xml:space="preserve">Market Data:</w:t>
      </w:r>
    </w:p>
    <w:p>
      <w:pPr>
        <w:pStyle w:val="ListParagraph"/>
        <w:numPr>
          <w:ilvl w:val="0"/>
          <w:numId w:val="3"/>
        </w:numPr>
        <w:spacing w:after="60"/>
      </w:pPr>
      <w:r>
        <w:rPr>
          <w:color w:val="1E293B"/>
          <w:sz w:val="18"/>
          <w:szCs w:val="18"/>
        </w:rPr>
        <w:t xml:space="preserve">Business Research Co: Edge AI chips $7.05B (2025)</w:t>
      </w:r>
    </w:p>
    <w:p>
      <w:pPr>
        <w:pStyle w:val="ListParagraph"/>
        <w:numPr>
          <w:ilvl w:val="0"/>
          <w:numId w:val="3"/>
        </w:numPr>
        <w:spacing w:after="60"/>
      </w:pPr>
      <w:r>
        <w:rPr>
          <w:color w:val="1E293B"/>
          <w:sz w:val="18"/>
          <w:szCs w:val="18"/>
        </w:rPr>
        <w:t xml:space="preserve">Fortune Business Insights: Edge AI $35.8B (2025)</w:t>
      </w:r>
    </w:p>
    <w:p>
      <w:pPr>
        <w:pStyle w:val="ListParagraph"/>
        <w:numPr>
          <w:ilvl w:val="0"/>
          <w:numId w:val="3"/>
        </w:numPr>
        <w:spacing w:after="120"/>
      </w:pPr>
      <w:r>
        <w:rPr>
          <w:color w:val="1E293B"/>
          <w:sz w:val="18"/>
          <w:szCs w:val="18"/>
        </w:rPr>
        <w:t xml:space="preserve">STL Partners: $157B TAM for edge AI use cases (2030)</w:t>
      </w:r>
    </w:p>
    <w:p>
      <w:pPr>
        <w:spacing w:after="120"/>
      </w:pPr>
      <w:r>
        <w:rPr>
          <w:b/>
          <w:bCs/>
          <w:color w:val="020617"/>
        </w:rPr>
        <w:t xml:space="preserve">Development Tools:</w:t>
      </w:r>
    </w:p>
    <w:p>
      <w:pPr>
        <w:pStyle w:val="ListParagraph"/>
        <w:numPr>
          <w:ilvl w:val="0"/>
          <w:numId w:val="3"/>
        </w:numPr>
        <w:spacing w:after="60"/>
      </w:pPr>
      <w:r>
        <w:rPr>
          <w:color w:val="1E293B"/>
          <w:sz w:val="18"/>
          <w:szCs w:val="18"/>
        </w:rPr>
        <w:t xml:space="preserve">AMD Kria KV260: $249 MSRP (official AMD site)</w:t>
      </w:r>
    </w:p>
    <w:p>
      <w:pPr>
        <w:pStyle w:val="ListParagraph"/>
        <w:numPr>
          <w:ilvl w:val="0"/>
          <w:numId w:val="3"/>
        </w:numPr>
        <w:spacing w:after="60"/>
      </w:pPr>
      <w:r>
        <w:rPr>
          <w:color w:val="1E293B"/>
          <w:sz w:val="18"/>
          <w:szCs w:val="18"/>
        </w:rPr>
        <w:t xml:space="preserve">FPGA Developer rates: $80-125/hr (Indeed), £70-80/hr UK (IT Jobs Watch)</w:t>
      </w:r>
    </w:p>
    <w:p>
      <w:pPr>
        <w:pStyle w:val="ListParagraph"/>
        <w:numPr>
          <w:ilvl w:val="0"/>
          <w:numId w:val="3"/>
        </w:numPr>
        <w:spacing w:after="120"/>
      </w:pPr>
      <w:r>
        <w:rPr>
          <w:color w:val="1E293B"/>
          <w:sz w:val="18"/>
          <w:szCs w:val="18"/>
        </w:rPr>
        <w:t xml:space="preserve">GlobalFoundries 22FDX MPW: $24,075/mm² academic (CMC Canada)</w:t>
      </w:r>
    </w:p>
    <w:p>
      <w:pPr>
        <w:pStyle w:val="Heading1"/>
      </w:pPr>
      <w:r>
        <w:t xml:space="preserve">Conclusion</w:t>
      </w:r>
    </w:p>
    <w:p>
      <w:pPr>
        <w:spacing w:after="120"/>
      </w:pPr>
      <w:r>
        <w:rPr>
          <w:color w:val="1E293B"/>
        </w:rPr>
        <w:t xml:space="preserve">This execution plan corrects critical errors from v4.0 while preserving the core strategic insights:</w:t>
      </w:r>
    </w:p>
    <w:p>
      <w:pPr>
        <w:pStyle w:val="ListParagraph"/>
        <w:numPr>
          <w:ilvl w:val="0"/>
          <w:numId w:val="7"/>
        </w:numPr>
        <w:spacing w:after="60"/>
      </w:pPr>
      <w:r>
        <w:rPr>
          <w:b/>
          <w:bCs/>
        </w:rPr>
        <w:t xml:space="preserve">Power budgets corrected: </w:t>
      </w:r>
      <w:r>
        <w:rPr>
          <w:color w:val="1E293B"/>
        </w:rPr>
        <w:t xml:space="preserve">1W for SD (not 2.6W), 5W for HAT (new tier), 15-50W for Thunderbolt 5</w:t>
      </w:r>
    </w:p>
    <w:p>
      <w:pPr>
        <w:pStyle w:val="ListParagraph"/>
        <w:numPr>
          <w:ilvl w:val="0"/>
          <w:numId w:val="7"/>
        </w:numPr>
        <w:spacing w:after="60"/>
      </w:pPr>
      <w:r>
        <w:rPr>
          <w:b/>
          <w:bCs/>
        </w:rPr>
        <w:t xml:space="preserve">HAT prioritized: </w:t>
      </w:r>
      <w:r>
        <w:rPr>
          <w:color w:val="1E293B"/>
        </w:rPr>
        <w:t xml:space="preserve">Better power headroom, established ecosystem, higher price tolerance</w:t>
      </w:r>
    </w:p>
    <w:p>
      <w:pPr>
        <w:pStyle w:val="ListParagraph"/>
        <w:numPr>
          <w:ilvl w:val="0"/>
          <w:numId w:val="7"/>
        </w:numPr>
        <w:spacing w:after="60"/>
      </w:pPr>
      <w:r>
        <w:rPr>
          <w:b/>
          <w:bCs/>
        </w:rPr>
        <w:t xml:space="preserve">Pre-order gate added: </w:t>
      </w:r>
      <w:r>
        <w:rPr>
          <w:color w:val="1E293B"/>
        </w:rPr>
        <w:t xml:space="preserve">Customer cash before MPW commitment protects capital</w:t>
      </w:r>
    </w:p>
    <w:p>
      <w:pPr>
        <w:pStyle w:val="ListParagraph"/>
        <w:numPr>
          <w:ilvl w:val="0"/>
          <w:numId w:val="7"/>
        </w:numPr>
        <w:spacing w:after="60"/>
      </w:pPr>
      <w:r>
        <w:rPr>
          <w:b/>
          <w:bCs/>
        </w:rPr>
        <w:t xml:space="preserve">COGS specified: </w:t>
      </w:r>
      <w:r>
        <w:rPr>
          <w:color w:val="1E293B"/>
        </w:rPr>
        <w:t xml:space="preserve">$6.50-45 depending on tier, enabling realistic pricing and margin analysis</w:t>
      </w:r>
    </w:p>
    <w:p>
      <w:pPr>
        <w:pStyle w:val="ListParagraph"/>
        <w:numPr>
          <w:ilvl w:val="0"/>
          <w:numId w:val="7"/>
        </w:numPr>
        <w:spacing w:after="60"/>
      </w:pPr>
      <w:r>
        <w:rPr>
          <w:b/>
          <w:bCs/>
        </w:rPr>
        <w:t xml:space="preserve">Timeline realistic: </w:t>
      </w:r>
      <w:r>
        <w:rPr>
          <w:color w:val="1E293B"/>
        </w:rPr>
        <w:t xml:space="preserve">24 months for solo developer with contractor support</w:t>
      </w:r>
    </w:p>
    <w:p>
      <w:pPr>
        <w:pStyle w:val="ListParagraph"/>
        <w:numPr>
          <w:ilvl w:val="0"/>
          <w:numId w:val="7"/>
        </w:numPr>
        <w:spacing w:after="200"/>
      </w:pPr>
      <w:r>
        <w:rPr>
          <w:b/>
          <w:bCs/>
        </w:rPr>
        <w:t xml:space="preserve">Software ecosystem: </w:t>
      </w:r>
      <w:r>
        <w:rPr>
          <w:color w:val="1E293B"/>
        </w:rPr>
        <w:t xml:space="preserve">Open-source SDK from day 1 with OpenAI-compatible API</w:t>
      </w:r>
    </w:p>
    <w:p>
      <w:pPr>
        <w:spacing w:after="200"/>
      </w:pPr>
      <w:r>
        <w:rPr>
          <w:color w:val="1E293B"/>
        </w:rPr>
        <w:t xml:space="preserve">The plan is executable with $150K-200K seed capital over 24 months. Success requires passing the pre-order gate (G1) before committing to silicon. The mask-locked architecture remains technically sound; this plan provides the financial discipline and market validation framework needed for a solo developer to execute responsibly.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Mask-Locked Inference Chip | Execution Plan v5.0 (Verified)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48"/>
      <w:szCs w:val="48"/>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E293B"/>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2026-03-04T07:47:22.056Z</dcterms:created>
  <dcterms:modified xsi:type="dcterms:W3CDTF">2026-03-04T07:47:22.056Z</dcterms:modified>
</cp:coreProperties>
</file>

<file path=docProps/custom.xml><?xml version="1.0" encoding="utf-8"?>
<Properties xmlns="http://schemas.openxmlformats.org/officeDocument/2006/custom-properties" xmlns:vt="http://schemas.openxmlformats.org/officeDocument/2006/docPropsVTypes"/>
</file>