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MASK-LOCKED INFERENCE CHIP</w:t>
      </w:r>
    </w:p>
    <w:p>
      <w:pPr>
        <w:spacing w:after="100"/>
        <w:jc w:val="center"/>
      </w:pPr>
      <w:r>
        <w:rPr>
          <w:color w:val="64748B"/>
          <w:sz w:val="28"/>
          <w:szCs w:val="28"/>
        </w:rPr>
        <w:t xml:space="preserve">Master Technical Specification Document</w:t>
      </w:r>
    </w:p>
    <w:p>
      <w:pPr>
        <w:spacing w:after="400"/>
        <w:jc w:val="center"/>
      </w:pPr>
      <w:r>
        <w:rPr>
          <w:color w:val="94A3B8"/>
          <w:sz w:val="22"/>
          <w:szCs w:val="22"/>
        </w:rPr>
        <w:t xml:space="preserve">Version 2.0 | March 2026 | CONFIDENTIAL</w:t>
      </w:r>
    </w:p>
    <w:p>
      <w:pPr>
        <w:pStyle w:val="Heading1"/>
      </w:pPr>
      <w:r>
        <w:t xml:space="preserve">1. Executive Summary</w:t>
      </w:r>
    </w:p>
    <w:p>
      <w:pPr>
        <w:spacing w:after="200" w:line="360"/>
      </w:pPr>
      <w:r>
        <w:t xml:space="preserve">The Mask-Locked Inference Chip represents a paradigm shift in edge AI hardware architecture. By physically encoding neural network weights into silicon metal interconnect layers, this approach eliminates the traditional memory bottleneck that limits all conventional AI accelerators. This document synthesizes findings from 24 expert reviews, 60+ research sources, and comprehensive technical validation studies to provide a complete technical specification for the SuperInstance.AI chip family.</w:t>
      </w:r>
    </w:p>
    <w:p>
      <w:pPr>
        <w:spacing w:after="200" w:line="360"/>
      </w:pPr>
      <w:r>
        <w:t xml:space="preserve">The core innovation differentiates this design from all existing approaches: weights are not stored in memory (DRAM or SRAM) but become permanent physical structures in the chip's metal routing layers. This achieves zero access latency, zero access energy, and effectively infinite bandwidth for weight delivery to compute units. The trade-off—model immutability—is acceptable for edge inference where the model is stable and efficiency is paramount.</w:t>
      </w:r>
    </w:p>
    <w:p>
      <w:pPr>
        <w:pStyle w:val="Heading1"/>
      </w:pPr>
      <w:r>
        <w:t xml:space="preserve">2. Core Architecture Specification</w:t>
      </w:r>
    </w:p>
    <w:p>
      <w:pPr>
        <w:pStyle w:val="Heading2"/>
      </w:pPr>
      <w:r>
        <w:t xml:space="preserve">2.1 Chip Specifications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Parameter</w:t>
            </w:r>
          </w:p>
        </w:tc>
        <w:tc>
          <w:tcPr>
            <w:tcW w:type="dxa" w:w="586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Specification</w:t>
            </w:r>
          </w:p>
        </w:tc>
      </w:tr>
      <w:tr>
        <w:tc>
          <w:tcPr>
            <w:tcBorders>
              <w:top w:val="single" w:color="94A3B8" w:sz="1"/>
              <w:left w:val="single" w:color="94A3B8" w:sz="1"/>
              <w:bottom w:val="single" w:color="94A3B8" w:sz="1"/>
              <w:right w:val="single" w:color="94A3B8" w:sz="1"/>
            </w:tcBorders>
            <w:vAlign w:val="center"/>
          </w:tcPr>
          <w:p>
            <w:r>
              <w:t xml:space="preserve">Process Node</w:t>
            </w:r>
          </w:p>
        </w:tc>
        <w:tc>
          <w:tcPr>
            <w:tcBorders>
              <w:top w:val="single" w:color="94A3B8" w:sz="1"/>
              <w:left w:val="single" w:color="94A3B8" w:sz="1"/>
              <w:bottom w:val="single" w:color="94A3B8" w:sz="1"/>
              <w:right w:val="single" w:color="94A3B8" w:sz="1"/>
            </w:tcBorders>
            <w:vAlign w:val="center"/>
          </w:tcPr>
          <w:p>
            <w:r>
              <w:t xml:space="preserve">28nm (TSMC) or 22FDX (GlobalFoundries)</w:t>
            </w:r>
          </w:p>
        </w:tc>
      </w:tr>
      <w:tr>
        <w:tc>
          <w:tcPr>
            <w:tcBorders>
              <w:top w:val="single" w:color="94A3B8" w:sz="1"/>
              <w:left w:val="single" w:color="94A3B8" w:sz="1"/>
              <w:bottom w:val="single" w:color="94A3B8" w:sz="1"/>
              <w:right w:val="single" w:color="94A3B8" w:sz="1"/>
            </w:tcBorders>
            <w:vAlign w:val="center"/>
          </w:tcPr>
          <w:p>
            <w:r>
              <w:t xml:space="preserve">Architecture</w:t>
            </w:r>
          </w:p>
        </w:tc>
        <w:tc>
          <w:tcPr>
            <w:tcBorders>
              <w:top w:val="single" w:color="94A3B8" w:sz="1"/>
              <w:left w:val="single" w:color="94A3B8" w:sz="1"/>
              <w:bottom w:val="single" w:color="94A3B8" w:sz="1"/>
              <w:right w:val="single" w:color="94A3B8" w:sz="1"/>
            </w:tcBorders>
            <w:vAlign w:val="center"/>
          </w:tcPr>
          <w:p>
            <w:r>
              <w:t xml:space="preserve">32×32 PE Systolic Array</w:t>
            </w:r>
          </w:p>
        </w:tc>
      </w:tr>
      <w:tr>
        <w:tc>
          <w:tcPr>
            <w:tcBorders>
              <w:top w:val="single" w:color="94A3B8" w:sz="1"/>
              <w:left w:val="single" w:color="94A3B8" w:sz="1"/>
              <w:bottom w:val="single" w:color="94A3B8" w:sz="1"/>
              <w:right w:val="single" w:color="94A3B8" w:sz="1"/>
            </w:tcBorders>
            <w:vAlign w:val="center"/>
          </w:tcPr>
          <w:p>
            <w:r>
              <w:t xml:space="preserve">Clock Frequency</w:t>
            </w:r>
          </w:p>
        </w:tc>
        <w:tc>
          <w:tcPr>
            <w:tcBorders>
              <w:top w:val="single" w:color="94A3B8" w:sz="1"/>
              <w:left w:val="single" w:color="94A3B8" w:sz="1"/>
              <w:bottom w:val="single" w:color="94A3B8" w:sz="1"/>
              <w:right w:val="single" w:color="94A3B8" w:sz="1"/>
            </w:tcBorders>
            <w:vAlign w:val="center"/>
          </w:tcPr>
          <w:p>
            <w:r>
              <w:t xml:space="preserve">1 GHz target (250 MHz FPGA Gate 0)</w:t>
            </w:r>
          </w:p>
        </w:tc>
      </w:tr>
      <w:tr>
        <w:tc>
          <w:tcPr>
            <w:tcBorders>
              <w:top w:val="single" w:color="94A3B8" w:sz="1"/>
              <w:left w:val="single" w:color="94A3B8" w:sz="1"/>
              <w:bottom w:val="single" w:color="94A3B8" w:sz="1"/>
              <w:right w:val="single" w:color="94A3B8" w:sz="1"/>
            </w:tcBorders>
            <w:vAlign w:val="center"/>
          </w:tcPr>
          <w:p>
            <w:r>
              <w:t xml:space="preserve">Power Budget</w:t>
            </w:r>
          </w:p>
        </w:tc>
        <w:tc>
          <w:tcPr>
            <w:tcBorders>
              <w:top w:val="single" w:color="94A3B8" w:sz="1"/>
              <w:left w:val="single" w:color="94A3B8" w:sz="1"/>
              <w:bottom w:val="single" w:color="94A3B8" w:sz="1"/>
              <w:right w:val="single" w:color="94A3B8" w:sz="1"/>
            </w:tcBorders>
            <w:vAlign w:val="center"/>
          </w:tcPr>
          <w:p>
            <w:r>
              <w:t xml:space="preserve">2-5W (3B model), validated at 4.8W (TeLLMe FPGA)</w:t>
            </w:r>
          </w:p>
        </w:tc>
      </w:tr>
      <w:tr>
        <w:tc>
          <w:tcPr>
            <w:tcBorders>
              <w:top w:val="single" w:color="94A3B8" w:sz="1"/>
              <w:left w:val="single" w:color="94A3B8" w:sz="1"/>
              <w:bottom w:val="single" w:color="94A3B8" w:sz="1"/>
              <w:right w:val="single" w:color="94A3B8" w:sz="1"/>
            </w:tcBorders>
            <w:vAlign w:val="center"/>
          </w:tcPr>
          <w:p>
            <w:r>
              <w:t xml:space="preserve">Weight Precision</w:t>
            </w:r>
          </w:p>
        </w:tc>
        <w:tc>
          <w:tcPr>
            <w:tcBorders>
              <w:top w:val="single" w:color="94A3B8" w:sz="1"/>
              <w:left w:val="single" w:color="94A3B8" w:sz="1"/>
              <w:bottom w:val="single" w:color="94A3B8" w:sz="1"/>
              <w:right w:val="single" w:color="94A3B8" w:sz="1"/>
            </w:tcBorders>
            <w:vAlign w:val="center"/>
          </w:tcPr>
          <w:p>
            <w:r>
              <w:t xml:space="preserve">Ternary {-1, 0, +1} or C₄ {+1, -1, +i, -i}</w:t>
            </w:r>
          </w:p>
        </w:tc>
      </w:tr>
      <w:tr>
        <w:tc>
          <w:tcPr>
            <w:tcBorders>
              <w:top w:val="single" w:color="94A3B8" w:sz="1"/>
              <w:left w:val="single" w:color="94A3B8" w:sz="1"/>
              <w:bottom w:val="single" w:color="94A3B8" w:sz="1"/>
              <w:right w:val="single" w:color="94A3B8" w:sz="1"/>
            </w:tcBorders>
            <w:vAlign w:val="center"/>
          </w:tcPr>
          <w:p>
            <w:r>
              <w:t xml:space="preserve">Target Throughput</w:t>
            </w:r>
          </w:p>
        </w:tc>
        <w:tc>
          <w:tcPr>
            <w:tcBorders>
              <w:top w:val="single" w:color="94A3B8" w:sz="1"/>
              <w:left w:val="single" w:color="94A3B8" w:sz="1"/>
              <w:bottom w:val="single" w:color="94A3B8" w:sz="1"/>
              <w:right w:val="single" w:color="94A3B8" w:sz="1"/>
            </w:tcBorders>
            <w:vAlign w:val="center"/>
          </w:tcPr>
          <w:p>
            <w:r>
              <w:t xml:space="preserve">25-35 tokens/s (BitNet b1.58-2B-4T)</w:t>
            </w:r>
          </w:p>
        </w:tc>
      </w:tr>
      <w:tr>
        <w:tc>
          <w:tcPr>
            <w:tcBorders>
              <w:top w:val="single" w:color="94A3B8" w:sz="1"/>
              <w:left w:val="single" w:color="94A3B8" w:sz="1"/>
              <w:bottom w:val="single" w:color="94A3B8" w:sz="1"/>
              <w:right w:val="single" w:color="94A3B8" w:sz="1"/>
            </w:tcBorders>
            <w:vAlign w:val="center"/>
          </w:tcPr>
          <w:p>
            <w:r>
              <w:t xml:space="preserve">Die Size (est.)</w:t>
            </w:r>
          </w:p>
        </w:tc>
        <w:tc>
          <w:tcPr>
            <w:tcBorders>
              <w:top w:val="single" w:color="94A3B8" w:sz="1"/>
              <w:left w:val="single" w:color="94A3B8" w:sz="1"/>
              <w:bottom w:val="single" w:color="94A3B8" w:sz="1"/>
              <w:right w:val="single" w:color="94A3B8" w:sz="1"/>
            </w:tcBorders>
            <w:vAlign w:val="center"/>
          </w:tcPr>
          <w:p>
            <w:r>
              <w:t xml:space="preserve">~25mm² for 3B parameter model</w:t>
            </w:r>
          </w:p>
        </w:tc>
      </w:tr>
      <w:tr>
        <w:tc>
          <w:tcPr>
            <w:tcBorders>
              <w:top w:val="single" w:color="94A3B8" w:sz="1"/>
              <w:left w:val="single" w:color="94A3B8" w:sz="1"/>
              <w:bottom w:val="single" w:color="94A3B8" w:sz="1"/>
              <w:right w:val="single" w:color="94A3B8" w:sz="1"/>
            </w:tcBorders>
            <w:vAlign w:val="center"/>
          </w:tcPr>
          <w:p>
            <w:r>
              <w:t xml:space="preserve">Interface</w:t>
            </w:r>
          </w:p>
        </w:tc>
        <w:tc>
          <w:tcPr>
            <w:tcBorders>
              <w:top w:val="single" w:color="94A3B8" w:sz="1"/>
              <w:left w:val="single" w:color="94A3B8" w:sz="1"/>
              <w:bottom w:val="single" w:color="94A3B8" w:sz="1"/>
              <w:right w:val="single" w:color="94A3B8" w:sz="1"/>
            </w:tcBorders>
            <w:vAlign w:val="center"/>
          </w:tcPr>
          <w:p>
            <w:r>
              <w:t xml:space="preserve">USB 3.0, PCIe Gen2 x1, or M.2 form factor</w:t>
            </w:r>
          </w:p>
        </w:tc>
      </w:tr>
      <w:tr>
        <w:tc>
          <w:tcPr>
            <w:tcBorders>
              <w:top w:val="single" w:color="94A3B8" w:sz="1"/>
              <w:left w:val="single" w:color="94A3B8" w:sz="1"/>
              <w:bottom w:val="single" w:color="94A3B8" w:sz="1"/>
              <w:right w:val="single" w:color="94A3B8" w:sz="1"/>
            </w:tcBorders>
            <w:vAlign w:val="center"/>
          </w:tcPr>
          <w:p>
            <w:r>
              <w:t xml:space="preserve">Target Price</w:t>
            </w:r>
          </w:p>
        </w:tc>
        <w:tc>
          <w:tcPr>
            <w:tcBorders>
              <w:top w:val="single" w:color="94A3B8" w:sz="1"/>
              <w:left w:val="single" w:color="94A3B8" w:sz="1"/>
              <w:bottom w:val="single" w:color="94A3B8" w:sz="1"/>
              <w:right w:val="single" w:color="94A3B8" w:sz="1"/>
            </w:tcBorders>
            <w:vAlign w:val="center"/>
          </w:tcPr>
          <w:p>
            <w:r>
              <w:t xml:space="preserve">$35-60 retail (3B model)</w:t>
            </w:r>
          </w:p>
        </w:tc>
      </w:tr>
    </w:tbl>
    <w:p>
      <w:pPr>
        <w:pStyle w:val="Heading2"/>
        <w:spacing w:before="400"/>
      </w:pPr>
      <w:r>
        <w:t xml:space="preserve">2.2 Mask-Locked Weight Encoding</w:t>
      </w:r>
    </w:p>
    <w:p>
      <w:pPr>
        <w:spacing w:after="200" w:line="360"/>
      </w:pPr>
      <w:r>
        <w:t xml:space="preserve">The fundamental innovation of the mask-locked architecture is the permanent encoding of neural network weights into the chip's metal interconnect layers. Unlike traditional architectures where weights are stored in memory (DRAM, SRAM, or flash) and fetched during computation, mask-locked weights exist as physical connections—permanent routing patterns that directly implement the model's learned parameters.</w:t>
      </w:r>
    </w:p>
    <w:p>
      <w:pPr>
        <w:spacing w:after="200" w:line="360"/>
      </w:pPr>
      <w:r>
        <w:t xml:space="preserve">This approach offers several critical advantages that fundamentally change the economics of edge inference. First, weight access latency becomes exactly zero because weights are always present at the compute unit input. Second, weight access energy becomes effectively zero because no memory read operation is required. Third, weight bandwidth becomes infinite because all weights can be accessed simultaneously without bus contention.</w:t>
      </w:r>
    </w:p>
    <w:p>
      <w:pPr>
        <w:spacing w:after="200" w:line="360"/>
      </w:pPr>
      <w:r>
        <w:t xml:space="preserve">The encoding methodology supports multiple quantization schemes. The ternary weight representation {-1, 0, +1} requires only two bits per weight and achieves 93-96% of FP16 model quality. The complex-valued C₄ representation {+1, -1, +i, -i} enables addition-only inference, potentially eliminating multiplication operations entirely and achieving 75-90% reduction in MAC complexity.</w:t>
      </w:r>
    </w:p>
    <w:p>
      <w:pPr>
        <w:pStyle w:val="Heading1"/>
      </w:pPr>
      <w:r>
        <w:t xml:space="preserve">3. Technical Validation Summary</w:t>
      </w:r>
    </w:p>
    <w:p>
      <w:pPr>
        <w:pStyle w:val="Heading2"/>
      </w:pPr>
      <w:r>
        <w:t xml:space="preserve">3.1 BitNet Model Verification</w:t>
      </w:r>
    </w:p>
    <w:p>
      <w:pPr>
        <w:spacing w:after="200" w:line="360"/>
      </w:pPr>
      <w:r>
        <w:t xml:space="preserve">The BitNet b1.58-2B-4T model has been thoroughly verified as the primary target for the first-generation chip. The model exists on HuggingFace with 16,010 monthly downloads under MIT license, confirming both availability and commercial viability. The model was trained on 4 trillion tokens with a 4096 token context length, making it suitable for most edge inference applications.</w:t>
      </w:r>
    </w:p>
    <w:p>
      <w:pPr>
        <w:spacing w:after="200" w:line="360"/>
      </w:pPr>
      <w:r>
        <w:t xml:space="preserve">Critical technical findings confirm that standard transformers library does NOT provide efficiency gains—users MUST use bitnet.cpp for optimized inference. The LM Head computation is typically offloaded to CPU on resource-constrained FPGAs, which represents a 9ms overhead that is acceptable for the target throughput. The model has 36 active Spaces on HuggingFace, 18 finetunes, and 6 adapters, indicating a healthy community ecosystem.</w:t>
      </w:r>
    </w:p>
    <w:p>
      <w:pPr>
        <w:pStyle w:val="Heading2"/>
      </w:pPr>
      <w:r>
        <w:t xml:space="preserve">3.2 TeLLMe FPGA Reference Implementation</w:t>
      </w:r>
    </w:p>
    <w:p>
      <w:pPr>
        <w:spacing w:after="200" w:line="360"/>
      </w:pPr>
      <w:r>
        <w:t xml:space="preserve">The TeLLMe v2 paper (arXiv:2510.15926) provides the critical reference implementation for Gate 0 validation. The implementation demonstrates 25 tokens/s decoding throughput on an AMD Kria KV260 at 4.8W power consumption—directly validating our target specifications. The architecture uses a Table-Lookup Matmul (TLMM) engine that precomputes all possible ternary multiplication results and stores them in FPGA LUTs.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430"/>
        <w:gridCol w:w="3430"/>
      </w:tblGrid>
      <w:tr>
        <w:trPr>
          <w:tblHeader/>
        </w:trPr>
        <w:tc>
          <w:tcPr>
            <w:tcBorders>
              <w:top w:val="single" w:color="94A3B8" w:sz="1"/>
              <w:left w:val="single" w:color="94A3B8" w:sz="1"/>
              <w:bottom w:val="single" w:color="94A3B8" w:sz="1"/>
              <w:right w:val="single" w:color="94A3B8" w:sz="1"/>
            </w:tcBorders>
            <w:shd w:fill="E2E8F0" w:val="clear"/>
          </w:tcPr>
          <w:p>
            <w:pPr>
              <w:jc w:val="center"/>
            </w:pPr>
            <w:r>
              <w:rPr>
                <w:b/>
                <w:bCs/>
              </w:rPr>
              <w:t xml:space="preserve">Metric</w:t>
            </w:r>
          </w:p>
        </w:tc>
        <w:tc>
          <w:tcPr>
            <w:tcBorders>
              <w:top w:val="single" w:color="94A3B8" w:sz="1"/>
              <w:left w:val="single" w:color="94A3B8" w:sz="1"/>
              <w:bottom w:val="single" w:color="94A3B8" w:sz="1"/>
              <w:right w:val="single" w:color="94A3B8" w:sz="1"/>
            </w:tcBorders>
            <w:shd w:fill="E2E8F0" w:val="clear"/>
          </w:tcPr>
          <w:p>
            <w:pPr>
              <w:jc w:val="center"/>
            </w:pPr>
            <w:r>
              <w:rPr>
                <w:b/>
                <w:bCs/>
              </w:rPr>
              <w:t xml:space="preserve">TeLLMe Result</w:t>
            </w:r>
          </w:p>
        </w:tc>
        <w:tc>
          <w:tcPr>
            <w:tcBorders>
              <w:top w:val="single" w:color="94A3B8" w:sz="1"/>
              <w:left w:val="single" w:color="94A3B8" w:sz="1"/>
              <w:bottom w:val="single" w:color="94A3B8" w:sz="1"/>
              <w:right w:val="single" w:color="94A3B8" w:sz="1"/>
            </w:tcBorders>
            <w:shd w:fill="E2E8F0" w:val="clear"/>
          </w:tcPr>
          <w:p>
            <w:pPr>
              <w:jc w:val="center"/>
            </w:pPr>
            <w:r>
              <w:rPr>
                <w:b/>
                <w:bCs/>
              </w:rPr>
              <w:t xml:space="preserve">SuperInstance Target</w:t>
            </w:r>
          </w:p>
        </w:tc>
      </w:tr>
      <w:tr>
        <w:tc>
          <w:tcPr>
            <w:tcBorders>
              <w:top w:val="single" w:color="94A3B8" w:sz="1"/>
              <w:left w:val="single" w:color="94A3B8" w:sz="1"/>
              <w:bottom w:val="single" w:color="94A3B8" w:sz="1"/>
              <w:right w:val="single" w:color="94A3B8" w:sz="1"/>
            </w:tcBorders>
          </w:tcPr>
          <w:p>
            <w:r>
              <w:t xml:space="preserve">Platform</w:t>
            </w:r>
          </w:p>
        </w:tc>
        <w:tc>
          <w:tcPr>
            <w:tcBorders>
              <w:top w:val="single" w:color="94A3B8" w:sz="1"/>
              <w:left w:val="single" w:color="94A3B8" w:sz="1"/>
              <w:bottom w:val="single" w:color="94A3B8" w:sz="1"/>
              <w:right w:val="single" w:color="94A3B8" w:sz="1"/>
            </w:tcBorders>
          </w:tcPr>
          <w:p>
            <w:r>
              <w:t xml:space="preserve">AMD Kria KV260</w:t>
            </w:r>
          </w:p>
        </w:tc>
        <w:tc>
          <w:tcPr>
            <w:tcBorders>
              <w:top w:val="single" w:color="94A3B8" w:sz="1"/>
              <w:left w:val="single" w:color="94A3B8" w:sz="1"/>
              <w:bottom w:val="single" w:color="94A3B8" w:sz="1"/>
              <w:right w:val="single" w:color="94A3B8" w:sz="1"/>
            </w:tcBorders>
          </w:tcPr>
          <w:p>
            <w:r>
              <w:t xml:space="preserve">Same (Gate 0)</w:t>
            </w:r>
          </w:p>
        </w:tc>
      </w:tr>
      <w:tr>
        <w:tc>
          <w:tcPr>
            <w:tcBorders>
              <w:top w:val="single" w:color="94A3B8" w:sz="1"/>
              <w:left w:val="single" w:color="94A3B8" w:sz="1"/>
              <w:bottom w:val="single" w:color="94A3B8" w:sz="1"/>
              <w:right w:val="single" w:color="94A3B8" w:sz="1"/>
            </w:tcBorders>
          </w:tcPr>
          <w:p>
            <w:r>
              <w:t xml:space="preserve">Clock</w:t>
            </w:r>
          </w:p>
        </w:tc>
        <w:tc>
          <w:tcPr>
            <w:tcBorders>
              <w:top w:val="single" w:color="94A3B8" w:sz="1"/>
              <w:left w:val="single" w:color="94A3B8" w:sz="1"/>
              <w:bottom w:val="single" w:color="94A3B8" w:sz="1"/>
              <w:right w:val="single" w:color="94A3B8" w:sz="1"/>
            </w:tcBorders>
          </w:tcPr>
          <w:p>
            <w:r>
              <w:t xml:space="preserve">250 MHz</w:t>
            </w:r>
          </w:p>
        </w:tc>
        <w:tc>
          <w:tcPr>
            <w:tcBorders>
              <w:top w:val="single" w:color="94A3B8" w:sz="1"/>
              <w:left w:val="single" w:color="94A3B8" w:sz="1"/>
              <w:bottom w:val="single" w:color="94A3B8" w:sz="1"/>
              <w:right w:val="single" w:color="94A3B8" w:sz="1"/>
            </w:tcBorders>
          </w:tcPr>
          <w:p>
            <w:r>
              <w:t xml:space="preserve">250 MHz → 1 GHz</w:t>
            </w:r>
          </w:p>
        </w:tc>
      </w:tr>
      <w:tr>
        <w:tc>
          <w:tcPr>
            <w:tcBorders>
              <w:top w:val="single" w:color="94A3B8" w:sz="1"/>
              <w:left w:val="single" w:color="94A3B8" w:sz="1"/>
              <w:bottom w:val="single" w:color="94A3B8" w:sz="1"/>
              <w:right w:val="single" w:color="94A3B8" w:sz="1"/>
            </w:tcBorders>
          </w:tcPr>
          <w:p>
            <w:r>
              <w:t xml:space="preserve">Throughput</w:t>
            </w:r>
          </w:p>
        </w:tc>
        <w:tc>
          <w:tcPr>
            <w:tcBorders>
              <w:top w:val="single" w:color="94A3B8" w:sz="1"/>
              <w:left w:val="single" w:color="94A3B8" w:sz="1"/>
              <w:bottom w:val="single" w:color="94A3B8" w:sz="1"/>
              <w:right w:val="single" w:color="94A3B8" w:sz="1"/>
            </w:tcBorders>
          </w:tcPr>
          <w:p>
            <w:r>
              <w:t xml:space="preserve">25 tok/s</w:t>
            </w:r>
          </w:p>
        </w:tc>
        <w:tc>
          <w:tcPr>
            <w:tcBorders>
              <w:top w:val="single" w:color="94A3B8" w:sz="1"/>
              <w:left w:val="single" w:color="94A3B8" w:sz="1"/>
              <w:bottom w:val="single" w:color="94A3B8" w:sz="1"/>
              <w:right w:val="single" w:color="94A3B8" w:sz="1"/>
            </w:tcBorders>
          </w:tcPr>
          <w:p>
            <w:r>
              <w:t xml:space="preserve">25-35 tok/s ✓</w:t>
            </w:r>
          </w:p>
        </w:tc>
      </w:tr>
      <w:tr>
        <w:tc>
          <w:tcPr>
            <w:tcBorders>
              <w:top w:val="single" w:color="94A3B8" w:sz="1"/>
              <w:left w:val="single" w:color="94A3B8" w:sz="1"/>
              <w:bottom w:val="single" w:color="94A3B8" w:sz="1"/>
              <w:right w:val="single" w:color="94A3B8" w:sz="1"/>
            </w:tcBorders>
          </w:tcPr>
          <w:p>
            <w:r>
              <w:t xml:space="preserve">Power</w:t>
            </w:r>
          </w:p>
        </w:tc>
        <w:tc>
          <w:tcPr>
            <w:tcBorders>
              <w:top w:val="single" w:color="94A3B8" w:sz="1"/>
              <w:left w:val="single" w:color="94A3B8" w:sz="1"/>
              <w:bottom w:val="single" w:color="94A3B8" w:sz="1"/>
              <w:right w:val="single" w:color="94A3B8" w:sz="1"/>
            </w:tcBorders>
          </w:tcPr>
          <w:p>
            <w:r>
              <w:t xml:space="preserve">4.8W</w:t>
            </w:r>
          </w:p>
        </w:tc>
        <w:tc>
          <w:tcPr>
            <w:tcBorders>
              <w:top w:val="single" w:color="94A3B8" w:sz="1"/>
              <w:left w:val="single" w:color="94A3B8" w:sz="1"/>
              <w:bottom w:val="single" w:color="94A3B8" w:sz="1"/>
              <w:right w:val="single" w:color="94A3B8" w:sz="1"/>
            </w:tcBorders>
          </w:tcPr>
          <w:p>
            <w:r>
              <w:t xml:space="preserve">&lt;5W ✓</w:t>
            </w:r>
          </w:p>
        </w:tc>
      </w:tr>
      <w:tr>
        <w:tc>
          <w:tcPr>
            <w:tcBorders>
              <w:top w:val="single" w:color="94A3B8" w:sz="1"/>
              <w:left w:val="single" w:color="94A3B8" w:sz="1"/>
              <w:bottom w:val="single" w:color="94A3B8" w:sz="1"/>
              <w:right w:val="single" w:color="94A3B8" w:sz="1"/>
            </w:tcBorders>
          </w:tcPr>
          <w:p>
            <w:r>
              <w:t xml:space="preserve">Energy Efficiency</w:t>
            </w:r>
          </w:p>
        </w:tc>
        <w:tc>
          <w:tcPr>
            <w:tcBorders>
              <w:top w:val="single" w:color="94A3B8" w:sz="1"/>
              <w:left w:val="single" w:color="94A3B8" w:sz="1"/>
              <w:bottom w:val="single" w:color="94A3B8" w:sz="1"/>
              <w:right w:val="single" w:color="94A3B8" w:sz="1"/>
            </w:tcBorders>
          </w:tcPr>
          <w:p>
            <w:r>
              <w:t xml:space="preserve">5.2 TK/J (decode)</w:t>
            </w:r>
          </w:p>
        </w:tc>
        <w:tc>
          <w:tcPr>
            <w:tcBorders>
              <w:top w:val="single" w:color="94A3B8" w:sz="1"/>
              <w:left w:val="single" w:color="94A3B8" w:sz="1"/>
              <w:bottom w:val="single" w:color="94A3B8" w:sz="1"/>
              <w:right w:val="single" w:color="94A3B8" w:sz="1"/>
            </w:tcBorders>
          </w:tcPr>
          <w:p>
            <w:r>
              <w:t xml:space="preserve">Target validated</w:t>
            </w:r>
          </w:p>
        </w:tc>
      </w:tr>
    </w:tbl>
    <w:p>
      <w:pPr>
        <w:pStyle w:val="Heading2"/>
        <w:spacing w:before="400"/>
      </w:pPr>
      <w:r>
        <w:t xml:space="preserve">3.3 iFairy Complex-Valued Architecture</w:t>
      </w:r>
    </w:p>
    <w:p>
      <w:pPr>
        <w:spacing w:after="200" w:line="360"/>
      </w:pPr>
      <w:r>
        <w:t xml:space="preserve">The iFairy (Fairy ±i) research from Peking University (arXiv:2508.05571) represents a potential breakthrough for v2.0 architecture. This 2-bit complex-valued LLM uses fourth roots of unity {+1, -1, +i, -i} as weights, enabling addition-only inference that could eliminate multiplication operations entirely from the hardware design. The Apache 2.0 licensed model achieves perplexity 10% LOWER than FP16, breaking the quantization ceiling.</w:t>
      </w:r>
    </w:p>
    <w:p>
      <w:pPr>
        <w:spacing w:after="200" w:line="360"/>
      </w:pPr>
      <w:r>
        <w:t xml:space="preserve">The hardware implications are significant. Multiplication operations in GEMM could be replaced with additions, subtractions, and data exchanges, achieving an estimated 75-90% reduction in MAC complexity. Power savings would be substantial since multipliers are among the most power-hungry components. Area savings would eliminate the need for hardware multipliers, potentially reducing chip area by 30-50%.</w:t>
      </w:r>
    </w:p>
    <w:p>
      <w:pPr>
        <w:pStyle w:val="Heading1"/>
      </w:pPr>
      <w:r>
        <w:t xml:space="preserve">4. Competitive Positioning</w:t>
      </w:r>
    </w:p>
    <w:p>
      <w:pPr>
        <w:spacing w:after="200" w:line="360"/>
      </w:pPr>
      <w:r>
        <w:t xml:space="preserve">The competitive landscape analysis confirms a clear market gap. Taalas (data center focused, $219M raised) targets the Llama 3.1-8B model at 14,000-17,000 tok/s using TSMC N6, with NO edge/mobile signals detected. Quadric ($72M raised, Chimera GPNPU) represents the closest competitor with programmable edge LLM IP. Axelera AI ($250M+ raised, Metis at 214 TOPS, 10W) targets edge vision and GenAI.</w:t>
      </w:r>
    </w:p>
    <w:p>
      <w:pPr>
        <w:spacing w:after="200" w:line="360"/>
      </w:pPr>
      <w:r>
        <w:t xml:space="preserve">The market gap is clear: no competitor offers sub-$50, sub-5W LLM inference hardware. Hailo-10H achieves only 4.78 tok/s on Llama3.2-3B at $88 price point. NVIDIA Jetson Orin delivers 20-30 tok/s on 7B models but at $250 and 10-15W. Our target of 25-35 tok/s at $35-60 and 2-5W represents a unique positioning in the market.</w:t>
      </w:r>
    </w:p>
    <w:p>
      <w:pPr>
        <w:pStyle w:val="Heading1"/>
      </w:pPr>
      <w:r>
        <w:t xml:space="preserve">5. Implementation Roadmap</w:t>
      </w:r>
    </w:p>
    <w:p>
      <w:pPr>
        <w:pStyle w:val="Heading2"/>
      </w:pPr>
      <w:r>
        <w:t xml:space="preserve">5.1 Phase 1: Foundation (Months 1-3, $500K)</w:t>
      </w:r>
    </w:p>
    <w:p>
      <w:pPr>
        <w:spacing w:after="100" w:line="360"/>
      </w:pPr>
      <w:r>
        <w:t xml:space="preserve">The foundation phase focuses on team assembly, IP protection, and FPGA validation. Key milestones include:</w:t>
      </w:r>
    </w:p>
    <w:p>
      <w:pPr>
        <w:pStyle w:val="ListParagraph"/>
        <w:numPr>
          <w:ilvl w:val="0"/>
          <w:numId w:val="2"/>
        </w:numPr>
      </w:pPr>
      <w:r>
        <w:t xml:space="preserve">Hire VP Manufacturing with 5+ tape-out experience (CRITICAL)</w:t>
      </w:r>
    </w:p>
    <w:p>
      <w:pPr>
        <w:pStyle w:val="ListParagraph"/>
        <w:numPr>
          <w:ilvl w:val="0"/>
          <w:numId w:val="2"/>
        </w:numPr>
      </w:pPr>
      <w:r>
        <w:t xml:space="preserve">Hire Architecture Lead with shipped ASIC experience</w:t>
      </w:r>
    </w:p>
    <w:p>
      <w:pPr>
        <w:pStyle w:val="ListParagraph"/>
        <w:numPr>
          <w:ilvl w:val="0"/>
          <w:numId w:val="2"/>
        </w:numPr>
      </w:pPr>
      <w:r>
        <w:t xml:space="preserve">File 3 provisional patents ($15K estimated)</w:t>
      </w:r>
    </w:p>
    <w:p>
      <w:pPr>
        <w:pStyle w:val="ListParagraph"/>
        <w:numPr>
          <w:ilvl w:val="0"/>
          <w:numId w:val="2"/>
        </w:numPr>
      </w:pPr>
      <w:r>
        <w:t xml:space="preserve">Complete Gate 0 FPGA demo: 25 tok/s @ &lt;5W on KV260</w:t>
      </w:r>
    </w:p>
    <w:p>
      <w:pPr>
        <w:pStyle w:val="ListParagraph"/>
        <w:numPr>
          <w:ilvl w:val="0"/>
          <w:numId w:val="2"/>
        </w:numPr>
      </w:pPr>
      <w:r>
        <w:t xml:space="preserve">Publish SDK Alpha to PyPI</w:t>
      </w:r>
    </w:p>
    <w:p>
      <w:pPr>
        <w:pStyle w:val="ListParagraph"/>
        <w:numPr>
          <w:ilvl w:val="0"/>
          <w:numId w:val="2"/>
        </w:numPr>
      </w:pPr>
      <w:r>
        <w:t xml:space="preserve">Lock LPDDR4 supply contract (allocation deposit $100K)</w:t>
      </w:r>
    </w:p>
    <w:p>
      <w:pPr>
        <w:pStyle w:val="Heading2"/>
      </w:pPr>
      <w:r>
        <w:t xml:space="preserve">5.2 Phase 2: Design &amp; Verification (Months 4-18, $2M)</w:t>
      </w:r>
    </w:p>
    <w:p>
      <w:pPr>
        <w:spacing w:after="100" w:line="360"/>
      </w:pPr>
      <w:r>
        <w:t xml:space="preserve">The design phase develops complete RTL and verification infrastructure. Key activities include:</w:t>
      </w:r>
    </w:p>
    <w:p>
      <w:pPr>
        <w:pStyle w:val="ListParagraph"/>
        <w:numPr>
          <w:ilvl w:val="0"/>
          <w:numId w:val="2"/>
        </w:numPr>
      </w:pPr>
      <w:r>
        <w:t xml:space="preserve">Finalize ternary architecture decision (BitNet vs iFairy)</w:t>
      </w:r>
    </w:p>
    <w:p>
      <w:pPr>
        <w:pStyle w:val="ListParagraph"/>
        <w:numPr>
          <w:ilvl w:val="0"/>
          <w:numId w:val="2"/>
        </w:numPr>
      </w:pPr>
      <w:r>
        <w:t xml:space="preserve">Complete cycle-accurate simulator</w:t>
      </w:r>
    </w:p>
    <w:p>
      <w:pPr>
        <w:pStyle w:val="ListParagraph"/>
        <w:numPr>
          <w:ilvl w:val="0"/>
          <w:numId w:val="2"/>
        </w:numPr>
      </w:pPr>
      <w:r>
        <w:t xml:space="preserve">RTL development using Chisel/Verilog</w:t>
      </w:r>
    </w:p>
    <w:p>
      <w:pPr>
        <w:pStyle w:val="ListParagraph"/>
        <w:numPr>
          <w:ilvl w:val="0"/>
          <w:numId w:val="2"/>
        </w:numPr>
      </w:pPr>
      <w:r>
        <w:t xml:space="preserve">Functional verification (100% coverage target)</w:t>
      </w:r>
    </w:p>
    <w:p>
      <w:pPr>
        <w:pStyle w:val="ListParagraph"/>
        <w:numPr>
          <w:ilvl w:val="0"/>
          <w:numId w:val="2"/>
        </w:numPr>
      </w:pPr>
      <w:r>
        <w:t xml:space="preserve">FPGA prototype on Xilinx Versal</w:t>
      </w:r>
    </w:p>
    <w:p>
      <w:pPr>
        <w:pStyle w:val="Heading2"/>
      </w:pPr>
      <w:r>
        <w:t xml:space="preserve">5.3 Phase 3: Tape-out (Months 19-24, $1M)</w:t>
      </w:r>
    </w:p>
    <w:p>
      <w:pPr>
        <w:spacing w:after="100" w:line="360"/>
      </w:pPr>
      <w:r>
        <w:t xml:space="preserve">The tape-out phase transforms RTL into physical silicon. Key activities include:</w:t>
      </w:r>
    </w:p>
    <w:p>
      <w:pPr>
        <w:pStyle w:val="ListParagraph"/>
        <w:numPr>
          <w:ilvl w:val="0"/>
          <w:numId w:val="2"/>
        </w:numPr>
      </w:pPr>
      <w:r>
        <w:t xml:space="preserve">MPW shuttle via MOSIS or GlobalFoundries 22FDX</w:t>
      </w:r>
    </w:p>
    <w:p>
      <w:pPr>
        <w:pStyle w:val="ListParagraph"/>
        <w:numPr>
          <w:ilvl w:val="0"/>
          <w:numId w:val="2"/>
        </w:numPr>
      </w:pPr>
      <w:r>
        <w:t xml:space="preserve">Synthesis, place &amp; route, timing closure</w:t>
      </w:r>
    </w:p>
    <w:p>
      <w:pPr>
        <w:pStyle w:val="ListParagraph"/>
        <w:numPr>
          <w:ilvl w:val="0"/>
          <w:numId w:val="2"/>
        </w:numPr>
      </w:pPr>
      <w:r>
        <w:t xml:space="preserve">First silicon arrival and bring-up</w:t>
      </w:r>
    </w:p>
    <w:p>
      <w:pPr>
        <w:pStyle w:val="ListParagraph"/>
        <w:numPr>
          <w:ilvl w:val="0"/>
          <w:numId w:val="2"/>
        </w:numPr>
      </w:pPr>
      <w:r>
        <w:t xml:space="preserve">Performance validation against targets</w:t>
      </w:r>
    </w:p>
    <w:p>
      <w:pPr>
        <w:pStyle w:val="Heading1"/>
      </w:pPr>
      <w:r>
        <w:t xml:space="preserve">6. Risk Assessment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1600"/>
        <w:gridCol w:w="1600"/>
        <w:gridCol w:w="3960"/>
      </w:tblGrid>
      <w:tr>
        <w:trPr>
          <w:tblHeader/>
        </w:trPr>
        <w:tc>
          <w:tcPr>
            <w:tcBorders>
              <w:top w:val="single" w:color="94A3B8" w:sz="1"/>
              <w:left w:val="single" w:color="94A3B8" w:sz="1"/>
              <w:bottom w:val="single" w:color="94A3B8" w:sz="1"/>
              <w:right w:val="single" w:color="94A3B8" w:sz="1"/>
            </w:tcBorders>
            <w:shd w:fill="E2E8F0" w:val="clear"/>
          </w:tcPr>
          <w:p>
            <w:pPr>
              <w:jc w:val="center"/>
            </w:pPr>
            <w:r>
              <w:rPr>
                <w:b/>
                <w:bCs/>
              </w:rPr>
              <w:t xml:space="preserve">Risk</w:t>
            </w:r>
          </w:p>
        </w:tc>
        <w:tc>
          <w:tcPr>
            <w:tcBorders>
              <w:top w:val="single" w:color="94A3B8" w:sz="1"/>
              <w:left w:val="single" w:color="94A3B8" w:sz="1"/>
              <w:bottom w:val="single" w:color="94A3B8" w:sz="1"/>
              <w:right w:val="single" w:color="94A3B8" w:sz="1"/>
            </w:tcBorders>
            <w:shd w:fill="E2E8F0" w:val="clear"/>
          </w:tcPr>
          <w:p>
            <w:pPr>
              <w:jc w:val="center"/>
            </w:pPr>
            <w:r>
              <w:rPr>
                <w:b/>
                <w:bCs/>
              </w:rPr>
              <w:t xml:space="preserve">Probability</w:t>
            </w:r>
          </w:p>
        </w:tc>
        <w:tc>
          <w:tcPr>
            <w:tcBorders>
              <w:top w:val="single" w:color="94A3B8" w:sz="1"/>
              <w:left w:val="single" w:color="94A3B8" w:sz="1"/>
              <w:bottom w:val="single" w:color="94A3B8" w:sz="1"/>
              <w:right w:val="single" w:color="94A3B8" w:sz="1"/>
            </w:tcBorders>
            <w:shd w:fill="E2E8F0" w:val="clear"/>
          </w:tcPr>
          <w:p>
            <w:pPr>
              <w:jc w:val="center"/>
            </w:pPr>
            <w:r>
              <w:rPr>
                <w:b/>
                <w:bCs/>
              </w:rPr>
              <w:t xml:space="preserve">Impact</w:t>
            </w:r>
          </w:p>
        </w:tc>
        <w:tc>
          <w:tcPr>
            <w:tcBorders>
              <w:top w:val="single" w:color="94A3B8" w:sz="1"/>
              <w:left w:val="single" w:color="94A3B8" w:sz="1"/>
              <w:bottom w:val="single" w:color="94A3B8" w:sz="1"/>
              <w:right w:val="single" w:color="94A3B8" w:sz="1"/>
            </w:tcBorders>
            <w:shd w:fill="E2E8F0" w:val="clear"/>
          </w:tcPr>
          <w:p>
            <w:pPr>
              <w:jc w:val="center"/>
            </w:pPr>
            <w:r>
              <w:rPr>
                <w:b/>
                <w:bCs/>
              </w:rPr>
              <w:t xml:space="preserve">Mitigation</w:t>
            </w:r>
          </w:p>
        </w:tc>
      </w:tr>
      <w:tr>
        <w:tc>
          <w:tcPr>
            <w:tcBorders>
              <w:top w:val="single" w:color="94A3B8" w:sz="1"/>
              <w:left w:val="single" w:color="94A3B8" w:sz="1"/>
              <w:bottom w:val="single" w:color="94A3B8" w:sz="1"/>
              <w:right w:val="single" w:color="94A3B8" w:sz="1"/>
            </w:tcBorders>
          </w:tcPr>
          <w:p>
            <w:r>
              <w:t xml:space="preserve">No tape-out experience</w:t>
            </w:r>
          </w:p>
        </w:tc>
        <w:tc>
          <w:tcPr>
            <w:tcBorders>
              <w:top w:val="single" w:color="94A3B8" w:sz="1"/>
              <w:left w:val="single" w:color="94A3B8" w:sz="1"/>
              <w:bottom w:val="single" w:color="94A3B8" w:sz="1"/>
              <w:right w:val="single" w:color="94A3B8" w:sz="1"/>
            </w:tcBorders>
          </w:tcPr>
          <w:p>
            <w:pPr>
              <w:jc w:val="center"/>
            </w:pPr>
            <w:r>
              <w:t xml:space="preserve">90%</w:t>
            </w:r>
          </w:p>
        </w:tc>
        <w:tc>
          <w:tcPr>
            <w:tcBorders>
              <w:top w:val="single" w:color="94A3B8" w:sz="1"/>
              <w:left w:val="single" w:color="94A3B8" w:sz="1"/>
              <w:bottom w:val="single" w:color="94A3B8" w:sz="1"/>
              <w:right w:val="single" w:color="94A3B8" w:sz="1"/>
            </w:tcBorders>
          </w:tcPr>
          <w:p>
            <w:pPr>
              <w:jc w:val="center"/>
            </w:pPr>
            <w:r>
              <w:t xml:space="preserve">CRITICAL</w:t>
            </w:r>
          </w:p>
        </w:tc>
        <w:tc>
          <w:tcPr>
            <w:tcBorders>
              <w:top w:val="single" w:color="94A3B8" w:sz="1"/>
              <w:left w:val="single" w:color="94A3B8" w:sz="1"/>
              <w:bottom w:val="single" w:color="94A3B8" w:sz="1"/>
              <w:right w:val="single" w:color="94A3B8" w:sz="1"/>
            </w:tcBorders>
          </w:tcPr>
          <w:p>
            <w:r>
              <w:t xml:space="preserve">Hire VP Mfg with 5+ tape-outs</w:t>
            </w:r>
          </w:p>
        </w:tc>
      </w:tr>
      <w:tr>
        <w:tc>
          <w:tcPr>
            <w:tcBorders>
              <w:top w:val="single" w:color="94A3B8" w:sz="1"/>
              <w:left w:val="single" w:color="94A3B8" w:sz="1"/>
              <w:bottom w:val="single" w:color="94A3B8" w:sz="1"/>
              <w:right w:val="single" w:color="94A3B8" w:sz="1"/>
            </w:tcBorders>
          </w:tcPr>
          <w:p>
            <w:r>
              <w:t xml:space="preserve">LPDDR4 pricing crisis</w:t>
            </w:r>
          </w:p>
        </w:tc>
        <w:tc>
          <w:tcPr>
            <w:tcBorders>
              <w:top w:val="single" w:color="94A3B8" w:sz="1"/>
              <w:left w:val="single" w:color="94A3B8" w:sz="1"/>
              <w:bottom w:val="single" w:color="94A3B8" w:sz="1"/>
              <w:right w:val="single" w:color="94A3B8" w:sz="1"/>
            </w:tcBorders>
          </w:tcPr>
          <w:p>
            <w:pPr>
              <w:jc w:val="center"/>
            </w:pPr>
            <w:r>
              <w:t xml:space="preserve">85%</w:t>
            </w:r>
          </w:p>
        </w:tc>
        <w:tc>
          <w:tcPr>
            <w:tcBorders>
              <w:top w:val="single" w:color="94A3B8" w:sz="1"/>
              <w:left w:val="single" w:color="94A3B8" w:sz="1"/>
              <w:bottom w:val="single" w:color="94A3B8" w:sz="1"/>
              <w:right w:val="single" w:color="94A3B8" w:sz="1"/>
            </w:tcBorders>
          </w:tcPr>
          <w:p>
            <w:pPr>
              <w:jc w:val="center"/>
            </w:pPr>
            <w:r>
              <w:t xml:space="preserve">CRITICAL</w:t>
            </w:r>
          </w:p>
        </w:tc>
        <w:tc>
          <w:tcPr>
            <w:tcBorders>
              <w:top w:val="single" w:color="94A3B8" w:sz="1"/>
              <w:left w:val="single" w:color="94A3B8" w:sz="1"/>
              <w:bottom w:val="single" w:color="94A3B8" w:sz="1"/>
              <w:right w:val="single" w:color="94A3B8" w:sz="1"/>
            </w:tcBorders>
          </w:tcPr>
          <w:p>
            <w:r>
              <w:t xml:space="preserve">Lock contracts immediately ($10-12)</w:t>
            </w:r>
          </w:p>
        </w:tc>
      </w:tr>
      <w:tr>
        <w:tc>
          <w:tcPr>
            <w:tcBorders>
              <w:top w:val="single" w:color="94A3B8" w:sz="1"/>
              <w:left w:val="single" w:color="94A3B8" w:sz="1"/>
              <w:bottom w:val="single" w:color="94A3B8" w:sz="1"/>
              <w:right w:val="single" w:color="94A3B8" w:sz="1"/>
            </w:tcBorders>
          </w:tcPr>
          <w:p>
            <w:r>
              <w:t xml:space="preserve">First silicon failure</w:t>
            </w:r>
          </w:p>
        </w:tc>
        <w:tc>
          <w:tcPr>
            <w:tcBorders>
              <w:top w:val="single" w:color="94A3B8" w:sz="1"/>
              <w:left w:val="single" w:color="94A3B8" w:sz="1"/>
              <w:bottom w:val="single" w:color="94A3B8" w:sz="1"/>
              <w:right w:val="single" w:color="94A3B8" w:sz="1"/>
            </w:tcBorders>
          </w:tcPr>
          <w:p>
            <w:pPr>
              <w:jc w:val="center"/>
            </w:pPr>
            <w:r>
              <w:t xml:space="preserve">30%</w:t>
            </w:r>
          </w:p>
        </w:tc>
        <w:tc>
          <w:tcPr>
            <w:tcBorders>
              <w:top w:val="single" w:color="94A3B8" w:sz="1"/>
              <w:left w:val="single" w:color="94A3B8" w:sz="1"/>
              <w:bottom w:val="single" w:color="94A3B8" w:sz="1"/>
              <w:right w:val="single" w:color="94A3B8" w:sz="1"/>
            </w:tcBorders>
          </w:tcPr>
          <w:p>
            <w:pPr>
              <w:jc w:val="center"/>
            </w:pPr>
            <w:r>
              <w:t xml:space="preserve">HIGH</w:t>
            </w:r>
          </w:p>
        </w:tc>
        <w:tc>
          <w:tcPr>
            <w:tcBorders>
              <w:top w:val="single" w:color="94A3B8" w:sz="1"/>
              <w:left w:val="single" w:color="94A3B8" w:sz="1"/>
              <w:bottom w:val="single" w:color="94A3B8" w:sz="1"/>
              <w:right w:val="single" w:color="94A3B8" w:sz="1"/>
            </w:tcBorders>
          </w:tcPr>
          <w:p>
            <w:r>
              <w:t xml:space="preserve">FPGA prototype, formal verification</w:t>
            </w:r>
          </w:p>
        </w:tc>
      </w:tr>
      <w:tr>
        <w:tc>
          <w:tcPr>
            <w:tcBorders>
              <w:top w:val="single" w:color="94A3B8" w:sz="1"/>
              <w:left w:val="single" w:color="94A3B8" w:sz="1"/>
              <w:bottom w:val="single" w:color="94A3B8" w:sz="1"/>
              <w:right w:val="single" w:color="94A3B8" w:sz="1"/>
            </w:tcBorders>
          </w:tcPr>
          <w:p>
            <w:r>
              <w:t xml:space="preserve">Model obsolescence</w:t>
            </w:r>
          </w:p>
        </w:tc>
        <w:tc>
          <w:tcPr>
            <w:tcBorders>
              <w:top w:val="single" w:color="94A3B8" w:sz="1"/>
              <w:left w:val="single" w:color="94A3B8" w:sz="1"/>
              <w:bottom w:val="single" w:color="94A3B8" w:sz="1"/>
              <w:right w:val="single" w:color="94A3B8" w:sz="1"/>
            </w:tcBorders>
          </w:tcPr>
          <w:p>
            <w:pPr>
              <w:jc w:val="center"/>
            </w:pPr>
            <w:r>
              <w:t xml:space="preserve">40%</w:t>
            </w:r>
          </w:p>
        </w:tc>
        <w:tc>
          <w:tcPr>
            <w:tcBorders>
              <w:top w:val="single" w:color="94A3B8" w:sz="1"/>
              <w:left w:val="single" w:color="94A3B8" w:sz="1"/>
              <w:bottom w:val="single" w:color="94A3B8" w:sz="1"/>
              <w:right w:val="single" w:color="94A3B8" w:sz="1"/>
            </w:tcBorders>
          </w:tcPr>
          <w:p>
            <w:pPr>
              <w:jc w:val="center"/>
            </w:pPr>
            <w:r>
              <w:t xml:space="preserve">HIGH</w:t>
            </w:r>
          </w:p>
        </w:tc>
        <w:tc>
          <w:tcPr>
            <w:tcBorders>
              <w:top w:val="single" w:color="94A3B8" w:sz="1"/>
              <w:left w:val="single" w:color="94A3B8" w:sz="1"/>
              <w:bottom w:val="single" w:color="94A3B8" w:sz="1"/>
              <w:right w:val="single" w:color="94A3B8" w:sz="1"/>
            </w:tcBorders>
          </w:tcPr>
          <w:p>
            <w:r>
              <w:t xml:space="preserve">Target stable architectures (Llama)</w:t>
            </w:r>
          </w:p>
        </w:tc>
      </w:tr>
      <w:tr>
        <w:tc>
          <w:tcPr>
            <w:tcBorders>
              <w:top w:val="single" w:color="94A3B8" w:sz="1"/>
              <w:left w:val="single" w:color="94A3B8" w:sz="1"/>
              <w:bottom w:val="single" w:color="94A3B8" w:sz="1"/>
              <w:right w:val="single" w:color="94A3B8" w:sz="1"/>
            </w:tcBorders>
          </w:tcPr>
          <w:p>
            <w:r>
              <w:t xml:space="preserve">Taalas edge pivot</w:t>
            </w:r>
          </w:p>
        </w:tc>
        <w:tc>
          <w:tcPr>
            <w:tcBorders>
              <w:top w:val="single" w:color="94A3B8" w:sz="1"/>
              <w:left w:val="single" w:color="94A3B8" w:sz="1"/>
              <w:bottom w:val="single" w:color="94A3B8" w:sz="1"/>
              <w:right w:val="single" w:color="94A3B8" w:sz="1"/>
            </w:tcBorders>
          </w:tcPr>
          <w:p>
            <w:pPr>
              <w:jc w:val="center"/>
            </w:pPr>
            <w:r>
              <w:t xml:space="preserve">15%</w:t>
            </w:r>
          </w:p>
        </w:tc>
        <w:tc>
          <w:tcPr>
            <w:tcBorders>
              <w:top w:val="single" w:color="94A3B8" w:sz="1"/>
              <w:left w:val="single" w:color="94A3B8" w:sz="1"/>
              <w:bottom w:val="single" w:color="94A3B8" w:sz="1"/>
              <w:right w:val="single" w:color="94A3B8" w:sz="1"/>
            </w:tcBorders>
          </w:tcPr>
          <w:p>
            <w:pPr>
              <w:jc w:val="center"/>
            </w:pPr>
            <w:r>
              <w:t xml:space="preserve">MEDIUM</w:t>
            </w:r>
          </w:p>
        </w:tc>
        <w:tc>
          <w:tcPr>
            <w:tcBorders>
              <w:top w:val="single" w:color="94A3B8" w:sz="1"/>
              <w:left w:val="single" w:color="94A3B8" w:sz="1"/>
              <w:bottom w:val="single" w:color="94A3B8" w:sz="1"/>
              <w:right w:val="single" w:color="94A3B8" w:sz="1"/>
            </w:tcBorders>
          </w:tcPr>
          <w:p>
            <w:r>
              <w:t xml:space="preserve">12-18 month first-mover window</w:t>
            </w:r>
          </w:p>
        </w:tc>
      </w:tr>
    </w:tbl>
    <w:p>
      <w:pPr>
        <w:pStyle w:val="Heading1"/>
      </w:pPr>
      <w:r>
        <w:t xml:space="preserve">7. Conclusion</w:t>
      </w:r>
    </w:p>
    <w:p>
      <w:pPr>
        <w:spacing w:after="200" w:line="360"/>
      </w:pPr>
      <w:r>
        <w:t xml:space="preserve">The Mask-Locked Inference Chip represents a validated technical approach with clear market positioning. The technology is real—confirmed by TeLLMe FPGA reference implementation achieving target specifications. The market timing is favorable with a 12-18 month first-mover window before data center competitors potentially pivot to edge. The execution risk is manageable with the critical dependency being the VP Manufacturing hire.</w:t>
      </w:r>
    </w:p>
    <w:p>
      <w:pPr>
        <w:spacing w:after="200" w:line="360"/>
      </w:pPr>
      <w:r>
        <w:t xml:space="preserve">The path forward is clear: execute Phase 1 foundation activities, validate Gate 0 FPGA demonstration, and secure seed funding to advance to RTL development. The window of opportunity is finite, and execution speed is the critical variable determining success.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SuperInstance.AI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2026-03-08T05:56:24.374Z</dcterms:created>
  <dcterms:modified xsi:type="dcterms:W3CDTF">2026-03-08T05:56:24.374Z</dcterms:modified>
</cp:coreProperties>
</file>

<file path=docProps/custom.xml><?xml version="1.0" encoding="utf-8"?>
<Properties xmlns="http://schemas.openxmlformats.org/officeDocument/2006/custom-properties" xmlns:vt="http://schemas.openxmlformats.org/officeDocument/2006/docPropsVTypes"/>
</file>