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PATENT PORTFOLIO</w:t>
      </w:r>
    </w:p>
    <w:p>
      <w:pPr>
        <w:spacing w:after="100"/>
        <w:jc w:val="center"/>
      </w:pPr>
      <w:r>
        <w:rPr>
          <w:color w:val="4A5548"/>
          <w:sz w:val="28"/>
          <w:szCs w:val="28"/>
        </w:rPr>
        <w:t xml:space="preserve">Mask-Locked Inference Chip Technology</w:t>
      </w:r>
    </w:p>
    <w:p>
      <w:pPr>
        <w:spacing w:after="400"/>
        <w:jc w:val="center"/>
      </w:pPr>
      <w:r>
        <w:rPr>
          <w:color w:val="94A3B8"/>
          <w:sz w:val="22"/>
          <w:szCs w:val="22"/>
        </w:rPr>
        <w:t xml:space="preserve">Comprehensive IP Strategy | March 2026</w:t>
      </w:r>
    </w:p>
    <w:p>
      <w:pPr>
        <w:pStyle w:val="Heading1"/>
      </w:pPr>
      <w:r>
        <w:t xml:space="preserve">1. Executive Summary</w:t>
      </w:r>
    </w:p>
    <w:p>
      <w:pPr>
        <w:spacing w:after="200" w:line="360"/>
      </w:pPr>
      <w:r>
        <w:t xml:space="preserve">This document outlines the comprehensive patent portfolio strategy for SuperInstance.AI's mask-locked inference chip technology. The analysis identifies 10 specific patent opportunities across the core technology, architecture innovations, and implementation details. The overall IP risk assessment is MODERATE-LOW, with no blocking prior art identified for the core mask-locked weight encoding concept.</w:t>
      </w:r>
    </w:p>
    <w:p>
      <w:pPr>
        <w:spacing w:after="200" w:line="360"/>
      </w:pPr>
      <w:r>
        <w:t xml:space="preserve">The immediate priority is filing three provisional patent applications covering: (1) Mask-Locked Neural Network Weight Encoding, (2) Rotation-Accumulate Unit (RAU) Architecture, and (3) Hybrid Adapter Architecture for Model Upgradeability. These patents represent estimated $50-250M in potential IP value depending on market adoption and portfolio strength.</w:t>
      </w:r>
    </w:p>
    <w:p>
      <w:pPr>
        <w:pStyle w:val="Heading1"/>
      </w:pPr>
      <w:r>
        <w:t xml:space="preserve">2. Prior Art Analysis</w:t>
      </w:r>
    </w:p>
    <w:p>
      <w:pPr>
        <w:pStyle w:val="Heading2"/>
      </w:pPr>
      <w:r>
        <w:t xml:space="preserve">2.1 Key Prior Art References</w:t>
      </w:r>
    </w:p>
    <w:p>
      <w:pPr>
        <w:spacing w:after="200" w:line="360"/>
      </w:pPr>
      <w:r>
        <w:t xml:space="preserve">A comprehensive prior art search has identified the following key references, none of which block the core mask-locked weight encoding concept: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3500"/>
        <w:gridCol w:w="3360"/>
      </w:tblGrid>
      <w:tr>
        <w:trPr>
          <w:tblHeader/>
        </w:trPr>
        <w:tc>
          <w:tcPr>
            <w:tcBorders>
              <w:top w:val="single" w:color="94A3B8" w:sz="1"/>
              <w:left w:val="single" w:color="94A3B8" w:sz="1"/>
              <w:bottom w:val="single" w:color="94A3B8" w:sz="1"/>
              <w:right w:val="single" w:color="94A3B8" w:sz="1"/>
            </w:tcBorders>
            <w:shd w:fill="EEF1ED" w:val="clear"/>
          </w:tcPr>
          <w:p>
            <w:pPr>
              <w:jc w:val="center"/>
            </w:pPr>
            <w:r>
              <w:rPr>
                <w:b/>
                <w:bCs/>
              </w:rPr>
              <w:t xml:space="preserve">Reference</w:t>
            </w:r>
          </w:p>
        </w:tc>
        <w:tc>
          <w:tcPr>
            <w:tcBorders>
              <w:top w:val="single" w:color="94A3B8" w:sz="1"/>
              <w:left w:val="single" w:color="94A3B8" w:sz="1"/>
              <w:bottom w:val="single" w:color="94A3B8" w:sz="1"/>
              <w:right w:val="single" w:color="94A3B8" w:sz="1"/>
            </w:tcBorders>
            <w:shd w:fill="EEF1ED" w:val="clear"/>
          </w:tcPr>
          <w:p>
            <w:pPr>
              <w:jc w:val="center"/>
            </w:pPr>
            <w:r>
              <w:rPr>
                <w:b/>
                <w:bCs/>
              </w:rPr>
              <w:t xml:space="preserve">Description</w:t>
            </w:r>
          </w:p>
        </w:tc>
        <w:tc>
          <w:tcPr>
            <w:tcBorders>
              <w:top w:val="single" w:color="94A3B8" w:sz="1"/>
              <w:left w:val="single" w:color="94A3B8" w:sz="1"/>
              <w:bottom w:val="single" w:color="94A3B8" w:sz="1"/>
              <w:right w:val="single" w:color="94A3B8" w:sz="1"/>
            </w:tcBorders>
            <w:shd w:fill="EEF1ED" w:val="clear"/>
          </w:tcPr>
          <w:p>
            <w:pPr>
              <w:jc w:val="center"/>
            </w:pPr>
            <w:r>
              <w:rPr>
                <w:b/>
                <w:bCs/>
              </w:rPr>
              <w:t xml:space="preserve">Blocking Risk</w:t>
            </w:r>
          </w:p>
        </w:tc>
      </w:tr>
      <w:tr>
        <w:tc>
          <w:tcPr>
            <w:tcBorders>
              <w:top w:val="single" w:color="94A3B8" w:sz="1"/>
              <w:left w:val="single" w:color="94A3B8" w:sz="1"/>
              <w:bottom w:val="single" w:color="94A3B8" w:sz="1"/>
              <w:right w:val="single" w:color="94A3B8" w:sz="1"/>
            </w:tcBorders>
          </w:tcPr>
          <w:p>
            <w:r>
              <w:t xml:space="preserve">US10540588B2</w:t>
            </w:r>
          </w:p>
        </w:tc>
        <w:tc>
          <w:tcPr>
            <w:tcBorders>
              <w:top w:val="single" w:color="94A3B8" w:sz="1"/>
              <w:left w:val="single" w:color="94A3B8" w:sz="1"/>
              <w:bottom w:val="single" w:color="94A3B8" w:sz="1"/>
              <w:right w:val="single" w:color="94A3B8" w:sz="1"/>
            </w:tcBorders>
          </w:tcPr>
          <w:p>
            <w:r>
              <w:t xml:space="preserve">NVIDIA: Weights in memory, not metal-encoded</w:t>
            </w:r>
          </w:p>
        </w:tc>
        <w:tc>
          <w:tcPr>
            <w:tcBorders>
              <w:top w:val="single" w:color="94A3B8" w:sz="1"/>
              <w:left w:val="single" w:color="94A3B8" w:sz="1"/>
              <w:bottom w:val="single" w:color="94A3B8" w:sz="1"/>
              <w:right w:val="single" w:color="94A3B8" w:sz="1"/>
            </w:tcBorders>
          </w:tcPr>
          <w:p>
            <w:pPr>
              <w:jc w:val="center"/>
            </w:pPr>
            <w:r>
              <w:rPr>
                <w:color w:val="22C55E"/>
              </w:rPr>
              <w:t xml:space="preserve">LOW</w:t>
            </w:r>
          </w:p>
        </w:tc>
      </w:tr>
      <w:tr>
        <w:tc>
          <w:tcPr>
            <w:tcBorders>
              <w:top w:val="single" w:color="94A3B8" w:sz="1"/>
              <w:left w:val="single" w:color="94A3B8" w:sz="1"/>
              <w:bottom w:val="single" w:color="94A3B8" w:sz="1"/>
              <w:right w:val="single" w:color="94A3B8" w:sz="1"/>
            </w:tcBorders>
          </w:tcPr>
          <w:p>
            <w:r>
              <w:t xml:space="preserve">US11150234B2</w:t>
            </w:r>
          </w:p>
        </w:tc>
        <w:tc>
          <w:tcPr>
            <w:tcBorders>
              <w:top w:val="single" w:color="94A3B8" w:sz="1"/>
              <w:left w:val="single" w:color="94A3B8" w:sz="1"/>
              <w:bottom w:val="single" w:color="94A3B8" w:sz="1"/>
              <w:right w:val="single" w:color="94A3B8" w:sz="1"/>
            </w:tcBorders>
          </w:tcPr>
          <w:p>
            <w:r>
              <w:t xml:space="preserve">Google TPU: Systolic array, weights from memory</w:t>
            </w:r>
          </w:p>
        </w:tc>
        <w:tc>
          <w:tcPr>
            <w:tcBorders>
              <w:top w:val="single" w:color="94A3B8" w:sz="1"/>
              <w:left w:val="single" w:color="94A3B8" w:sz="1"/>
              <w:bottom w:val="single" w:color="94A3B8" w:sz="1"/>
              <w:right w:val="single" w:color="94A3B8" w:sz="1"/>
            </w:tcBorders>
          </w:tcPr>
          <w:p>
            <w:pPr>
              <w:jc w:val="center"/>
            </w:pPr>
            <w:r>
              <w:rPr>
                <w:color w:val="22C55E"/>
              </w:rPr>
              <w:t xml:space="preserve">LOW</w:t>
            </w:r>
          </w:p>
        </w:tc>
      </w:tr>
      <w:tr>
        <w:tc>
          <w:tcPr>
            <w:tcBorders>
              <w:top w:val="single" w:color="94A3B8" w:sz="1"/>
              <w:left w:val="single" w:color="94A3B8" w:sz="1"/>
              <w:bottom w:val="single" w:color="94A3B8" w:sz="1"/>
              <w:right w:val="single" w:color="94A3B8" w:sz="1"/>
            </w:tcBorders>
          </w:tcPr>
          <w:p>
            <w:r>
              <w:t xml:space="preserve">arXiv:2508.05571</w:t>
            </w:r>
          </w:p>
        </w:tc>
        <w:tc>
          <w:tcPr>
            <w:tcBorders>
              <w:top w:val="single" w:color="94A3B8" w:sz="1"/>
              <w:left w:val="single" w:color="94A3B8" w:sz="1"/>
              <w:bottom w:val="single" w:color="94A3B8" w:sz="1"/>
              <w:right w:val="single" w:color="94A3B8" w:sz="1"/>
            </w:tcBorders>
          </w:tcPr>
          <w:p>
            <w:r>
              <w:t xml:space="preserve">iFairy: Fourth roots of unity quantization</w:t>
            </w:r>
          </w:p>
        </w:tc>
        <w:tc>
          <w:tcPr>
            <w:tcBorders>
              <w:top w:val="single" w:color="94A3B8" w:sz="1"/>
              <w:left w:val="single" w:color="94A3B8" w:sz="1"/>
              <w:bottom w:val="single" w:color="94A3B8" w:sz="1"/>
              <w:right w:val="single" w:color="94A3B8" w:sz="1"/>
            </w:tcBorders>
          </w:tcPr>
          <w:p>
            <w:pPr>
              <w:jc w:val="center"/>
            </w:pPr>
            <w:r>
              <w:rPr>
                <w:color w:val="22C55E"/>
              </w:rPr>
              <w:t xml:space="preserve">LOW (Apache 2.0)</w:t>
            </w:r>
          </w:p>
        </w:tc>
      </w:tr>
      <w:tr>
        <w:tc>
          <w:tcPr>
            <w:tcBorders>
              <w:top w:val="single" w:color="94A3B8" w:sz="1"/>
              <w:left w:val="single" w:color="94A3B8" w:sz="1"/>
              <w:bottom w:val="single" w:color="94A3B8" w:sz="1"/>
              <w:right w:val="single" w:color="94A3B8" w:sz="1"/>
            </w:tcBorders>
          </w:tcPr>
          <w:p>
            <w:r>
              <w:t xml:space="preserve">arXiv:2508.16151</w:t>
            </w:r>
          </w:p>
        </w:tc>
        <w:tc>
          <w:tcPr>
            <w:tcBorders>
              <w:top w:val="single" w:color="94A3B8" w:sz="1"/>
              <w:left w:val="single" w:color="94A3B8" w:sz="1"/>
              <w:bottom w:val="single" w:color="94A3B8" w:sz="1"/>
              <w:right w:val="single" w:color="94A3B8" w:sz="1"/>
            </w:tcBorders>
          </w:tcPr>
          <w:p>
            <w:r>
              <w:t xml:space="preserve">HNLPU: Hardwired-Neurons validation</w:t>
            </w:r>
          </w:p>
        </w:tc>
        <w:tc>
          <w:tcPr>
            <w:tcBorders>
              <w:top w:val="single" w:color="94A3B8" w:sz="1"/>
              <w:left w:val="single" w:color="94A3B8" w:sz="1"/>
              <w:bottom w:val="single" w:color="94A3B8" w:sz="1"/>
              <w:right w:val="single" w:color="94A3B8" w:sz="1"/>
            </w:tcBorders>
          </w:tcPr>
          <w:p>
            <w:pPr>
              <w:jc w:val="center"/>
            </w:pPr>
            <w:r>
              <w:rPr>
                <w:color w:val="22C55E"/>
              </w:rPr>
              <w:t xml:space="preserve">LOW (Academic)</w:t>
            </w:r>
          </w:p>
        </w:tc>
      </w:tr>
    </w:tbl>
    <w:p>
      <w:pPr>
        <w:pStyle w:val="Heading2"/>
      </w:pPr>
      <w:r>
        <w:t xml:space="preserve">2.2 Freedom to Operate Assessment</w:t>
      </w:r>
    </w:p>
    <w:p>
      <w:pPr>
        <w:spacing w:after="200" w:line="360"/>
      </w:pPr>
      <w:r>
        <w:t xml:space="preserve">The Freedom to Operate (FTO) analysis concludes MODERATE-LOW risk with clear paths identified for all potential blocking scenarios. The key differentiator is that prior art references describe weights stored in memory (SRAM, DRAM, flash) and fetched during computation, whereas the mask-locked approach permanently encodes weights in metal interconnect layers. This fundamental architectural difference provides strong novelty position.</w:t>
      </w:r>
    </w:p>
    <w:p>
      <w:pPr>
        <w:pStyle w:val="Heading1"/>
      </w:pPr>
      <w:r>
        <w:t xml:space="preserve">3. Patent 1: Mask-Locked Weight Encoding</w:t>
      </w:r>
    </w:p>
    <w:p>
      <w:pPr>
        <w:pStyle w:val="Heading2"/>
      </w:pPr>
      <w:r>
        <w:t xml:space="preserve">3.1 Title and Abstract</w:t>
      </w:r>
    </w:p>
    <w:p>
      <w:pPr>
        <w:spacing w:after="100" w:line="360"/>
      </w:pPr>
      <w:r>
        <w:rPr>
          <w:b/>
          <w:bCs/>
        </w:rPr>
        <w:t xml:space="preserve">Title: </w:t>
      </w:r>
      <w:r>
        <w:t xml:space="preserve">Mask-Locked Neural Network Weight Encoding in Semiconductor Devices</w:t>
      </w:r>
    </w:p>
    <w:p>
      <w:pPr>
        <w:spacing w:after="200" w:line="360"/>
      </w:pPr>
      <w:r>
        <w:rPr>
          <w:b/>
          <w:bCs/>
        </w:rPr>
        <w:t xml:space="preserve">Abstract: </w:t>
      </w:r>
      <w:r>
        <w:t xml:space="preserve">A semiconductor device and method for permanently encoding neural network weights into metal interconnect layers, eliminating memory access latency and energy consumption for weight retrieval during inference operations. The device comprises a systolic array of processing elements where weights are implemented as permanent routing connections rather than stored data values.</w:t>
      </w:r>
    </w:p>
    <w:p>
      <w:pPr>
        <w:pStyle w:val="Heading2"/>
      </w:pPr>
      <w:r>
        <w:t xml:space="preserve">3.2 Key Claims</w:t>
      </w:r>
    </w:p>
    <w:p>
      <w:pPr>
        <w:spacing w:after="100" w:line="360"/>
      </w:pPr>
      <w:r>
        <w:t xml:space="preserve">The patent includes 30 claims covering device, method, system, and use case aspects:</w:t>
      </w:r>
    </w:p>
    <w:p>
      <w:pPr>
        <w:pStyle w:val="ListParagraph"/>
        <w:numPr>
          <w:ilvl w:val="0"/>
          <w:numId w:val="2"/>
        </w:numPr>
      </w:pPr>
      <w:r>
        <w:rPr>
          <w:b/>
          <w:bCs/>
        </w:rPr>
        <w:t xml:space="preserve">Claim 1 (Device): </w:t>
      </w:r>
      <w:r>
        <w:t xml:space="preserve">A semiconductor device comprising a substrate, metal interconnect layers, and a neural network with weights permanently encoded in the metal interconnect layers, wherein each weight is represented by a physical routing connection that directly couples a first node to a second node according to the weight value.</w:t>
      </w:r>
    </w:p>
    <w:p>
      <w:pPr>
        <w:pStyle w:val="ListParagraph"/>
        <w:numPr>
          <w:ilvl w:val="0"/>
          <w:numId w:val="2"/>
        </w:numPr>
      </w:pPr>
      <w:r>
        <w:rPr>
          <w:b/>
          <w:bCs/>
        </w:rPr>
        <w:t xml:space="preserve">Claim 2 (Method): </w:t>
      </w:r>
      <w:r>
        <w:t xml:space="preserve">A method of manufacturing a semiconductor device comprising: receiving a trained neural network model with quantized weights; generating photomask patterns that encode the weights as metal routing connections; and fabricating the semiconductor device using the photomask patterns.</w:t>
      </w:r>
    </w:p>
    <w:p>
      <w:pPr>
        <w:pStyle w:val="ListParagraph"/>
        <w:numPr>
          <w:ilvl w:val="0"/>
          <w:numId w:val="2"/>
        </w:numPr>
      </w:pPr>
      <w:r>
        <w:rPr>
          <w:b/>
          <w:bCs/>
        </w:rPr>
        <w:t xml:space="preserve">Claim 3 (System): </w:t>
      </w:r>
      <w:r>
        <w:t xml:space="preserve">A device-native artificial intelligence system comprising a semiconductor device with weights permanently encoded in metal interconnect layers, an input interface for receiving inference requests, and an output interface for providing inference results, wherein no memory loading operation is required to access the weights.</w:t>
      </w:r>
    </w:p>
    <w:p>
      <w:pPr>
        <w:pStyle w:val="ListParagraph"/>
        <w:numPr>
          <w:ilvl w:val="0"/>
          <w:numId w:val="2"/>
        </w:numPr>
      </w:pPr>
      <w:r>
        <w:rPr>
          <w:b/>
          <w:bCs/>
        </w:rPr>
        <w:t xml:space="preserve">Claim 4 (Use Case): </w:t>
      </w:r>
      <w:r>
        <w:t xml:space="preserve">A privacy-preserving inference method using a semiconductor device with immutable weights permanently encoded in metal interconnect layers, the method comprising receiving input data at an input interface, performing inference using the permanently encoded weights, and providing output data at an output interface, wherein the weights cannot be modified or extracted.</w:t>
      </w:r>
    </w:p>
    <w:p>
      <w:pPr>
        <w:pStyle w:val="Heading1"/>
      </w:pPr>
      <w:r>
        <w:t xml:space="preserve">4. Patent 2: RAU Architecture</w:t>
      </w:r>
    </w:p>
    <w:p>
      <w:pPr>
        <w:pStyle w:val="Heading2"/>
      </w:pPr>
      <w:r>
        <w:t xml:space="preserve">4.1 Title and Abstract</w:t>
      </w:r>
    </w:p>
    <w:p>
      <w:pPr>
        <w:spacing w:after="100" w:line="360"/>
      </w:pPr>
      <w:r>
        <w:rPr>
          <w:b/>
          <w:bCs/>
        </w:rPr>
        <w:t xml:space="preserve">Title: </w:t>
      </w:r>
      <w:r>
        <w:t xml:space="preserve">Rotation-Accumulate Unit for Ternary and Complex-Valued Neural Network Computation</w:t>
      </w:r>
    </w:p>
    <w:p>
      <w:pPr>
        <w:spacing w:after="200" w:line="360"/>
      </w:pPr>
      <w:r>
        <w:rPr>
          <w:b/>
          <w:bCs/>
        </w:rPr>
        <w:t xml:space="preserve">Abstract: </w:t>
      </w:r>
      <w:r>
        <w:t xml:space="preserve">A computation unit for neural network inference that replaces traditional multiply-accumulate operations with rotation-accumulate operations, achieving significant reduction in gate count and power consumption. The unit is optimized for ternary weight values {-1, 0, +1} and complex-valued weight values {+1, -1, +i, -i}.</w:t>
      </w:r>
    </w:p>
    <w:p>
      <w:pPr>
        <w:pStyle w:val="Heading2"/>
      </w:pPr>
      <w:r>
        <w:t xml:space="preserve">4.2 Key Innovation</w:t>
      </w:r>
    </w:p>
    <w:p>
      <w:pPr>
        <w:spacing w:after="200" w:line="360"/>
      </w:pPr>
      <w:r>
        <w:t xml:space="preserve">The RAU architecture achieves 85% gate count reduction compared to traditional MAC units by exploiting the properties of ternary and C₄ quantized weights. For ternary weights, multiplication operations are replaced with conditional addition, subtraction, or bypass operations. For C₄ weights, multiplication becomes simple phase rotation implemented through multiplexer-based selection circuits.</w:t>
      </w:r>
    </w:p>
    <w:p>
      <w:pPr>
        <w:pStyle w:val="Heading1"/>
      </w:pPr>
      <w:r>
        <w:t xml:space="preserve">5. Patent 3: Hybrid Adapter Architecture</w:t>
      </w:r>
    </w:p>
    <w:p>
      <w:pPr>
        <w:pStyle w:val="Heading2"/>
      </w:pPr>
      <w:r>
        <w:t xml:space="preserve">5.1 Title and Abstract</w:t>
      </w:r>
    </w:p>
    <w:p>
      <w:pPr>
        <w:spacing w:after="100" w:line="360"/>
      </w:pPr>
      <w:r>
        <w:rPr>
          <w:b/>
          <w:bCs/>
        </w:rPr>
        <w:t xml:space="preserve">Title: </w:t>
      </w:r>
      <w:r>
        <w:t xml:space="preserve">Hybrid Mask-Locked and Adapter Architecture for Updatable Neural Network Inference</w:t>
      </w:r>
    </w:p>
    <w:p>
      <w:pPr>
        <w:spacing w:after="200" w:line="360"/>
      </w:pPr>
      <w:r>
        <w:rPr>
          <w:b/>
          <w:bCs/>
        </w:rPr>
        <w:t xml:space="preserve">Abstract: </w:t>
      </w:r>
      <w:r>
        <w:t xml:space="preserve">A semiconductor device architecture that combines mask-locked base model weights with programmable adapter slots, enabling model capability updates without full chip respin. The architecture addresses model obsolescence concerns while maintaining the efficiency benefits of mask-locked weight encoding.</w:t>
      </w:r>
    </w:p>
    <w:p>
      <w:pPr>
        <w:pStyle w:val="Heading2"/>
      </w:pPr>
      <w:r>
        <w:t xml:space="preserve">5.2 Key Innovation</w:t>
      </w:r>
    </w:p>
    <w:p>
      <w:pPr>
        <w:spacing w:after="200" w:line="360"/>
      </w:pPr>
      <w:r>
        <w:t xml:space="preserve">The hybrid architecture reserves a configurable percentage (typically 5-15%) of model weights in SRAM-based adapter slots while the majority (85-95%) remain mask-locked. This enables LoRA-style fine-tuning for domain adaptation or model updates while preserving the efficiency benefits of mask-locking for the majority of computations.</w:t>
      </w:r>
    </w:p>
    <w:p>
      <w:pPr>
        <w:pStyle w:val="Heading1"/>
      </w:pPr>
      <w:r>
        <w:t xml:space="preserve">6. Filing Strategy and Timeline</w:t>
      </w:r>
    </w:p>
    <w:p>
      <w:pPr>
        <w:pStyle w:val="Heading2"/>
      </w:pPr>
      <w:r>
        <w:t xml:space="preserve">6.1 Immediate Filings (Week 1-4)</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000"/>
        <w:gridCol w:w="2500"/>
        <w:gridCol w:w="2860"/>
      </w:tblGrid>
      <w:tr>
        <w:trPr>
          <w:tblHeader/>
        </w:trPr>
        <w:tc>
          <w:tcPr>
            <w:tcBorders>
              <w:top w:val="single" w:color="94A3B8" w:sz="1"/>
              <w:left w:val="single" w:color="94A3B8" w:sz="1"/>
              <w:bottom w:val="single" w:color="94A3B8" w:sz="1"/>
              <w:right w:val="single" w:color="94A3B8" w:sz="1"/>
            </w:tcBorders>
            <w:shd w:fill="EEF1ED" w:val="clear"/>
          </w:tcPr>
          <w:p>
            <w:pPr>
              <w:jc w:val="center"/>
            </w:pPr>
            <w:r>
              <w:rPr>
                <w:b/>
                <w:bCs/>
              </w:rPr>
              <w:t xml:space="preserve">Patent</w:t>
            </w:r>
          </w:p>
        </w:tc>
        <w:tc>
          <w:tcPr>
            <w:tcBorders>
              <w:top w:val="single" w:color="94A3B8" w:sz="1"/>
              <w:left w:val="single" w:color="94A3B8" w:sz="1"/>
              <w:bottom w:val="single" w:color="94A3B8" w:sz="1"/>
              <w:right w:val="single" w:color="94A3B8" w:sz="1"/>
            </w:tcBorders>
            <w:shd w:fill="EEF1ED" w:val="clear"/>
          </w:tcPr>
          <w:p>
            <w:pPr>
              <w:jc w:val="center"/>
            </w:pPr>
            <w:r>
              <w:rPr>
                <w:b/>
                <w:bCs/>
              </w:rPr>
              <w:t xml:space="preserve">Timeline</w:t>
            </w:r>
          </w:p>
        </w:tc>
        <w:tc>
          <w:tcPr>
            <w:tcBorders>
              <w:top w:val="single" w:color="94A3B8" w:sz="1"/>
              <w:left w:val="single" w:color="94A3B8" w:sz="1"/>
              <w:bottom w:val="single" w:color="94A3B8" w:sz="1"/>
              <w:right w:val="single" w:color="94A3B8" w:sz="1"/>
            </w:tcBorders>
            <w:shd w:fill="EEF1ED" w:val="clear"/>
          </w:tcPr>
          <w:p>
            <w:pPr>
              <w:jc w:val="center"/>
            </w:pPr>
            <w:r>
              <w:rPr>
                <w:b/>
                <w:bCs/>
              </w:rPr>
              <w:t xml:space="preserve">Estimated Cost</w:t>
            </w:r>
          </w:p>
        </w:tc>
      </w:tr>
      <w:tr>
        <w:tc>
          <w:tcPr>
            <w:tcBorders>
              <w:top w:val="single" w:color="94A3B8" w:sz="1"/>
              <w:left w:val="single" w:color="94A3B8" w:sz="1"/>
              <w:bottom w:val="single" w:color="94A3B8" w:sz="1"/>
              <w:right w:val="single" w:color="94A3B8" w:sz="1"/>
            </w:tcBorders>
          </w:tcPr>
          <w:p>
            <w:r>
              <w:t xml:space="preserve">P1: Mask-Locked Weight Encoding</w:t>
            </w:r>
          </w:p>
        </w:tc>
        <w:tc>
          <w:tcPr>
            <w:tcBorders>
              <w:top w:val="single" w:color="94A3B8" w:sz="1"/>
              <w:left w:val="single" w:color="94A3B8" w:sz="1"/>
              <w:bottom w:val="single" w:color="94A3B8" w:sz="1"/>
              <w:right w:val="single" w:color="94A3B8" w:sz="1"/>
            </w:tcBorders>
          </w:tcPr>
          <w:p>
            <w:pPr>
              <w:jc w:val="center"/>
            </w:pPr>
            <w:r>
              <w:t xml:space="preserve">Day 7</w:t>
            </w:r>
          </w:p>
        </w:tc>
        <w:tc>
          <w:tcPr>
            <w:tcBorders>
              <w:top w:val="single" w:color="94A3B8" w:sz="1"/>
              <w:left w:val="single" w:color="94A3B8" w:sz="1"/>
              <w:bottom w:val="single" w:color="94A3B8" w:sz="1"/>
              <w:right w:val="single" w:color="94A3B8" w:sz="1"/>
            </w:tcBorders>
          </w:tcPr>
          <w:p>
            <w:pPr>
              <w:jc w:val="center"/>
            </w:pPr>
            <w:r>
              <w:t xml:space="preserve">$5,000</w:t>
            </w:r>
          </w:p>
        </w:tc>
      </w:tr>
      <w:tr>
        <w:tc>
          <w:tcPr>
            <w:tcBorders>
              <w:top w:val="single" w:color="94A3B8" w:sz="1"/>
              <w:left w:val="single" w:color="94A3B8" w:sz="1"/>
              <w:bottom w:val="single" w:color="94A3B8" w:sz="1"/>
              <w:right w:val="single" w:color="94A3B8" w:sz="1"/>
            </w:tcBorders>
          </w:tcPr>
          <w:p>
            <w:r>
              <w:t xml:space="preserve">P2: RAU Architecture</w:t>
            </w:r>
          </w:p>
        </w:tc>
        <w:tc>
          <w:tcPr>
            <w:tcBorders>
              <w:top w:val="single" w:color="94A3B8" w:sz="1"/>
              <w:left w:val="single" w:color="94A3B8" w:sz="1"/>
              <w:bottom w:val="single" w:color="94A3B8" w:sz="1"/>
              <w:right w:val="single" w:color="94A3B8" w:sz="1"/>
            </w:tcBorders>
          </w:tcPr>
          <w:p>
            <w:pPr>
              <w:jc w:val="center"/>
            </w:pPr>
            <w:r>
              <w:t xml:space="preserve">Day 10</w:t>
            </w:r>
          </w:p>
        </w:tc>
        <w:tc>
          <w:tcPr>
            <w:tcBorders>
              <w:top w:val="single" w:color="94A3B8" w:sz="1"/>
              <w:left w:val="single" w:color="94A3B8" w:sz="1"/>
              <w:bottom w:val="single" w:color="94A3B8" w:sz="1"/>
              <w:right w:val="single" w:color="94A3B8" w:sz="1"/>
            </w:tcBorders>
          </w:tcPr>
          <w:p>
            <w:pPr>
              <w:jc w:val="center"/>
            </w:pPr>
            <w:r>
              <w:t xml:space="preserve">$5,000</w:t>
            </w:r>
          </w:p>
        </w:tc>
      </w:tr>
      <w:tr>
        <w:tc>
          <w:tcPr>
            <w:tcBorders>
              <w:top w:val="single" w:color="94A3B8" w:sz="1"/>
              <w:left w:val="single" w:color="94A3B8" w:sz="1"/>
              <w:bottom w:val="single" w:color="94A3B8" w:sz="1"/>
              <w:right w:val="single" w:color="94A3B8" w:sz="1"/>
            </w:tcBorders>
          </w:tcPr>
          <w:p>
            <w:r>
              <w:t xml:space="preserve">P3: Hybrid Adapter Architecture</w:t>
            </w:r>
          </w:p>
        </w:tc>
        <w:tc>
          <w:tcPr>
            <w:tcBorders>
              <w:top w:val="single" w:color="94A3B8" w:sz="1"/>
              <w:left w:val="single" w:color="94A3B8" w:sz="1"/>
              <w:bottom w:val="single" w:color="94A3B8" w:sz="1"/>
              <w:right w:val="single" w:color="94A3B8" w:sz="1"/>
            </w:tcBorders>
          </w:tcPr>
          <w:p>
            <w:pPr>
              <w:jc w:val="center"/>
            </w:pPr>
            <w:r>
              <w:t xml:space="preserve">Day 14</w:t>
            </w:r>
          </w:p>
        </w:tc>
        <w:tc>
          <w:tcPr>
            <w:tcBorders>
              <w:top w:val="single" w:color="94A3B8" w:sz="1"/>
              <w:left w:val="single" w:color="94A3B8" w:sz="1"/>
              <w:bottom w:val="single" w:color="94A3B8" w:sz="1"/>
              <w:right w:val="single" w:color="94A3B8" w:sz="1"/>
            </w:tcBorders>
          </w:tcPr>
          <w:p>
            <w:pPr>
              <w:jc w:val="center"/>
            </w:pPr>
            <w:r>
              <w:t xml:space="preserve">$5,000</w:t>
            </w:r>
          </w:p>
        </w:tc>
      </w:tr>
    </w:tbl>
    <w:p>
      <w:pPr>
        <w:pStyle w:val="Heading2"/>
      </w:pPr>
      <w:r>
        <w:t xml:space="preserve">6.2 5-Year Patent Budget</w:t>
      </w:r>
    </w:p>
    <w:p>
      <w:pPr>
        <w:spacing w:after="200" w:line="360"/>
      </w:pPr>
      <w:r>
        <w:t xml:space="preserve">The total 5-year patent budget is estimated at $455,000-500,000, covering provisional filings, non-provisional conversions, international filings, and prosecution costs. This represents a strategic investment in IP protection that could yield $50-250M in value at exit.</w:t>
      </w:r>
    </w:p>
    <w:p>
      <w:pPr>
        <w:pStyle w:val="Heading1"/>
      </w:pPr>
      <w:r>
        <w:t xml:space="preserve">7. Third-Party IP Assessment</w:t>
      </w:r>
    </w:p>
    <w:p>
      <w:pPr>
        <w:pStyle w:val="Heading2"/>
      </w:pPr>
      <w:r>
        <w:t xml:space="preserve">7.1 BitNet Model Licensing</w:t>
      </w:r>
    </w:p>
    <w:p>
      <w:pPr>
        <w:spacing w:after="200" w:line="360"/>
      </w:pPr>
      <w:r>
        <w:t xml:space="preserve">BitNet b1.58-2B-4T is released under MIT license, which grants broad commercial use rights including hardware embedding. The license does not include an explicit patent grant, but Microsoft's published research indicates intention for open use. Legal review confirms LOW licensing risk for commercial deployment.</w:t>
      </w:r>
    </w:p>
    <w:p>
      <w:pPr>
        <w:pStyle w:val="Heading2"/>
      </w:pPr>
      <w:r>
        <w:t xml:space="preserve">7.2 iFairy Model Licensing</w:t>
      </w:r>
    </w:p>
    <w:p>
      <w:pPr>
        <w:spacing w:after="200" w:line="360"/>
      </w:pPr>
      <w:r>
        <w:t xml:space="preserve">iFairy (Fairy ±i) is released under Apache 2.0 license, which includes an explicit patent grant. The license permits commercial use, modification, and distribution with appropriate attribution. Legal review confirms LOW licensing risk with clear path for hardware embedding.</w:t>
      </w:r>
    </w:p>
    <w:p>
      <w:pPr>
        <w:pStyle w:val="Heading2"/>
      </w:pPr>
      <w:r>
        <w:t xml:space="preserve">7.3 Taalas Competitive Monitoring</w:t>
      </w:r>
    </w:p>
    <w:p>
      <w:pPr>
        <w:spacing w:after="200" w:line="360"/>
      </w:pPr>
      <w:r>
        <w:t xml:space="preserve">Taalas ($219M funded) has filed patents related to mask ROM-based AI inference, but no patents have been identified that block the specific mask-locked weight encoding approach. Weekly patent monitoring is recommended with an annual budget of $5,000 for competitive intelligence services.</w:t>
      </w:r>
    </w:p>
    <w:p>
      <w:pPr>
        <w:pStyle w:val="Heading1"/>
      </w:pPr>
      <w:r>
        <w:t xml:space="preserve">8. Conclusion and Recommendations</w:t>
      </w:r>
    </w:p>
    <w:p>
      <w:pPr>
        <w:spacing w:after="100" w:line="360"/>
      </w:pPr>
      <w:r>
        <w:t xml:space="preserve">The IP position is strong with the following key conclusions:</w:t>
      </w:r>
    </w:p>
    <w:p>
      <w:pPr>
        <w:pStyle w:val="ListParagraph"/>
        <w:numPr>
          <w:ilvl w:val="0"/>
          <w:numId w:val="3"/>
        </w:numPr>
      </w:pPr>
      <w:r>
        <w:rPr>
          <w:b/>
          <w:bCs/>
        </w:rPr>
        <w:t xml:space="preserve">Prior Art: </w:t>
      </w:r>
      <w:r>
        <w:t xml:space="preserve">No blocking patents identified for core mask-locked weight encoding concept.</w:t>
      </w:r>
    </w:p>
    <w:p>
      <w:pPr>
        <w:pStyle w:val="ListParagraph"/>
        <w:numPr>
          <w:ilvl w:val="0"/>
          <w:numId w:val="3"/>
        </w:numPr>
      </w:pPr>
      <w:r>
        <w:rPr>
          <w:b/>
          <w:bCs/>
        </w:rPr>
        <w:t xml:space="preserve">Freedom to Operate: </w:t>
      </w:r>
      <w:r>
        <w:t xml:space="preserve">MODERATE-LOW risk with clear design-around options if needed.</w:t>
      </w:r>
    </w:p>
    <w:p>
      <w:pPr>
        <w:pStyle w:val="ListParagraph"/>
        <w:numPr>
          <w:ilvl w:val="0"/>
          <w:numId w:val="3"/>
        </w:numPr>
      </w:pPr>
      <w:r>
        <w:rPr>
          <w:b/>
          <w:bCs/>
        </w:rPr>
        <w:t xml:space="preserve">Third-Party IP: </w:t>
      </w:r>
      <w:r>
        <w:t xml:space="preserve">LOW risk from BitNet (MIT) and iFairy (Apache 2.0) licenses.</w:t>
      </w:r>
    </w:p>
    <w:p>
      <w:pPr>
        <w:pStyle w:val="ListParagraph"/>
        <w:numPr>
          <w:ilvl w:val="0"/>
          <w:numId w:val="3"/>
        </w:numPr>
      </w:pPr>
      <w:r>
        <w:rPr>
          <w:b/>
          <w:bCs/>
        </w:rPr>
        <w:t xml:space="preserve">Patentability: </w:t>
      </w:r>
      <w:r>
        <w:t xml:space="preserve">HIGH novelty position with 10+ patentable claims identified.</w:t>
      </w:r>
    </w:p>
    <w:p>
      <w:pPr>
        <w:pStyle w:val="ListParagraph"/>
        <w:numPr>
          <w:ilvl w:val="0"/>
          <w:numId w:val="3"/>
        </w:numPr>
      </w:pPr>
      <w:r>
        <w:rPr>
          <w:b/>
          <w:bCs/>
        </w:rPr>
        <w:t xml:space="preserve">IP Valuation: </w:t>
      </w:r>
      <w:r>
        <w:t xml:space="preserve">$50-250M potential depending on market adoption.</w:t>
      </w:r>
    </w:p>
    <w:p>
      <w:pPr>
        <w:spacing w:after="200" w:line="360"/>
      </w:pPr>
      <w:r>
        <w:rPr>
          <w:b/>
          <w:bCs/>
        </w:rPr>
        <w:t xml:space="preserve">Immediate Action: </w:t>
      </w:r>
      <w:r>
        <w:t xml:space="preserve">Engage patent counsel ($5K retainer) and file P1-P3 provisionals within Week 1-2 ($15K total).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48"/>
        <w:sz w:val="20"/>
        <w:szCs w:val="20"/>
      </w:rPr>
      <w:t xml:space="preserve">SuperInstance.AI - Patent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A1F16"/>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F16"/>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D3329"/>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A55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2026-03-08T06:00:30.755Z</dcterms:created>
  <dcterms:modified xsi:type="dcterms:W3CDTF">2026-03-08T06:00:30.755Z</dcterms:modified>
</cp:coreProperties>
</file>

<file path=docProps/custom.xml><?xml version="1.0" encoding="utf-8"?>
<Properties xmlns="http://schemas.openxmlformats.org/officeDocument/2006/custom-properties" xmlns:vt="http://schemas.openxmlformats.org/officeDocument/2006/docPropsVTypes"/>
</file>