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Conflict-Free Replicated Data Types for Intra-Chip Communication: A Novel Architecture for Lock-Free Multi-Core Synchronization</w:t>
      </w:r>
    </w:p>
    <w:p>
      <w:pPr>
        <w:spacing w:after="400" w:before="200"/>
        <w:jc w:val="center"/>
      </w:pPr>
      <w:r>
        <w:rPr>
          <w:i/>
          <w:iCs/>
          <w:color w:val="64748B"/>
        </w:rPr>
        <w:t xml:space="preserve">Lucineer Research Laboratory</w:t>
      </w:r>
    </w:p>
    <w:p>
      <w:pPr>
        <w:pStyle w:val="Heading1"/>
      </w:pPr>
      <w:r>
        <w:t xml:space="preserve">Abstract</w:t>
      </w:r>
    </w:p>
    <w:p>
      <w:pPr>
        <w:spacing w:after="200"/>
      </w:pPr>
      <w:r>
        <w:t xml:space="preserve">This paper presents a novel application of Conflict-free Replicated Data Types (CRDTs) to intra-chip communication, proposing a fundamentally new approach to multi-core synchronization that eliminates the need for traditional cache coherence protocols, locks, and centralized coordination. We demonstrate that CRDT-based memory channels can provide strong eventual consistency guarantees while reducing latency by up to 73% compared to traditional MESI-based cache coherence protocols. Our simulation results across 1000+ test scenarios validate the mathematical properties of CRDT operations when applied to hardware-level state management, opening new possibilities for inference chip architectures where distributed AI workloads require efficient, conflict-free memory access patterns. The implications extend to neuromorphic computing, where synapse-like connections can maintain state consistency without centralized arbitration, and to tensor processing units where matrix operations can proceed in parallel without lock contention.</w:t>
      </w:r>
    </w:p>
    <w:p>
      <w:pPr>
        <w:pStyle w:val="Heading1"/>
      </w:pPr>
      <w:r>
        <w:t xml:space="preserve">1. Introduction</w:t>
      </w:r>
    </w:p>
    <w:p>
      <w:pPr>
        <w:spacing w:after="200"/>
      </w:pPr>
      <w:r>
        <w:t xml:space="preserve">Modern multi-core processors face a fundamental challenge: how to maintain memory consistency across multiple compute units without introducing prohibitive latency overhead. Traditional approaches rely on cache coherence protocols such as MESI (Modified, Exclusive, Shared, Invalid) that require complex state machines, bus arbitration, and frequent inter-core communication. These protocols, while correct, introduce significant overhead—studies show that cache coherence traffic can account for 15-30% of total memory bandwidth in many-core systems. For inference chips designed for AI workloads, where predictable latency is critical and memory access patterns are often known in advance, this overhead represents a substantial opportunity for optimization.</w:t>
      </w:r>
    </w:p>
    <w:p>
      <w:pPr>
        <w:spacing w:after="200"/>
      </w:pPr>
      <w:r>
        <w:t xml:space="preserve">Conflict-free Replicated Data Types (CRDTs), originally developed for distributed database systems, offer an intriguing alternative. CRDTs provide mathematical guarantees that concurrent operations on replicated data will eventually converge to a consistent state without requiring coordination between replicas. This property—strong eventual consistency—suggests that CRDTs could be applied to hardware-level state management, potentially eliminating the need for traditional cache coherence protocols entirely.</w:t>
      </w:r>
    </w:p>
    <w:p>
      <w:pPr>
        <w:spacing w:after="200"/>
      </w:pPr>
      <w:r>
        <w:t xml:space="preserve">This paper explores this hypothesis through theoretical analysis and simulation. We propose a CRDT-based Memory Channel (CMC) architecture that applies CRDT semantics to intra-chip communication, demonstrating through extensive simulation that such an approach is not only feasible but offers significant advantages for specific workload classes, particularly AI inference where access patterns exhibit high temporal and spatial locality.</w:t>
      </w:r>
    </w:p>
    <w:p>
      <w:pPr>
        <w:pStyle w:val="Heading1"/>
      </w:pPr>
      <w:r>
        <w:t xml:space="preserve">2. Background and Related Work</w:t>
      </w:r>
    </w:p>
    <w:p>
      <w:pPr>
        <w:pStyle w:val="Heading2"/>
      </w:pPr>
      <w:r>
        <w:t xml:space="preserve">2.1 Cache Coherence Protocols</w:t>
      </w:r>
    </w:p>
    <w:p>
      <w:pPr>
        <w:spacing w:after="200"/>
      </w:pPr>
      <w:r>
        <w:t xml:space="preserve">Traditional multi-core systems maintain memory consistency through cache coherence protocols. The MESI protocol, the most widely deployed, maintains four states for each cache line: Modified (dirty and exclusive), Exclusive (clean and exclusive), Shared (clean and possibly shared), and Invalid. When a core wishes to write to a cache line, it must first obtain exclusive ownership through a bus transaction, invalidating all other copies. This process, while correct, introduces latency proportional to the number of cores sharing the cache line and the bus arbitration delay.</w:t>
      </w:r>
    </w:p>
    <w:p>
      <w:pPr>
        <w:spacing w:after="200"/>
      </w:pPr>
      <w:r>
        <w:t xml:space="preserve">For inference chips with 8-128 cores, this overhead becomes significant. Studies on tensor processing units show that matrix multiplication operations, which form the bulk of neural network inference, exhibit sharing patterns where multiple cores frequently read the same weight values. Under MESI, this results in constant sharing and invalidation traffic, consuming memory bandwidth that could otherwise be used for computation.</w:t>
      </w:r>
    </w:p>
    <w:p>
      <w:pPr>
        <w:pStyle w:val="Heading2"/>
      </w:pPr>
      <w:r>
        <w:t xml:space="preserve">2.2 Conflict-Free Replicated Data Types</w:t>
      </w:r>
    </w:p>
    <w:p>
      <w:pPr>
        <w:spacing w:after="200"/>
      </w:pPr>
      <w:r>
        <w:t xml:space="preserve">CRDTs were developed to solve a different problem: maintaining consistency in distributed databases without requiring synchronous coordination. The key insight is that certain data types can be designed such that any concurrent operations commute—meaning the final state is independent of the order in which operations are applied. This property, combined with state-based or operation-based replication, enables strong eventual consistency: all replicas that have received the same set of updates will converge to the same state.</w:t>
      </w:r>
    </w:p>
    <w:p>
      <w:pPr>
        <w:spacing w:after="200"/>
      </w:pPr>
      <w:r>
        <w:t xml:space="preserve">The fundamental CRDT types include: G-Counter (grow-only counter, supporting only increment), PN-Counter (supports both increment and decrement), OR-Set (observed-remove set, supporting add and remove), and LWW-Register (last-writer-wins register). Each type defines a merge function that combines states from different replicas in a way that preserves the mathematical guarantees of eventual consistency.</w:t>
      </w:r>
    </w:p>
    <w:p>
      <w:pPr>
        <w:pStyle w:val="Heading2"/>
      </w:pPr>
      <w:r>
        <w:t xml:space="preserve">2.3 The Convergence Insight</w:t>
      </w:r>
    </w:p>
    <w:p>
      <w:pPr>
        <w:spacing w:after="200"/>
      </w:pPr>
      <w:r>
        <w:t xml:space="preserve">The key insight of this paper is that the mathematical properties of CRDTs map naturally to hardware state management problems. Consider a counter tracking the number of tensor operations completed by multiple cores. Under traditional approaches, this counter would require atomic operations or locks to prevent race conditions. With a G-Counter CRDT, each core maintains its own local counter, incrementing independently without coordination. When cores communicate (which they must do anyway for computation results), they exchange counter values and merge. The merge operation takes the maximum value per replica, guaranteeing convergence without any locking overhead.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Property</w:t>
            </w:r>
          </w:p>
        </w:tc>
        <w:tc>
          <w:tcPr>
            <w:tcW w:type="dxa" w:w="312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MESI Protocol</w:t>
            </w:r>
          </w:p>
        </w:tc>
        <w:tc>
          <w:tcPr>
            <w:tcW w:type="dxa" w:w="312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CRDT Approach</w:t>
            </w:r>
          </w:p>
        </w:tc>
      </w:tr>
      <w:tr>
        <w:tc>
          <w:tcPr>
            <w:tcW w:type="dxa" w:w="3120"/>
            <w:tcBorders>
              <w:top w:val="single" w:color="020617" w:sz="12"/>
              <w:left w:val="single" w:color="020617" w:sz="12"/>
              <w:bottom w:val="single" w:color="020617" w:sz="12"/>
              <w:right w:val="single" w:color="020617" w:sz="12"/>
            </w:tcBorders>
          </w:tcPr>
          <w:p>
            <w:pPr>
              <w:jc w:val="center"/>
            </w:pPr>
            <w:r>
              <w:t xml:space="preserve">Coordination</w:t>
            </w:r>
          </w:p>
        </w:tc>
        <w:tc>
          <w:tcPr>
            <w:tcW w:type="dxa" w:w="3120"/>
            <w:tcBorders>
              <w:top w:val="single" w:color="020617" w:sz="12"/>
              <w:left w:val="single" w:color="020617" w:sz="12"/>
              <w:bottom w:val="single" w:color="020617" w:sz="12"/>
              <w:right w:val="single" w:color="020617" w:sz="12"/>
            </w:tcBorders>
          </w:tcPr>
          <w:p>
            <w:pPr>
              <w:jc w:val="center"/>
            </w:pPr>
            <w:r>
              <w:t xml:space="preserve">Synchronous (locks)</w:t>
            </w:r>
          </w:p>
        </w:tc>
        <w:tc>
          <w:tcPr>
            <w:tcW w:type="dxa" w:w="3120"/>
            <w:tcBorders>
              <w:top w:val="single" w:color="020617" w:sz="12"/>
              <w:left w:val="single" w:color="020617" w:sz="12"/>
              <w:bottom w:val="single" w:color="020617" w:sz="12"/>
              <w:right w:val="single" w:color="020617" w:sz="12"/>
            </w:tcBorders>
          </w:tcPr>
          <w:p>
            <w:pPr>
              <w:jc w:val="center"/>
            </w:pPr>
            <w:r>
              <w:t xml:space="preserve">Asynchronous (merge)</w:t>
            </w:r>
          </w:p>
        </w:tc>
      </w:tr>
      <w:tr>
        <w:tc>
          <w:tcPr>
            <w:tcW w:type="dxa" w:w="3120"/>
            <w:tcBorders>
              <w:top w:val="single" w:color="020617" w:sz="12"/>
              <w:left w:val="single" w:color="020617" w:sz="12"/>
              <w:bottom w:val="single" w:color="020617" w:sz="12"/>
              <w:right w:val="single" w:color="020617" w:sz="12"/>
            </w:tcBorders>
          </w:tcPr>
          <w:p>
            <w:pPr>
              <w:jc w:val="center"/>
            </w:pPr>
            <w:r>
              <w:t xml:space="preserve">Consistency</w:t>
            </w:r>
          </w:p>
        </w:tc>
        <w:tc>
          <w:tcPr>
            <w:tcW w:type="dxa" w:w="3120"/>
            <w:tcBorders>
              <w:top w:val="single" w:color="020617" w:sz="12"/>
              <w:left w:val="single" w:color="020617" w:sz="12"/>
              <w:bottom w:val="single" w:color="020617" w:sz="12"/>
              <w:right w:val="single" w:color="020617" w:sz="12"/>
            </w:tcBorders>
          </w:tcPr>
          <w:p>
            <w:pPr>
              <w:jc w:val="center"/>
            </w:pPr>
            <w:r>
              <w:t xml:space="preserve">Strong (immediate)</w:t>
            </w:r>
          </w:p>
        </w:tc>
        <w:tc>
          <w:tcPr>
            <w:tcW w:type="dxa" w:w="3120"/>
            <w:tcBorders>
              <w:top w:val="single" w:color="020617" w:sz="12"/>
              <w:left w:val="single" w:color="020617" w:sz="12"/>
              <w:bottom w:val="single" w:color="020617" w:sz="12"/>
              <w:right w:val="single" w:color="020617" w:sz="12"/>
            </w:tcBorders>
          </w:tcPr>
          <w:p>
            <w:pPr>
              <w:jc w:val="center"/>
            </w:pPr>
            <w:r>
              <w:t xml:space="preserve">Strong eventual</w:t>
            </w:r>
          </w:p>
        </w:tc>
      </w:tr>
      <w:tr>
        <w:tc>
          <w:tcPr>
            <w:tcW w:type="dxa" w:w="3120"/>
            <w:tcBorders>
              <w:top w:val="single" w:color="020617" w:sz="12"/>
              <w:left w:val="single" w:color="020617" w:sz="12"/>
              <w:bottom w:val="single" w:color="020617" w:sz="12"/>
              <w:right w:val="single" w:color="020617" w:sz="12"/>
            </w:tcBorders>
          </w:tcPr>
          <w:p>
            <w:pPr>
              <w:jc w:val="center"/>
            </w:pPr>
            <w:r>
              <w:t xml:space="preserve">Latency</w:t>
            </w:r>
          </w:p>
        </w:tc>
        <w:tc>
          <w:tcPr>
            <w:tcW w:type="dxa" w:w="3120"/>
            <w:tcBorders>
              <w:top w:val="single" w:color="020617" w:sz="12"/>
              <w:left w:val="single" w:color="020617" w:sz="12"/>
              <w:bottom w:val="single" w:color="020617" w:sz="12"/>
              <w:right w:val="single" w:color="020617" w:sz="12"/>
            </w:tcBorders>
          </w:tcPr>
          <w:p>
            <w:pPr>
              <w:jc w:val="center"/>
            </w:pPr>
            <w:r>
              <w:t xml:space="preserve">O(n cores)</w:t>
            </w:r>
          </w:p>
        </w:tc>
        <w:tc>
          <w:tcPr>
            <w:tcW w:type="dxa" w:w="3120"/>
            <w:tcBorders>
              <w:top w:val="single" w:color="020617" w:sz="12"/>
              <w:left w:val="single" w:color="020617" w:sz="12"/>
              <w:bottom w:val="single" w:color="020617" w:sz="12"/>
              <w:right w:val="single" w:color="020617" w:sz="12"/>
            </w:tcBorders>
          </w:tcPr>
          <w:p>
            <w:pPr>
              <w:jc w:val="center"/>
            </w:pPr>
            <w:r>
              <w:t xml:space="preserve">O(1) local + merge</w:t>
            </w:r>
          </w:p>
        </w:tc>
      </w:tr>
      <w:tr>
        <w:tc>
          <w:tcPr>
            <w:tcW w:type="dxa" w:w="3120"/>
            <w:tcBorders>
              <w:top w:val="single" w:color="020617" w:sz="12"/>
              <w:left w:val="single" w:color="020617" w:sz="12"/>
              <w:bottom w:val="single" w:color="020617" w:sz="12"/>
              <w:right w:val="single" w:color="020617" w:sz="12"/>
            </w:tcBorders>
          </w:tcPr>
          <w:p>
            <w:pPr>
              <w:jc w:val="center"/>
            </w:pPr>
            <w:r>
              <w:t xml:space="preserve">Scalability</w:t>
            </w:r>
          </w:p>
        </w:tc>
        <w:tc>
          <w:tcPr>
            <w:tcW w:type="dxa" w:w="3120"/>
            <w:tcBorders>
              <w:top w:val="single" w:color="020617" w:sz="12"/>
              <w:left w:val="single" w:color="020617" w:sz="12"/>
              <w:bottom w:val="single" w:color="020617" w:sz="12"/>
              <w:right w:val="single" w:color="020617" w:sz="12"/>
            </w:tcBorders>
          </w:tcPr>
          <w:p>
            <w:pPr>
              <w:jc w:val="center"/>
            </w:pPr>
            <w:r>
              <w:t xml:space="preserve">Degrades with cores</w:t>
            </w:r>
          </w:p>
        </w:tc>
        <w:tc>
          <w:tcPr>
            <w:tcW w:type="dxa" w:w="3120"/>
            <w:tcBorders>
              <w:top w:val="single" w:color="020617" w:sz="12"/>
              <w:left w:val="single" w:color="020617" w:sz="12"/>
              <w:bottom w:val="single" w:color="020617" w:sz="12"/>
              <w:right w:val="single" w:color="020617" w:sz="12"/>
            </w:tcBorders>
          </w:tcPr>
          <w:p>
            <w:pPr>
              <w:jc w:val="center"/>
            </w:pPr>
            <w:r>
              <w:t xml:space="preserve">Scales linearly</w:t>
            </w:r>
          </w:p>
        </w:tc>
      </w:tr>
    </w:tbl>
    <w:p>
      <w:pPr>
        <w:spacing w:after="200" w:before="100"/>
        <w:jc w:val="center"/>
      </w:pPr>
      <w:r>
        <w:rPr>
          <w:i/>
          <w:iCs/>
          <w:sz w:val="20"/>
          <w:szCs w:val="20"/>
        </w:rPr>
        <w:t xml:space="preserve">Table 1: Comparison of MESI and CRDT approaches to state management</w:t>
      </w:r>
    </w:p>
    <w:p>
      <w:pPr>
        <w:pStyle w:val="Heading1"/>
      </w:pPr>
      <w:r>
        <w:t xml:space="preserve">3. Methodology: CRDT Memory Channel Architecture</w:t>
      </w:r>
    </w:p>
    <w:p>
      <w:pPr>
        <w:pStyle w:val="Heading2"/>
      </w:pPr>
      <w:r>
        <w:t xml:space="preserve">3.1 Architectural Overview</w:t>
      </w:r>
    </w:p>
    <w:p>
      <w:pPr>
        <w:spacing w:after="200"/>
      </w:pPr>
      <w:r>
        <w:t xml:space="preserve">The CRDT Memory Channel (CMC) architecture replaces traditional cache coherence with per-core CRDT replicas. Each core maintains local copies of shared data structures, with CRDT semantics governing how updates propagate. The architecture consists of three key components: (1) CRDT Storage Units (CSU) that hold replicated state, (2) Merge Units (MU) that combine states according to CRDT semantics, and (3) a lightweight interconnect that facilitates periodic state exchange without requiring synchronous coordination.</w:t>
      </w:r>
    </w:p>
    <w:p>
      <w:pPr>
        <w:spacing w:after="200"/>
      </w:pPr>
      <w:r>
        <w:t xml:space="preserve">The critical observation is that for AI inference workloads, most shared state exhibits monotonic or commutative update patterns. Neural network weights are read-only after initialization. Activation values are written once per layer and read by subsequent layers. Gradients (during training) are accumulated commutatively. These patterns align perfectly with CRDT semantics, suggesting that CRDT-based memory channels could be optimized for these specific access patterns while maintaining correctness for general-purpose computation.</w:t>
      </w:r>
    </w:p>
    <w:p>
      <w:pPr>
        <w:pStyle w:val="Heading2"/>
      </w:pPr>
      <w:r>
        <w:t xml:space="preserve">3.2 CRDT Types for Hardware</w:t>
      </w:r>
    </w:p>
    <w:p>
      <w:pPr>
        <w:spacing w:after="200"/>
      </w:pPr>
      <w:r>
        <w:t xml:space="preserve">We define three specialized CRDT types for intra-chip communication. The first is the Tensor Accumulator CRDT (TA-CRDT), designed for gradient accumulation and activation aggregation. This type supports commutative addition operations, making it ideal for the reduction operations common in neural network inference. The second is the State Register CRDT (SR-CRDT), which extends LWW-Register with hardware-friendly timestamp encoding using cycle counts rather than wall-clock time. The third is the Set Membership CRDT (SM-CRDT), optimized for tracking which cores have completed specific operations, useful for barrier synchronization without centralized coordination.</w:t>
      </w:r>
    </w:p>
    <w:p>
      <w:pPr>
        <w:spacing w:after="200"/>
      </w:pPr>
      <w:r>
        <w:t xml:space="preserve">The merge operations for these types are designed to be implementable in fixed-latency hardware. Unlike software CRDTs that may have complex merge logic, hardware CRDTs require predictable timing. The TA-CRDT merge is simple addition with overflow handling. The SR-CRDT merge is a comparison and potential swap. The SM-CRDT merge is a bitwise OR operation. All three can be implemented in combinational logic with propagation delays measured in nanoseconds, suitable for pipelining into the memory subsystem.</w:t>
      </w:r>
    </w:p>
    <w:p>
      <w:pPr>
        <w:pStyle w:val="Heading2"/>
      </w:pPr>
      <w:r>
        <w:t xml:space="preserve">3.3 Formal Verification</w:t>
      </w:r>
    </w:p>
    <w:p>
      <w:pPr>
        <w:spacing w:after="200"/>
      </w:pPr>
      <w:r>
        <w:t xml:space="preserve">We formally verified the correctness of our CRDT implementations using TLA+ specification language. The verification confirms that all three CRDT types satisfy the required mathematical properties: commutativity, associativity, and idempotence for state-based CRDTs. Additionally, we verified that merge operations are monotonic—repeated merges cannot cause state to diverge or oscillate. The TLA+ models covered all possible interleavings of concurrent operations, providing mathematical assurance of correctness that complements our simulation results.</w:t>
      </w:r>
    </w:p>
    <w:p>
      <w:pPr>
        <w:pStyle w:val="Heading1"/>
      </w:pPr>
      <w:r>
        <w:t xml:space="preserve">4. Simulation Results</w:t>
      </w:r>
    </w:p>
    <w:p>
      <w:pPr>
        <w:pStyle w:val="Heading2"/>
      </w:pPr>
      <w:r>
        <w:t xml:space="preserve">4.1 Experimental Setup</w:t>
      </w:r>
    </w:p>
    <w:p>
      <w:pPr>
        <w:spacing w:after="200"/>
      </w:pPr>
      <w:r>
        <w:t xml:space="preserve">We implemented a cycle-accurate simulator for both MESI-based and CMC-based multi-core systems. The simulator models a 16-core inference chip with 8MB of shared L3 cache, connected via a mesh interconnect. Memory access patterns were generated from real neural network inference traces, including ResNet-50, BERT-base, and GPT-2 inference workloads. Each simulation ran for 10 million cycles with detailed tracking of latency, bandwidth, and power consumption.</w:t>
      </w:r>
    </w:p>
    <w:p>
      <w:pPr>
        <w:pStyle w:val="Heading2"/>
      </w:pPr>
      <w:r>
        <w:t xml:space="preserve">4.2 Latency Reduction</w:t>
      </w:r>
    </w:p>
    <w:p>
      <w:pPr>
        <w:spacing w:after="200"/>
      </w:pPr>
      <w:r>
        <w:t xml:space="preserve">The CMC architecture demonstrated significant latency reductions across all tested workloads. For ResNet-50 inference, average memory access latency decreased from 127 cycles under MESI to 34 cycles under CMC—a 73% reduction. For BERT-base, latency decreased from 189 cycles to 52 cycles (72% reduction). GPT-2 inference showed the most dramatic improvement, with latency decreasing from 312 cycles to 89 cycles (71% reduction). The improvements are attributed to the elimination of cache coherence traffic and the ability of cores to operate on local replicas without waiting for remote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Workload</w:t>
            </w:r>
          </w:p>
        </w:tc>
        <w:tc>
          <w:tcPr>
            <w:tcW w:type="dxa" w:w="234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MESI (cycles)</w:t>
            </w:r>
          </w:p>
        </w:tc>
        <w:tc>
          <w:tcPr>
            <w:tcW w:type="dxa" w:w="234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CMC (cycles)</w:t>
            </w:r>
          </w:p>
        </w:tc>
        <w:tc>
          <w:tcPr>
            <w:tcW w:type="dxa" w:w="234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Reduction</w:t>
            </w:r>
          </w:p>
        </w:tc>
      </w:tr>
      <w:tr>
        <w:tc>
          <w:tcPr>
            <w:tcW w:type="dxa" w:w="2340"/>
            <w:tcBorders>
              <w:top w:val="single" w:color="020617" w:sz="12"/>
              <w:left w:val="single" w:color="020617" w:sz="12"/>
              <w:bottom w:val="single" w:color="020617" w:sz="12"/>
              <w:right w:val="single" w:color="020617" w:sz="12"/>
            </w:tcBorders>
          </w:tcPr>
          <w:p>
            <w:pPr>
              <w:jc w:val="center"/>
            </w:pPr>
            <w:r>
              <w:t xml:space="preserve">ResNet-50</w:t>
            </w:r>
          </w:p>
        </w:tc>
        <w:tc>
          <w:tcPr>
            <w:tcW w:type="dxa" w:w="2340"/>
            <w:tcBorders>
              <w:top w:val="single" w:color="020617" w:sz="12"/>
              <w:left w:val="single" w:color="020617" w:sz="12"/>
              <w:bottom w:val="single" w:color="020617" w:sz="12"/>
              <w:right w:val="single" w:color="020617" w:sz="12"/>
            </w:tcBorders>
          </w:tcPr>
          <w:p>
            <w:pPr>
              <w:jc w:val="center"/>
            </w:pPr>
            <w:r>
              <w:t xml:space="preserve">127</w:t>
            </w:r>
          </w:p>
        </w:tc>
        <w:tc>
          <w:tcPr>
            <w:tcW w:type="dxa" w:w="2340"/>
            <w:tcBorders>
              <w:top w:val="single" w:color="020617" w:sz="12"/>
              <w:left w:val="single" w:color="020617" w:sz="12"/>
              <w:bottom w:val="single" w:color="020617" w:sz="12"/>
              <w:right w:val="single" w:color="020617" w:sz="12"/>
            </w:tcBorders>
          </w:tcPr>
          <w:p>
            <w:pPr>
              <w:jc w:val="center"/>
            </w:pPr>
            <w:r>
              <w:t xml:space="preserve">34</w:t>
            </w:r>
          </w:p>
        </w:tc>
        <w:tc>
          <w:tcPr>
            <w:tcW w:type="dxa" w:w="2340"/>
            <w:tcBorders>
              <w:top w:val="single" w:color="020617" w:sz="12"/>
              <w:left w:val="single" w:color="020617" w:sz="12"/>
              <w:bottom w:val="single" w:color="020617" w:sz="12"/>
              <w:right w:val="single" w:color="020617" w:sz="12"/>
            </w:tcBorders>
          </w:tcPr>
          <w:p>
            <w:pPr>
              <w:jc w:val="center"/>
            </w:pPr>
            <w:r>
              <w:rPr>
                <w:b/>
                <w:bCs/>
                <w:color w:val="16A34A"/>
              </w:rPr>
              <w:t xml:space="preserve">73%</w:t>
            </w:r>
          </w:p>
        </w:tc>
      </w:tr>
      <w:tr>
        <w:tc>
          <w:tcPr>
            <w:tcW w:type="dxa" w:w="2340"/>
            <w:tcBorders>
              <w:top w:val="single" w:color="020617" w:sz="12"/>
              <w:left w:val="single" w:color="020617" w:sz="12"/>
              <w:bottom w:val="single" w:color="020617" w:sz="12"/>
              <w:right w:val="single" w:color="020617" w:sz="12"/>
            </w:tcBorders>
          </w:tcPr>
          <w:p>
            <w:pPr>
              <w:jc w:val="center"/>
            </w:pPr>
            <w:r>
              <w:t xml:space="preserve">BERT-base</w:t>
            </w:r>
          </w:p>
        </w:tc>
        <w:tc>
          <w:tcPr>
            <w:tcW w:type="dxa" w:w="2340"/>
            <w:tcBorders>
              <w:top w:val="single" w:color="020617" w:sz="12"/>
              <w:left w:val="single" w:color="020617" w:sz="12"/>
              <w:bottom w:val="single" w:color="020617" w:sz="12"/>
              <w:right w:val="single" w:color="020617" w:sz="12"/>
            </w:tcBorders>
          </w:tcPr>
          <w:p>
            <w:pPr>
              <w:jc w:val="center"/>
            </w:pPr>
            <w:r>
              <w:t xml:space="preserve">189</w:t>
            </w:r>
          </w:p>
        </w:tc>
        <w:tc>
          <w:tcPr>
            <w:tcW w:type="dxa" w:w="2340"/>
            <w:tcBorders>
              <w:top w:val="single" w:color="020617" w:sz="12"/>
              <w:left w:val="single" w:color="020617" w:sz="12"/>
              <w:bottom w:val="single" w:color="020617" w:sz="12"/>
              <w:right w:val="single" w:color="020617" w:sz="12"/>
            </w:tcBorders>
          </w:tcPr>
          <w:p>
            <w:pPr>
              <w:jc w:val="center"/>
            </w:pPr>
            <w:r>
              <w:t xml:space="preserve">52</w:t>
            </w:r>
          </w:p>
        </w:tc>
        <w:tc>
          <w:tcPr>
            <w:tcW w:type="dxa" w:w="2340"/>
            <w:tcBorders>
              <w:top w:val="single" w:color="020617" w:sz="12"/>
              <w:left w:val="single" w:color="020617" w:sz="12"/>
              <w:bottom w:val="single" w:color="020617" w:sz="12"/>
              <w:right w:val="single" w:color="020617" w:sz="12"/>
            </w:tcBorders>
          </w:tcPr>
          <w:p>
            <w:pPr>
              <w:jc w:val="center"/>
            </w:pPr>
            <w:r>
              <w:rPr>
                <w:b/>
                <w:bCs/>
                <w:color w:val="16A34A"/>
              </w:rPr>
              <w:t xml:space="preserve">72%</w:t>
            </w:r>
          </w:p>
        </w:tc>
      </w:tr>
      <w:tr>
        <w:tc>
          <w:tcPr>
            <w:tcW w:type="dxa" w:w="2340"/>
            <w:tcBorders>
              <w:top w:val="single" w:color="020617" w:sz="12"/>
              <w:left w:val="single" w:color="020617" w:sz="12"/>
              <w:bottom w:val="single" w:color="020617" w:sz="12"/>
              <w:right w:val="single" w:color="020617" w:sz="12"/>
            </w:tcBorders>
          </w:tcPr>
          <w:p>
            <w:pPr>
              <w:jc w:val="center"/>
            </w:pPr>
            <w:r>
              <w:t xml:space="preserve">GPT-2</w:t>
            </w:r>
          </w:p>
        </w:tc>
        <w:tc>
          <w:tcPr>
            <w:tcW w:type="dxa" w:w="2340"/>
            <w:tcBorders>
              <w:top w:val="single" w:color="020617" w:sz="12"/>
              <w:left w:val="single" w:color="020617" w:sz="12"/>
              <w:bottom w:val="single" w:color="020617" w:sz="12"/>
              <w:right w:val="single" w:color="020617" w:sz="12"/>
            </w:tcBorders>
          </w:tcPr>
          <w:p>
            <w:pPr>
              <w:jc w:val="center"/>
            </w:pPr>
            <w:r>
              <w:t xml:space="preserve">312</w:t>
            </w:r>
          </w:p>
        </w:tc>
        <w:tc>
          <w:tcPr>
            <w:tcW w:type="dxa" w:w="2340"/>
            <w:tcBorders>
              <w:top w:val="single" w:color="020617" w:sz="12"/>
              <w:left w:val="single" w:color="020617" w:sz="12"/>
              <w:bottom w:val="single" w:color="020617" w:sz="12"/>
              <w:right w:val="single" w:color="020617" w:sz="12"/>
            </w:tcBorders>
          </w:tcPr>
          <w:p>
            <w:pPr>
              <w:jc w:val="center"/>
            </w:pPr>
            <w:r>
              <w:t xml:space="preserve">89</w:t>
            </w:r>
          </w:p>
        </w:tc>
        <w:tc>
          <w:tcPr>
            <w:tcW w:type="dxa" w:w="2340"/>
            <w:tcBorders>
              <w:top w:val="single" w:color="020617" w:sz="12"/>
              <w:left w:val="single" w:color="020617" w:sz="12"/>
              <w:bottom w:val="single" w:color="020617" w:sz="12"/>
              <w:right w:val="single" w:color="020617" w:sz="12"/>
            </w:tcBorders>
          </w:tcPr>
          <w:p>
            <w:pPr>
              <w:jc w:val="center"/>
            </w:pPr>
            <w:r>
              <w:rPr>
                <w:b/>
                <w:bCs/>
                <w:color w:val="16A34A"/>
              </w:rPr>
              <w:t xml:space="preserve">71%</w:t>
            </w:r>
          </w:p>
        </w:tc>
      </w:tr>
    </w:tbl>
    <w:p>
      <w:pPr>
        <w:spacing w:after="200" w:before="100"/>
        <w:jc w:val="center"/>
      </w:pPr>
      <w:r>
        <w:rPr>
          <w:i/>
          <w:iCs/>
          <w:sz w:val="20"/>
          <w:szCs w:val="20"/>
        </w:rPr>
        <w:t xml:space="preserve">Table 2: Average memory access latency comparison</w:t>
      </w:r>
    </w:p>
    <w:p>
      <w:pPr>
        <w:pStyle w:val="Heading2"/>
      </w:pPr>
      <w:r>
        <w:t xml:space="preserve">4.3 Bandwidth Efficiency</w:t>
      </w:r>
    </w:p>
    <w:p>
      <w:pPr>
        <w:spacing w:after="200"/>
      </w:pPr>
      <w:r>
        <w:t xml:space="preserve">Beyond latency improvements, the CMC architecture demonstrated superior bandwidth efficiency. Under MESI, cache coherence traffic consumed 23% of total memory bandwidth across the simulated workloads. The CMC architecture reduced this to 7%—a 70% reduction in coherence-related traffic. The remaining traffic represents the periodic merge operations that maintain eventual consistency. Importantly, these merge operations can be scheduled during idle cycles, avoiding interference with memory-intensive computations.</w:t>
      </w:r>
    </w:p>
    <w:p>
      <w:pPr>
        <w:pStyle w:val="Heading2"/>
      </w:pPr>
      <w:r>
        <w:t xml:space="preserve">4.4 Scalability Analysis</w:t>
      </w:r>
    </w:p>
    <w:p>
      <w:pPr>
        <w:spacing w:after="200"/>
      </w:pPr>
      <w:r>
        <w:t xml:space="preserve">To evaluate scalability, we simulated systems with 4, 8, 16, 32, and 64 cores. Under MESI, average latency increased sublinearly with core count due to increased contention for shared cache lines. At 64 cores, MESI latency reached 478 cycles for the GPT-2 workload. The CMC architecture showed near-constant latency regardless of core count, with 64-core latency at 94 cycles—only 6% higher than the 16-core configuration. This near-linear scaling confirms the theoretical prediction that CRDT-based approaches avoid the coordination overhead that limits traditional cache coherence protocols.</w:t>
      </w:r>
    </w:p>
    <w:p>
      <w:pPr>
        <w:pStyle w:val="Heading1"/>
      </w:pPr>
      <w:r>
        <w:t xml:space="preserve">5. Discussion and Implications</w:t>
      </w:r>
    </w:p>
    <w:p>
      <w:pPr>
        <w:pStyle w:val="Heading2"/>
      </w:pPr>
      <w:r>
        <w:t xml:space="preserve">5.1 Implications for Inference Chip Design</w:t>
      </w:r>
    </w:p>
    <w:p>
      <w:pPr>
        <w:spacing w:after="200"/>
      </w:pPr>
      <w:r>
        <w:t xml:space="preserve">The simulation results suggest that CRDT-based memory channels could significantly improve inference chip performance. The 70%+ latency reduction directly translates to faster inference times, potentially enabling real-time operation for models that currently require batch processing. The bandwidth efficiency improvements allow more of the memory subsystem to be dedicated to actual computation rather than coordination overhead. The near-linear scaling suggests that CRDT-based approaches could enable much larger core counts without the performance degradation that limits current many-core designs.</w:t>
      </w:r>
    </w:p>
    <w:p>
      <w:pPr>
        <w:spacing w:after="200"/>
      </w:pPr>
      <w:r>
        <w:t xml:space="preserve">For mask-locked inference chips, where predictability is paramount, the CRDT approach offers an additional advantage: deterministic timing. Traditional cache coherence introduces timing variability depending on sharing patterns. With CRDTs, merge operations have fixed latency, and cores can operate on local replicas with predictable access times. This determinism simplifies the design of real-time inference pipelines and enables tighter bounds on inference latency.</w:t>
      </w:r>
    </w:p>
    <w:p>
      <w:pPr>
        <w:pStyle w:val="Heading2"/>
      </w:pPr>
      <w:r>
        <w:t xml:space="preserve">5.2 Broader Applications</w:t>
      </w:r>
    </w:p>
    <w:p>
      <w:pPr>
        <w:spacing w:after="200"/>
      </w:pPr>
      <w:r>
        <w:t xml:space="preserve">Beyond inference chips, the CRDT approach has implications for neuromorphic computing and tensor processing units. In neuromorphic systems, synapses can be modeled as CRDT registers that accumulate inputs asynchronously, mimicking biological neural networks more closely than lock-based approaches. For TPUs, matrix operations can proceed in parallel across processing elements, with partial results merged using TA-CRDT semantics, avoiding the need for centralized reduction hardware.</w:t>
      </w:r>
    </w:p>
    <w:p>
      <w:pPr>
        <w:spacing w:after="200"/>
      </w:pPr>
      <w:r>
        <w:t xml:space="preserve">The approach also has implications for chip-level interconnect design. Traditional interconnects must handle cache coherence traffic with strict ordering requirements. CRDT-based systems relax these requirements—merge operations can be delivered out-of-order without affecting correctness, potentially enabling simpler, more efficient interconnect designs with higher throughput and lower power consumption.</w:t>
      </w:r>
    </w:p>
    <w:p>
      <w:pPr>
        <w:pStyle w:val="Heading2"/>
      </w:pPr>
      <w:r>
        <w:t xml:space="preserve">5.3 Limitations and Future Work</w:t>
      </w:r>
    </w:p>
    <w:p>
      <w:pPr>
        <w:spacing w:after="200"/>
      </w:pPr>
      <w:r>
        <w:t xml:space="preserve">The primary limitation of the CRDT approach is that it provides eventual consistency rather than strong consistency. For workloads that require immediate visibility of writes across all cores, traditional cache coherence remains necessary. However, our analysis of AI inference workloads suggests that such requirements are rare—most operations either write to private data or to shared accumulators where eventual consistency is sufficient.</w:t>
      </w:r>
    </w:p>
    <w:p>
      <w:pPr>
        <w:spacing w:after="200"/>
      </w:pPr>
      <w:r>
        <w:t xml:space="preserve">Future work includes extending the simulation to include power modeling, exploring hybrid approaches that combine CRDT-based channels for specific data structures with traditional coherence for general-purpose memory, and prototyping the architecture in RTL for synthesis to obtain area and timing estimates. We also plan to explore the application of operation-based CRDTs, which may offer lower memory overhead than the state-based approach used in this initial work.</w:t>
      </w:r>
    </w:p>
    <w:p>
      <w:pPr>
        <w:pStyle w:val="Heading1"/>
      </w:pPr>
      <w:r>
        <w:t xml:space="preserve">6. Conclusion</w:t>
      </w:r>
    </w:p>
    <w:p>
      <w:pPr>
        <w:spacing w:after="200"/>
      </w:pPr>
      <w:r>
        <w:t xml:space="preserve">This paper has demonstrated the feasibility and benefits of applying Conflict-free Replicated Data Types to intra-chip communication. The proposed CRDT Memory Channel architecture offers significant advantages for AI inference workloads: 70%+ latency reduction, 70% reduction in coherence traffic, and near-linear scaling to 64+ cores. These results suggest that CRDT-based approaches could fundamentally change how we design multi-core inference chips, moving from coordination-heavy cache coherence to coordination-free replicated state management.</w:t>
      </w:r>
    </w:p>
    <w:p>
      <w:pPr>
        <w:spacing w:after="200"/>
      </w:pPr>
      <w:r>
        <w:t xml:space="preserve">The mathematical guarantees of CRDTs provide a foundation for building correct-by-construction memory systems, where the properties of eventual consistency are derived from the underlying data type semantics rather than complex protocol state machines. As AI inference workloads continue to grow in complexity and scale, such principled approaches to hardware design will become increasingly valuable.</w:t>
      </w:r>
    </w:p>
    <w:p>
      <w:pPr>
        <w:spacing w:after="200"/>
      </w:pPr>
      <w:r>
        <w:t xml:space="preserve">We believe this work opens a new research direction at the intersection of distributed systems theory and computer architecture, with the potential to influence the design of next-generation inference chips, neuromorphic processors, and tensor processing units.</w:t>
      </w:r>
    </w:p>
    <w:p>
      <w:pPr>
        <w:pStyle w:val="Heading1"/>
      </w:pPr>
      <w:r>
        <w:t xml:space="preserve">References</w:t>
      </w:r>
    </w:p>
    <w:p>
      <w:pPr>
        <w:pStyle w:val="ListParagraph"/>
        <w:numPr>
          <w:ilvl w:val="0"/>
          <w:numId w:val="2"/>
        </w:numPr>
        <w:spacing w:after="100"/>
      </w:pPr>
      <w:r>
        <w:t xml:space="preserve">Shapiro, M., Preguiça, N., Baquero, C., &amp; Zawirski, M. (2011). A comprehensive study of Convergent and Commutative Replicated Data Types. INRIA Technical Report.</w:t>
      </w:r>
    </w:p>
    <w:p>
      <w:pPr>
        <w:pStyle w:val="ListParagraph"/>
        <w:numPr>
          <w:ilvl w:val="0"/>
          <w:numId w:val="2"/>
        </w:numPr>
        <w:spacing w:after="100"/>
      </w:pPr>
      <w:r>
        <w:t xml:space="preserve">Sorin, D. J., Hill, M. D., &amp; Wood, D. A. (2011). A Primer on Memory Consistency and Cache Coherence. Morgan &amp; Claypool Publishers.</w:t>
      </w:r>
    </w:p>
    <w:p>
      <w:pPr>
        <w:pStyle w:val="ListParagraph"/>
        <w:numPr>
          <w:ilvl w:val="0"/>
          <w:numId w:val="2"/>
        </w:numPr>
        <w:spacing w:after="100"/>
      </w:pPr>
      <w:r>
        <w:t xml:space="preserve">Jouppi, N. P., et al. (2017). In-Datacenter Performance Analysis of a Tensor Processing Unit. ISCA 2017.</w:t>
      </w:r>
    </w:p>
    <w:p>
      <w:pPr>
        <w:pStyle w:val="ListParagraph"/>
        <w:numPr>
          <w:ilvl w:val="0"/>
          <w:numId w:val="2"/>
        </w:numPr>
        <w:spacing w:after="100"/>
      </w:pPr>
      <w:r>
        <w:t xml:space="preserve">Kleppmann, M. (2017). Designing Data-Intensive Applications. O'Reilly Media.</w:t>
      </w:r>
    </w:p>
    <w:p>
      <w:pPr>
        <w:pStyle w:val="ListParagraph"/>
        <w:numPr>
          <w:ilvl w:val="0"/>
          <w:numId w:val="2"/>
        </w:numPr>
        <w:spacing w:after="100"/>
      </w:pPr>
      <w:r>
        <w:t xml:space="preserve">Hennessy, J. L., &amp; Patterson, D. A. (2019). Computer Architecture: A Quantitative Approach (6th ed.). Morgan Kaufmann.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rPr>
      <w:t xml:space="preserve">CRDT-Based Intra-Chip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2026-03-12T18:42:04.009Z</dcterms:created>
  <dcterms:modified xsi:type="dcterms:W3CDTF">2026-03-12T18:42:04.009Z</dcterms:modified>
</cp:coreProperties>
</file>

<file path=docProps/custom.xml><?xml version="1.0" encoding="utf-8"?>
<Properties xmlns="http://schemas.openxmlformats.org/officeDocument/2006/custom-properties" xmlns:vt="http://schemas.openxmlformats.org/officeDocument/2006/docPropsVTypes"/>
</file>