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b/>
          <w:bCs/>
          <w:color w:val="020617"/>
          <w:sz w:val="72"/>
          <w:szCs w:val="72"/>
        </w:rPr>
        <w:t xml:space="preserve">TERNARYAIR</w:t>
      </w:r>
    </w:p>
    <w:p>
      <w:pPr>
        <w:spacing w:after="200"/>
        <w:jc w:val="center"/>
      </w:pPr>
      <w:r>
        <w:rPr>
          <w:rFonts w:ascii="Times New Roman" w:cs="Times New Roman" w:eastAsia="Times New Roman" w:hAnsi="Times New Roman"/>
          <w:color w:val="64748B"/>
          <w:sz w:val="36"/>
          <w:szCs w:val="36"/>
        </w:rPr>
        <w:t xml:space="preserve">Technical Architecture Reference</w:t>
      </w:r>
    </w:p>
    <w:p>
      <w:pPr>
        <w:spacing w:after="600"/>
        <w:jc w:val="center"/>
      </w:pPr>
      <w:r>
        <w:rPr>
          <w:rFonts w:ascii="Times New Roman" w:cs="Times New Roman" w:eastAsia="Times New Roman" w:hAnsi="Times New Roman"/>
          <w:color w:val="1E293B"/>
          <w:sz w:val="24"/>
          <w:szCs w:val="24"/>
        </w:rPr>
        <w:t xml:space="preserve">Complete RTL Implementation Guide</w:t>
      </w:r>
    </w:p>
    <w:p>
      <w:pPr>
        <w:spacing w:before="2000"/>
      </w:pPr>
    </w:p>
    <w:p>
      <w:pPr>
        <w:spacing w:after="200"/>
        <w:jc w:val="center"/>
      </w:pPr>
      <w:r>
        <w:rPr>
          <w:rFonts w:ascii="Times New Roman" w:cs="Times New Roman" w:eastAsia="Times New Roman" w:hAnsi="Times New Roman"/>
          <w:color w:val="94A3B8"/>
          <w:sz w:val="22"/>
          <w:szCs w:val="22"/>
        </w:rPr>
        <w:t xml:space="preserve">Version 1.0 | MIT License</w:t>
      </w:r>
    </w:p>
    <w:p>
      <w:pPr>
        <w:jc w:val="center"/>
      </w:pPr>
      <w:r>
        <w:rPr>
          <w:rFonts w:ascii="Times New Roman" w:cs="Times New Roman" w:eastAsia="Times New Roman" w:hAnsi="Times New Roman"/>
          <w:color w:val="94A3B8"/>
          <w:sz w:val="20"/>
          <w:szCs w:val="20"/>
        </w:rPr>
        <w:t xml:space="preserve">github.com/superinstance/ternaryair</w:t>
      </w:r>
    </w:p>
    <w:p>
      <w:pPr>
        <w:sectPr>
          <w:pgSz w:w="11906" w:h="16838" w:orient="portrait"/>
          <w:pgMar w:top="0" w:right="0" w:bottom="0" w:left="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pPr>
        <w:spacing w:after="400" w:before="200"/>
        <w:jc w:val="center"/>
      </w:pPr>
      <w:r>
        <w:rPr>
          <w:rFonts w:ascii="Times New Roman" w:cs="Times New Roman" w:eastAsia="Times New Roman" w:hAnsi="Times New Roman"/>
          <w:i/>
          <w:iCs/>
          <w:color w:val="94A3B8"/>
          <w:sz w:val="18"/>
          <w:szCs w:val="18"/>
        </w:rPr>
        <w:t xml:space="preserve">Right-click and select 'Update Field' to refresh page numbers</w:t>
      </w:r>
    </w:p>
    <w:p>
      <w:r>
        <w:br w:type="page"/>
      </w:r>
    </w:p>
    <w:p>
      <w:pPr>
        <w:pStyle w:val="Heading1"/>
      </w:pPr>
      <w:r>
        <w:t xml:space="preserve">1. Architecture Overview</w:t>
      </w:r>
    </w:p>
    <w:p>
      <w:pPr>
        <w:spacing w:after="200"/>
      </w:pPr>
      <w:r>
        <w:rPr>
          <w:rFonts w:ascii="Times New Roman" w:cs="Times New Roman" w:eastAsia="Times New Roman" w:hAnsi="Times New Roman"/>
          <w:color w:val="1E293B"/>
          <w:sz w:val="22"/>
          <w:szCs w:val="22"/>
        </w:rPr>
        <w:t xml:space="preserve">The TernaryAir architecture implements mask-locked neural network inference through a novel Rotation-Accumulate Unit (RAU) that replaces traditional multiply-accumulate (MAC) operations. By encoding ternary weights {-1, 0, +1} directly into metal routing layers, the architecture achieves 90% gate reduction compared to conventional approaches while maintaining inference accuracy through proven quantization techniques.</w:t>
      </w:r>
    </w:p>
    <w:p>
      <w:pPr>
        <w:pStyle w:val="Heading2"/>
      </w:pPr>
      <w:r>
        <w:t xml:space="preserve">1.1 Core Principles</w:t>
      </w:r>
    </w:p>
    <w:p>
      <w:pPr>
        <w:spacing w:after="100"/>
      </w:pPr>
      <w:r>
        <w:rPr>
          <w:rFonts w:ascii="Times New Roman" w:cs="Times New Roman" w:eastAsia="Times New Roman" w:hAnsi="Times New Roman"/>
          <w:color w:val="1E293B"/>
          <w:sz w:val="22"/>
          <w:szCs w:val="22"/>
        </w:rPr>
        <w:t xml:space="preserve">The architecture is built on three fundamental principles that differentiate it from conventional neural network accelerators:</w:t>
      </w:r>
    </w:p>
    <w:p>
      <w:pPr>
        <w:pStyle w:val="ListParagraph"/>
        <w:numPr>
          <w:ilvl w:val="0"/>
          <w:numId w:val="2"/>
        </w:numPr>
        <w:spacing w:after="100"/>
      </w:pPr>
      <w:r>
        <w:rPr>
          <w:rFonts w:ascii="Times New Roman" w:cs="Times New Roman" w:eastAsia="Times New Roman" w:hAnsi="Times New Roman"/>
          <w:sz w:val="22"/>
          <w:szCs w:val="22"/>
        </w:rPr>
        <w:t xml:space="preserve">Weight Immutability: Neural network weights are permanently encoded in silicon during manufacturing, eliminating memory bandwidth bottlenecks entirely.</w:t>
      </w:r>
    </w:p>
    <w:p>
      <w:pPr>
        <w:pStyle w:val="ListParagraph"/>
        <w:numPr>
          <w:ilvl w:val="0"/>
          <w:numId w:val="2"/>
        </w:numPr>
        <w:spacing w:after="100"/>
      </w:pPr>
      <w:r>
        <w:rPr>
          <w:rFonts w:ascii="Times New Roman" w:cs="Times New Roman" w:eastAsia="Times New Roman" w:hAnsi="Times New Roman"/>
          <w:sz w:val="22"/>
          <w:szCs w:val="22"/>
        </w:rPr>
        <w:t xml:space="preserve">Multiplication-Free Compute: The Rotation-Accumulate Unit performs weight operations through data multiplexing rather than multiplication, reducing circuit complexity by an order of magnitude.</w:t>
      </w:r>
    </w:p>
    <w:p>
      <w:pPr>
        <w:pStyle w:val="ListParagraph"/>
        <w:numPr>
          <w:ilvl w:val="0"/>
          <w:numId w:val="2"/>
        </w:numPr>
        <w:spacing w:after="200"/>
      </w:pPr>
      <w:r>
        <w:rPr>
          <w:rFonts w:ascii="Times New Roman" w:cs="Times New Roman" w:eastAsia="Times New Roman" w:hAnsi="Times New Roman"/>
          <w:sz w:val="22"/>
          <w:szCs w:val="22"/>
        </w:rPr>
        <w:t xml:space="preserve">Sparse Activation: Ternary encoding enables natural sparsity through the zero state, allowing the hardware to skip computations entirely for inactive pathways.</w:t>
      </w:r>
    </w:p>
    <w:p>
      <w:pPr>
        <w:pStyle w:val="Heading2"/>
      </w:pPr>
      <w:r>
        <w:t xml:space="preserve">1.2 System Block Diagram</w:t>
      </w:r>
    </w:p>
    <w:p>
      <w:pPr>
        <w:spacing w:after="200"/>
      </w:pPr>
      <w:r>
        <w:rPr>
          <w:rFonts w:ascii="Times New Roman" w:cs="Times New Roman" w:eastAsia="Times New Roman" w:hAnsi="Times New Roman"/>
          <w:color w:val="1E293B"/>
          <w:sz w:val="22"/>
          <w:szCs w:val="22"/>
        </w:rPr>
        <w:t xml:space="preserve">The system consists of five primary modules connected through a unified bus architecture. The Synaptic Array contains multiple RAU instances operating in parallel, each processing a portion of the inference computation. The Weight ROM stores activation biases and scaling factors that cannot be directly encoded in metal. The KV Cache provides temporary storage for transformer attention operations. The Controller sequences operations and manages data flow. The I/O Interface handles communication with external systems.</w:t>
      </w:r>
    </w:p>
    <w:p>
      <w:r>
        <w:br w:type="page"/>
      </w:r>
    </w:p>
    <w:p>
      <w:pPr>
        <w:pStyle w:val="Heading1"/>
      </w:pPr>
      <w:r>
        <w:t xml:space="preserve">2. Rotation-Accumulate Unit (RAU)</w:t>
      </w:r>
    </w:p>
    <w:p>
      <w:pPr>
        <w:spacing w:after="200"/>
      </w:pPr>
      <w:r>
        <w:rPr>
          <w:rFonts w:ascii="Times New Roman" w:cs="Times New Roman" w:eastAsia="Times New Roman" w:hAnsi="Times New Roman"/>
          <w:color w:val="1E293B"/>
          <w:sz w:val="22"/>
          <w:szCs w:val="22"/>
        </w:rPr>
        <w:t xml:space="preserve">The RAU is the computational heart of the TernaryAir architecture. It replaces the traditional multiply-accumulate operation with a rotation-accumulate operation that exploits the mathematical properties of ternary weight encoding. For weights in the set {-1, 0, +1}, multiplication reduces to simple operations: multiply by -1 (negate), multiply by 0 (return zero), multiply by +1 (identity). These operations can be implemented with multiplexers rather than multiplication circuits.</w:t>
      </w:r>
    </w:p>
    <w:p>
      <w:pPr>
        <w:pStyle w:val="Heading2"/>
      </w:pPr>
      <w:r>
        <w:t xml:space="preserve">2.1 Mathematical Foundation</w:t>
      </w:r>
    </w:p>
    <w:p>
      <w:pPr>
        <w:spacing w:after="200"/>
      </w:pPr>
      <w:r>
        <w:rPr>
          <w:rFonts w:ascii="Times New Roman" w:cs="Times New Roman" w:eastAsia="Times New Roman" w:hAnsi="Times New Roman"/>
          <w:color w:val="1E293B"/>
          <w:sz w:val="22"/>
          <w:szCs w:val="22"/>
        </w:rPr>
        <w:t xml:space="preserve">For a ternary weight w ∈ {-1, 0, +1} and an input activation x, the product w·x can be computed as follows:</w:t>
      </w:r>
    </w:p>
    <w:p>
      <w:pPr>
        <w:pStyle w:val="CodeBlock"/>
        <w:spacing w:after="200"/>
      </w:pPr>
      <w:r>
        <w:rPr>
          <w:rFonts w:ascii="Courier New" w:cs="Courier New" w:eastAsia="Courier New" w:hAnsi="Courier New"/>
          <w:sz w:val="20"/>
          <w:szCs w:val="20"/>
        </w:rPr>
        <w:t xml:space="preserve">  if w = +1:  result = x      (identity)
  if w =  0:  result = 0      (zero)
  if w = -1:  result = -x     (negation)</w:t>
      </w:r>
    </w:p>
    <w:p>
      <w:pPr>
        <w:spacing w:after="200"/>
      </w:pPr>
      <w:r>
        <w:rPr>
          <w:rFonts w:ascii="Times New Roman" w:cs="Times New Roman" w:eastAsia="Times New Roman" w:hAnsi="Times New Roman"/>
          <w:color w:val="1E293B"/>
          <w:sz w:val="22"/>
          <w:szCs w:val="22"/>
        </w:rPr>
        <w:t xml:space="preserve">These three cases can be implemented with a single 3:1 multiplexer and a negation circuit. The accumulator simply sums the results across multiple weight-activation pairs. The total gate count for one RAU is approximately 15-20 gates, compared to 150+ gates for a traditional MAC unit supporting INT8 multiplication.</w:t>
      </w:r>
    </w:p>
    <w:p>
      <w:pPr>
        <w:pStyle w:val="Heading2"/>
      </w:pPr>
      <w:r>
        <w:t xml:space="preserve">2.2 Hardware Implementation</w:t>
      </w:r>
    </w:p>
    <w:p>
      <w:pPr>
        <w:spacing w:after="200"/>
      </w:pPr>
      <w:r>
        <w:rPr>
          <w:rFonts w:ascii="Times New Roman" w:cs="Times New Roman" w:eastAsia="Times New Roman" w:hAnsi="Times New Roman"/>
          <w:color w:val="1E293B"/>
          <w:sz w:val="22"/>
          <w:szCs w:val="22"/>
        </w:rPr>
        <w:t xml:space="preserve">The RAU module accepts an input activation value and a weight encoding signal, producing an output that is fed to an accumulator. The weight encoding is typically 2 bits (00=zero, 01=positive, 10=negative, 11=reserved). The input activation is typically INT8 or INT16, depending on the precision requirements of the specific layer. The accumulator must be wide enough to prevent overflow across the reduction dimension.</w:t>
      </w:r>
    </w:p>
    <w:p>
      <w:pPr>
        <w:pStyle w:val="Heading3"/>
      </w:pPr>
      <w:r>
        <w:t xml:space="preserve">2.2.1 RAU Interface Signals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1800"/>
        <w:gridCol w:w="5060"/>
      </w:tblGrid>
      <w:tr>
        <w:trPr>
          <w:tblHeader/>
        </w:trPr>
        <w:tc>
          <w:tcPr>
            <w:tcW w:type="dxa" w:w="2500"/>
            <w:tcBorders>
              <w:top w:val="single" w:color="020617" w:sz="8"/>
              <w:left w:val="single" w:color="020617" w:sz="8"/>
              <w:bottom w:val="single" w:color="020617" w:sz="8"/>
              <w:right w:val="single" w:color="020617" w:sz="8"/>
            </w:tcBorders>
            <w:shd w:fill="E2E8F0" w:val="clear"/>
          </w:tcPr>
          <w:p>
            <w:pPr>
              <w:jc w:val="center"/>
            </w:pPr>
            <w:r>
              <w:rPr>
                <w:rFonts w:ascii="Times New Roman" w:cs="Times New Roman" w:eastAsia="Times New Roman" w:hAnsi="Times New Roman"/>
                <w:b/>
                <w:bCs/>
                <w:sz w:val="22"/>
                <w:szCs w:val="22"/>
              </w:rPr>
              <w:t xml:space="preserve">Signal</w:t>
            </w:r>
          </w:p>
        </w:tc>
        <w:tc>
          <w:tcPr>
            <w:tcW w:type="dxa" w:w="1800"/>
            <w:tcBorders>
              <w:top w:val="single" w:color="020617" w:sz="8"/>
              <w:left w:val="single" w:color="020617" w:sz="8"/>
              <w:bottom w:val="single" w:color="020617" w:sz="8"/>
              <w:right w:val="single" w:color="020617" w:sz="8"/>
            </w:tcBorders>
            <w:shd w:fill="E2E8F0" w:val="clear"/>
          </w:tcPr>
          <w:p>
            <w:pPr>
              <w:jc w:val="center"/>
            </w:pPr>
            <w:r>
              <w:rPr>
                <w:rFonts w:ascii="Times New Roman" w:cs="Times New Roman" w:eastAsia="Times New Roman" w:hAnsi="Times New Roman"/>
                <w:b/>
                <w:bCs/>
                <w:sz w:val="22"/>
                <w:szCs w:val="22"/>
              </w:rPr>
              <w:t xml:space="preserve">Width</w:t>
            </w:r>
          </w:p>
        </w:tc>
        <w:tc>
          <w:tcPr>
            <w:tcW w:type="dxa" w:w="5060"/>
            <w:tcBorders>
              <w:top w:val="single" w:color="020617" w:sz="8"/>
              <w:left w:val="single" w:color="020617" w:sz="8"/>
              <w:bottom w:val="single" w:color="020617" w:sz="8"/>
              <w:right w:val="single" w:color="020617" w:sz="8"/>
            </w:tcBorders>
            <w:shd w:fill="E2E8F0" w:val="clear"/>
          </w:tcPr>
          <w:p>
            <w:pPr>
              <w:jc w:val="center"/>
            </w:pPr>
            <w:r>
              <w:rPr>
                <w:rFonts w:ascii="Times New Roman" w:cs="Times New Roman" w:eastAsia="Times New Roman" w:hAnsi="Times New Roman"/>
                <w:b/>
                <w:bCs/>
                <w:sz w:val="22"/>
                <w:szCs w:val="22"/>
              </w:rPr>
              <w:t xml:space="preserve">Description</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clk</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1</w:t>
            </w:r>
          </w:p>
        </w:tc>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Clock signal</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rst_n</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1</w:t>
            </w:r>
          </w:p>
        </w:tc>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Active-low reset</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activation</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8/16</w:t>
            </w:r>
          </w:p>
        </w:tc>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Input activation value (signed)</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weight</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2</w:t>
            </w:r>
          </w:p>
        </w:tc>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Ternary weight encoding</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result</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8/16</w:t>
            </w:r>
          </w:p>
        </w:tc>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Rotated activation output</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valid</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1</w:t>
            </w:r>
          </w:p>
        </w:tc>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Output valid indicator</w:t>
            </w:r>
          </w:p>
        </w:tc>
      </w:tr>
    </w:tbl>
    <w:p>
      <w:r>
        <w:br w:type="page"/>
      </w:r>
    </w:p>
    <w:p>
      <w:pPr>
        <w:pStyle w:val="Heading1"/>
      </w:pPr>
      <w:r>
        <w:t xml:space="preserve">3. Synaptic Array</w:t>
      </w:r>
    </w:p>
    <w:p>
      <w:pPr>
        <w:spacing w:after="200"/>
      </w:pPr>
      <w:r>
        <w:rPr>
          <w:rFonts w:ascii="Times New Roman" w:cs="Times New Roman" w:eastAsia="Times New Roman" w:hAnsi="Times New Roman"/>
          <w:color w:val="1E293B"/>
          <w:sz w:val="22"/>
          <w:szCs w:val="22"/>
        </w:rPr>
        <w:t xml:space="preserve">The Synaptic Array organizes multiple RAU instances into a systolic structure for parallel computation. Each RAU processes one weight-activation pair per cycle, and the array processes multiple pairs simultaneously. The array dimension is determined by the target model's weight matrix sizes and the desired throughput.</w:t>
      </w:r>
    </w:p>
    <w:p>
      <w:pPr>
        <w:pStyle w:val="Heading2"/>
      </w:pPr>
      <w:r>
        <w:t xml:space="preserve">3.1 Array Configuration</w:t>
      </w:r>
    </w:p>
    <w:p>
      <w:pPr>
        <w:spacing w:after="200"/>
      </w:pPr>
      <w:r>
        <w:rPr>
          <w:rFonts w:ascii="Times New Roman" w:cs="Times New Roman" w:eastAsia="Times New Roman" w:hAnsi="Times New Roman"/>
          <w:color w:val="1E293B"/>
          <w:sz w:val="22"/>
          <w:szCs w:val="22"/>
        </w:rPr>
        <w:t xml:space="preserve">For a 2B parameter model with typical transformer dimensions (hidden size 2048, intermediate size 8192), the synaptic array must handle weight matrices up to 2048×8192. With INT8 activations and ternary weights, each RAU requires approximately 100μm² in 28nm technology. A 256×256 RAU array occupies roughly 6.5mm², leaving room for control logic, SRAM, and I/O on a cost-effective die.</w:t>
      </w:r>
    </w:p>
    <w:p>
      <w:pPr>
        <w:pStyle w:val="Heading2"/>
      </w:pPr>
      <w:r>
        <w:t xml:space="preserve">3.2 Dataflow</w:t>
      </w:r>
    </w:p>
    <w:p>
      <w:pPr>
        <w:spacing w:after="200"/>
      </w:pPr>
      <w:r>
        <w:rPr>
          <w:rFonts w:ascii="Times New Roman" w:cs="Times New Roman" w:eastAsia="Times New Roman" w:hAnsi="Times New Roman"/>
          <w:color w:val="1E293B"/>
          <w:sz w:val="22"/>
          <w:szCs w:val="22"/>
        </w:rPr>
        <w:t xml:space="preserve">The array uses a weight-stationary dataflow: weights remain fixed in each RAU while activations flow through the array. This matches the mask-locked paradigm where weights are permanently encoded. Activations are fed from SRAM buffers at the array edges and results are collected at the opposite edges. The systolic pattern maximizes data reuse and minimizes memory access frequency.</w:t>
      </w:r>
    </w:p>
    <w:p>
      <w:r>
        <w:br w:type="page"/>
      </w:r>
    </w:p>
    <w:p>
      <w:pPr>
        <w:pStyle w:val="Heading1"/>
      </w:pPr>
      <w:r>
        <w:t xml:space="preserve">4. Weight Storage Architecture</w:t>
      </w:r>
    </w:p>
    <w:p>
      <w:pPr>
        <w:spacing w:after="200"/>
      </w:pPr>
      <w:r>
        <w:rPr>
          <w:rFonts w:ascii="Times New Roman" w:cs="Times New Roman" w:eastAsia="Times New Roman" w:hAnsi="Times New Roman"/>
          <w:color w:val="1E293B"/>
          <w:sz w:val="22"/>
          <w:szCs w:val="22"/>
        </w:rPr>
        <w:t xml:space="preserve">While the ternary weights {-1, 0, +1} are mask-locked into metal routing, additional parameters require storage. These include: activation scaling factors per layer, bias values, attention scaling factors, and layer normalization parameters. These values are typically FP16 or FP32 and are stored in on-chip ROM or loaded from external flash.</w:t>
      </w:r>
    </w:p>
    <w:p>
      <w:pPr>
        <w:pStyle w:val="Heading2"/>
      </w:pPr>
      <w:r>
        <w:t xml:space="preserve">4.1 Storage Requirements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500"/>
        <w:gridCol w:w="3360"/>
      </w:tblGrid>
      <w:tr>
        <w:trPr>
          <w:tblHeader/>
        </w:trPr>
        <w:tc>
          <w:tcPr>
            <w:tcBorders>
              <w:top w:val="single" w:color="020617" w:sz="8"/>
              <w:left w:val="single" w:color="020617" w:sz="8"/>
              <w:bottom w:val="single" w:color="020617" w:sz="8"/>
              <w:right w:val="single" w:color="020617" w:sz="8"/>
            </w:tcBorders>
            <w:shd w:fill="E2E8F0" w:val="clear"/>
          </w:tcPr>
          <w:p>
            <w:pPr>
              <w:jc w:val="center"/>
            </w:pPr>
            <w:r>
              <w:rPr>
                <w:rFonts w:ascii="Times New Roman" w:cs="Times New Roman" w:eastAsia="Times New Roman" w:hAnsi="Times New Roman"/>
                <w:b/>
                <w:bCs/>
                <w:sz w:val="22"/>
                <w:szCs w:val="22"/>
              </w:rPr>
              <w:t xml:space="preserve">Parameter Type</w:t>
            </w:r>
          </w:p>
        </w:tc>
        <w:tc>
          <w:tcPr>
            <w:tcBorders>
              <w:top w:val="single" w:color="020617" w:sz="8"/>
              <w:left w:val="single" w:color="020617" w:sz="8"/>
              <w:bottom w:val="single" w:color="020617" w:sz="8"/>
              <w:right w:val="single" w:color="020617" w:sz="8"/>
            </w:tcBorders>
            <w:shd w:fill="E2E8F0" w:val="clear"/>
          </w:tcPr>
          <w:p>
            <w:pPr>
              <w:jc w:val="center"/>
            </w:pPr>
            <w:r>
              <w:rPr>
                <w:rFonts w:ascii="Times New Roman" w:cs="Times New Roman" w:eastAsia="Times New Roman" w:hAnsi="Times New Roman"/>
                <w:b/>
                <w:bCs/>
                <w:sz w:val="22"/>
                <w:szCs w:val="22"/>
              </w:rPr>
              <w:t xml:space="preserve">Count (2B model)</w:t>
            </w:r>
          </w:p>
        </w:tc>
        <w:tc>
          <w:tcPr>
            <w:tcBorders>
              <w:top w:val="single" w:color="020617" w:sz="8"/>
              <w:left w:val="single" w:color="020617" w:sz="8"/>
              <w:bottom w:val="single" w:color="020617" w:sz="8"/>
              <w:right w:val="single" w:color="020617" w:sz="8"/>
            </w:tcBorders>
            <w:shd w:fill="E2E8F0" w:val="clear"/>
          </w:tcPr>
          <w:p>
            <w:pPr>
              <w:jc w:val="center"/>
            </w:pPr>
            <w:r>
              <w:rPr>
                <w:rFonts w:ascii="Times New Roman" w:cs="Times New Roman" w:eastAsia="Times New Roman" w:hAnsi="Times New Roman"/>
                <w:b/>
                <w:bCs/>
                <w:sz w:val="22"/>
                <w:szCs w:val="22"/>
              </w:rPr>
              <w:t xml:space="preserve">Storage (FP16)</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Layer scales</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~25 layers</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~50 bytes</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Bias vectors</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~100K values</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~200 KB</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LayerNorm params</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~50K values</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~100 KB</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Total</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&lt;500 KB</w:t>
            </w:r>
          </w:p>
        </w:tc>
      </w:tr>
    </w:tbl>
    <w:p>
      <w:r>
        <w:br w:type="page"/>
      </w:r>
    </w:p>
    <w:p>
      <w:pPr>
        <w:pStyle w:val="Heading1"/>
      </w:pPr>
      <w:r>
        <w:t xml:space="preserve">5. KV Cache Architecture</w:t>
      </w:r>
    </w:p>
    <w:p>
      <w:pPr>
        <w:spacing w:after="200"/>
      </w:pPr>
      <w:r>
        <w:rPr>
          <w:rFonts w:ascii="Times New Roman" w:cs="Times New Roman" w:eastAsia="Times New Roman" w:hAnsi="Times New Roman"/>
          <w:color w:val="1E293B"/>
          <w:sz w:val="22"/>
          <w:szCs w:val="22"/>
        </w:rPr>
        <w:t xml:space="preserve">The KV Cache stores key and value vectors for transformer attention operations during autoregressive generation. Unlike the weights, which are mask-locked, the KV cache is dynamic and must be stored in SRAM. The cache size determines the maximum context length the chip can support.</w:t>
      </w:r>
    </w:p>
    <w:p>
      <w:pPr>
        <w:pStyle w:val="Heading2"/>
      </w:pPr>
      <w:r>
        <w:t xml:space="preserve">5.1 Sizing Calculation</w:t>
      </w:r>
    </w:p>
    <w:p>
      <w:pPr>
        <w:spacing w:after="200"/>
      </w:pPr>
      <w:r>
        <w:rPr>
          <w:rFonts w:ascii="Times New Roman" w:cs="Times New Roman" w:eastAsia="Times New Roman" w:hAnsi="Times New Roman"/>
          <w:color w:val="1E293B"/>
          <w:sz w:val="22"/>
          <w:szCs w:val="22"/>
        </w:rPr>
        <w:t xml:space="preserve">For a transformer with H attention heads, D model dimension, L layers, and context length C:</w:t>
      </w:r>
    </w:p>
    <w:p>
      <w:pPr>
        <w:pStyle w:val="CodeBlock"/>
        <w:spacing w:after="200"/>
      </w:pPr>
      <w:r>
        <w:rPr>
          <w:rFonts w:ascii="Courier New" w:cs="Courier New" w:eastAsia="Courier New" w:hAnsi="Courier New"/>
          <w:sz w:val="20"/>
          <w:szCs w:val="20"/>
        </w:rPr>
        <w:t xml:space="preserve">  KV Cache Size = 2 × L × C × H × (D/H) × bytes_per_value
                  = 2 × L × C × D × bytes_per_value
  Example (2B model, 4096 context, FP16):
  = 2 × 24 × 4096 × 2048 × 2 bytes
  = 768 MB</w:t>
      </w:r>
    </w:p>
    <w:p>
      <w:pPr>
        <w:spacing w:after="200"/>
      </w:pPr>
      <w:r>
        <w:rPr>
          <w:rFonts w:ascii="Times New Roman" w:cs="Times New Roman" w:eastAsia="Times New Roman" w:hAnsi="Times New Roman"/>
          <w:color w:val="1E293B"/>
          <w:sz w:val="22"/>
          <w:szCs w:val="22"/>
        </w:rPr>
        <w:t xml:space="preserve">768 MB of SRAM is economically impractical for a $99 chip. The design must either: (a) limit context length, (b) use INT4/INT8 quantization for KV cache, or (c) use external memory. Option (b) is preferred: INT4 KV cache reduces storage to 192 MB, which could be further reduced through compression techniques.</w:t>
      </w:r>
    </w:p>
    <w:p>
      <w:r>
        <w:br w:type="page"/>
      </w:r>
    </w:p>
    <w:p>
      <w:pPr>
        <w:pStyle w:val="Heading1"/>
      </w:pPr>
      <w:r>
        <w:t xml:space="preserve">6. Manufacturing Guidelines</w:t>
      </w:r>
    </w:p>
    <w:p>
      <w:pPr>
        <w:pStyle w:val="Heading2"/>
      </w:pPr>
      <w:r>
        <w:t xml:space="preserve">6.1 Process Node Selection</w:t>
      </w:r>
    </w:p>
    <w:p>
      <w:pPr>
        <w:spacing w:after="200"/>
      </w:pPr>
      <w:r>
        <w:rPr>
          <w:rFonts w:ascii="Times New Roman" w:cs="Times New Roman" w:eastAsia="Times New Roman" w:hAnsi="Times New Roman"/>
          <w:color w:val="1E293B"/>
          <w:sz w:val="22"/>
          <w:szCs w:val="22"/>
        </w:rPr>
        <w:t xml:space="preserve">28nm is the recommended process node for the first generation. This mature node offers: low mask costs ($2-3M vs $15-20M for 5nm), high availability with multiple foundries (TSMC, GlobalFoundries, Samsung), well-understood design rules and IP ecosystem, and sufficient density for 2B parameter models. The efficiency gains come from architectural innovation, not process technology.</w:t>
      </w:r>
    </w:p>
    <w:p>
      <w:pPr>
        <w:pStyle w:val="Heading2"/>
      </w:pPr>
      <w:r>
        <w:t xml:space="preserve">6.2 Estimated Costs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000"/>
        <w:gridCol w:w="2680"/>
        <w:gridCol w:w="2680"/>
      </w:tblGrid>
      <w:tr>
        <w:trPr>
          <w:tblHeader/>
        </w:trPr>
        <w:tc>
          <w:tcPr>
            <w:tcBorders>
              <w:top w:val="single" w:color="020617" w:sz="8"/>
              <w:left w:val="single" w:color="020617" w:sz="8"/>
              <w:bottom w:val="single" w:color="020617" w:sz="8"/>
              <w:right w:val="single" w:color="020617" w:sz="8"/>
            </w:tcBorders>
            <w:shd w:fill="E2E8F0" w:val="clear"/>
          </w:tcPr>
          <w:p>
            <w:pPr>
              <w:jc w:val="center"/>
            </w:pPr>
            <w:r>
              <w:rPr>
                <w:rFonts w:ascii="Times New Roman" w:cs="Times New Roman" w:eastAsia="Times New Roman" w:hAnsi="Times New Roman"/>
                <w:b/>
                <w:bCs/>
                <w:sz w:val="22"/>
                <w:szCs w:val="22"/>
              </w:rPr>
              <w:t xml:space="preserve">Cost Component</w:t>
            </w:r>
          </w:p>
        </w:tc>
        <w:tc>
          <w:tcPr>
            <w:tcBorders>
              <w:top w:val="single" w:color="020617" w:sz="8"/>
              <w:left w:val="single" w:color="020617" w:sz="8"/>
              <w:bottom w:val="single" w:color="020617" w:sz="8"/>
              <w:right w:val="single" w:color="020617" w:sz="8"/>
            </w:tcBorders>
            <w:shd w:fill="E2E8F0" w:val="clear"/>
          </w:tcPr>
          <w:p>
            <w:pPr>
              <w:jc w:val="center"/>
            </w:pPr>
            <w:r>
              <w:rPr>
                <w:rFonts w:ascii="Times New Roman" w:cs="Times New Roman" w:eastAsia="Times New Roman" w:hAnsi="Times New Roman"/>
                <w:b/>
                <w:bCs/>
                <w:sz w:val="22"/>
                <w:szCs w:val="22"/>
              </w:rPr>
              <w:t xml:space="preserve">NRE Cost</w:t>
            </w:r>
          </w:p>
        </w:tc>
        <w:tc>
          <w:tcPr>
            <w:tcBorders>
              <w:top w:val="single" w:color="020617" w:sz="8"/>
              <w:left w:val="single" w:color="020617" w:sz="8"/>
              <w:bottom w:val="single" w:color="020617" w:sz="8"/>
              <w:right w:val="single" w:color="020617" w:sz="8"/>
            </w:tcBorders>
            <w:shd w:fill="E2E8F0" w:val="clear"/>
          </w:tcPr>
          <w:p>
            <w:pPr>
              <w:jc w:val="center"/>
            </w:pPr>
            <w:r>
              <w:rPr>
                <w:rFonts w:ascii="Times New Roman" w:cs="Times New Roman" w:eastAsia="Times New Roman" w:hAnsi="Times New Roman"/>
                <w:b/>
                <w:bCs/>
                <w:sz w:val="22"/>
                <w:szCs w:val="22"/>
              </w:rPr>
              <w:t xml:space="preserve">Per-Unit @ 10K</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Mask Set (28nm)</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$2-3M</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Design &amp; Verification</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$2-4M</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Die (25mm² @ 28nm)</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$5-8</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Packaging &amp; Test</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$3-5</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Memory (LPDDR4)</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$10-12</w:t>
            </w:r>
          </w:p>
        </w:tc>
      </w:tr>
      <w:tr>
        <w:tc>
          <w:tcPr>
            <w:tcBorders>
              <w:top w:val="single" w:color="020617" w:sz="8"/>
              <w:left w:val="single" w:color="020617" w:sz="8"/>
              <w:bottom w:val="single" w:color="020617" w:sz="8"/>
              <w:right w:val="single" w:color="020617" w:sz="8"/>
            </w:tcBorders>
            <w:shd w:fill="E2E8F0" w:val="clear"/>
          </w:tcPr>
          <w:p>
            <w:r>
              <w:rPr>
                <w:rFonts w:ascii="Times New Roman" w:cs="Times New Roman" w:eastAsia="Times New Roman" w:hAnsi="Times New Roman"/>
                <w:b/>
                <w:bCs/>
                <w:sz w:val="20"/>
                <w:szCs w:val="20"/>
              </w:rPr>
              <w:t xml:space="preserve">Total COGS</w:t>
            </w:r>
          </w:p>
        </w:tc>
        <w:tc>
          <w:tcPr>
            <w:tcBorders>
              <w:top w:val="single" w:color="020617" w:sz="8"/>
              <w:left w:val="single" w:color="020617" w:sz="8"/>
              <w:bottom w:val="single" w:color="020617" w:sz="8"/>
              <w:right w:val="single" w:color="020617" w:sz="8"/>
            </w:tcBorders>
            <w:shd w:fill="E2E8F0" w:val="clear"/>
          </w:tcPr>
          <w:p>
            <w:pPr>
              <w:jc w:val="center"/>
            </w:pPr>
            <w:r>
              <w:rPr>
                <w:rFonts w:ascii="Times New Roman" w:cs="Times New Roman" w:eastAsia="Times New Roman" w:hAnsi="Times New Roman"/>
                <w:b/>
                <w:bCs/>
                <w:sz w:val="20"/>
                <w:szCs w:val="20"/>
              </w:rPr>
              <w:t xml:space="preserve">$4-7M NRE</w:t>
            </w:r>
          </w:p>
        </w:tc>
        <w:tc>
          <w:tcPr>
            <w:tcBorders>
              <w:top w:val="single" w:color="020617" w:sz="8"/>
              <w:left w:val="single" w:color="020617" w:sz="8"/>
              <w:bottom w:val="single" w:color="020617" w:sz="8"/>
              <w:right w:val="single" w:color="020617" w:sz="8"/>
            </w:tcBorders>
            <w:shd w:fill="E2E8F0" w:val="clear"/>
          </w:tcPr>
          <w:p>
            <w:pPr>
              <w:jc w:val="center"/>
            </w:pPr>
            <w:r>
              <w:rPr>
                <w:rFonts w:ascii="Times New Roman" w:cs="Times New Roman" w:eastAsia="Times New Roman" w:hAnsi="Times New Roman"/>
                <w:b/>
                <w:bCs/>
                <w:sz w:val="20"/>
                <w:szCs w:val="20"/>
              </w:rPr>
              <w:t xml:space="preserve">$20-30</w:t>
            </w:r>
          </w:p>
        </w:tc>
      </w:tr>
    </w:tbl>
    <w:p>
      <w:r>
        <w:br w:type="page"/>
      </w:r>
    </w:p>
    <w:p>
      <w:pPr>
        <w:pStyle w:val="Heading1"/>
      </w:pPr>
      <w:r>
        <w:t xml:space="preserve">7. Software SDK Specification</w:t>
      </w:r>
    </w:p>
    <w:p>
      <w:pPr>
        <w:spacing w:after="200"/>
      </w:pPr>
      <w:r>
        <w:rPr>
          <w:rFonts w:ascii="Times New Roman" w:cs="Times New Roman" w:eastAsia="Times New Roman" w:hAnsi="Times New Roman"/>
          <w:color w:val="1E293B"/>
          <w:sz w:val="22"/>
          <w:szCs w:val="22"/>
        </w:rPr>
        <w:t xml:space="preserve">The TernaryAir SDK provides a simple Python interface for inference. The design philosophy is "zero configuration": the chip appears as a serial device and inference is a single function call. No model loading, no memory management, no configuration files.</w:t>
      </w:r>
    </w:p>
    <w:p>
      <w:pPr>
        <w:pStyle w:val="Heading2"/>
      </w:pPr>
      <w:r>
        <w:t xml:space="preserve">7.1 Core API</w:t>
      </w:r>
    </w:p>
    <w:p>
      <w:pPr>
        <w:pStyle w:val="CodeBlock"/>
        <w:spacing w:after="200"/>
      </w:pPr>
      <w:r>
        <w:rPr>
          <w:rFonts w:ascii="Courier New" w:cs="Courier New" w:eastAsia="Courier New" w:hAnsi="Courier New"/>
          <w:sz w:val="20"/>
          <w:szCs w:val="20"/>
        </w:rPr>
        <w:t xml:space="preserve">  import ternaryair
  # Initialize device (auto-detects USB connection)
  device = ternaryair.connect()
  # Synchronous inference
  response = device.infer("Your prompt here")
  # Streaming inference
  for token in device.infer_stream("Your prompt here"):
      print(token, end='', flush=True)
  # Batch inference
  responses = device.infer_batch(["Prompt 1", "Prompt 2", "Prompt 3"])</w:t>
      </w:r>
    </w:p>
    <w:p>
      <w:pPr>
        <w:pStyle w:val="Heading2"/>
      </w:pPr>
      <w:r>
        <w:t xml:space="preserve">7.2 Advanced Features</w:t>
      </w:r>
    </w:p>
    <w:p>
      <w:pPr>
        <w:pStyle w:val="ListParagraph"/>
        <w:numPr>
          <w:ilvl w:val="0"/>
          <w:numId w:val="3"/>
        </w:numPr>
        <w:spacing w:after="100"/>
      </w:pPr>
      <w:r>
        <w:rPr>
          <w:rFonts w:ascii="Times New Roman" w:cs="Times New Roman" w:eastAsia="Times New Roman" w:hAnsi="Times New Roman"/>
          <w:sz w:val="22"/>
          <w:szCs w:val="22"/>
        </w:rPr>
        <w:t xml:space="preserve">Token streaming with configurable buffer sizes</w:t>
      </w:r>
    </w:p>
    <w:p>
      <w:pPr>
        <w:pStyle w:val="ListParagraph"/>
        <w:numPr>
          <w:ilvl w:val="0"/>
          <w:numId w:val="3"/>
        </w:numPr>
        <w:spacing w:after="100"/>
      </w:pPr>
      <w:r>
        <w:rPr>
          <w:rFonts w:ascii="Times New Roman" w:cs="Times New Roman" w:eastAsia="Times New Roman" w:hAnsi="Times New Roman"/>
          <w:sz w:val="22"/>
          <w:szCs w:val="22"/>
        </w:rPr>
        <w:t xml:space="preserve">KV cache management for multi-turn conversations</w:t>
      </w:r>
    </w:p>
    <w:p>
      <w:pPr>
        <w:pStyle w:val="ListParagraph"/>
        <w:numPr>
          <w:ilvl w:val="0"/>
          <w:numId w:val="3"/>
        </w:numPr>
        <w:spacing w:after="100"/>
      </w:pPr>
      <w:r>
        <w:rPr>
          <w:rFonts w:ascii="Times New Roman" w:cs="Times New Roman" w:eastAsia="Times New Roman" w:hAnsi="Times New Roman"/>
          <w:sz w:val="22"/>
          <w:szCs w:val="22"/>
        </w:rPr>
        <w:t xml:space="preserve">Power profiling and thermal monitoring</w:t>
      </w:r>
    </w:p>
    <w:p>
      <w:pPr>
        <w:pStyle w:val="ListParagraph"/>
        <w:numPr>
          <w:ilvl w:val="0"/>
          <w:numId w:val="3"/>
        </w:numPr>
        <w:spacing w:after="100"/>
      </w:pPr>
      <w:r>
        <w:rPr>
          <w:rFonts w:ascii="Times New Roman" w:cs="Times New Roman" w:eastAsia="Times New Roman" w:hAnsi="Times New Roman"/>
          <w:sz w:val="22"/>
          <w:szCs w:val="22"/>
        </w:rPr>
        <w:t xml:space="preserve">Debug interface with per-layer activation inspection</w:t>
      </w:r>
    </w:p>
    <w:p>
      <w:pPr>
        <w:pStyle w:val="ListParagraph"/>
        <w:numPr>
          <w:ilvl w:val="0"/>
          <w:numId w:val="3"/>
        </w:numPr>
        <w:spacing w:after="200"/>
      </w:pPr>
      <w:r>
        <w:rPr>
          <w:rFonts w:ascii="Times New Roman" w:cs="Times New Roman" w:eastAsia="Times New Roman" w:hAnsi="Times New Roman"/>
          <w:sz w:val="22"/>
          <w:szCs w:val="22"/>
        </w:rPr>
        <w:t xml:space="preserve">Multi-device parallel inference</w:t>
      </w:r>
    </w:p>
    <w:p>
      <w:r>
        <w:br w:type="page"/>
      </w:r>
    </w:p>
    <w:p>
      <w:pPr>
        <w:pStyle w:val="Heading1"/>
      </w:pPr>
      <w:r>
        <w:t xml:space="preserve">8. Implementation Roadmap</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4000"/>
        <w:gridCol w:w="3360"/>
      </w:tblGrid>
      <w:tr>
        <w:trPr>
          <w:tblHeader/>
        </w:trPr>
        <w:tc>
          <w:tcPr>
            <w:tcBorders>
              <w:top w:val="single" w:color="020617" w:sz="8"/>
              <w:left w:val="single" w:color="020617" w:sz="8"/>
              <w:bottom w:val="single" w:color="020617" w:sz="8"/>
              <w:right w:val="single" w:color="020617" w:sz="8"/>
            </w:tcBorders>
            <w:shd w:fill="E2E8F0" w:val="clear"/>
          </w:tcPr>
          <w:p>
            <w:pPr>
              <w:jc w:val="center"/>
            </w:pPr>
            <w:r>
              <w:rPr>
                <w:rFonts w:ascii="Times New Roman" w:cs="Times New Roman" w:eastAsia="Times New Roman" w:hAnsi="Times New Roman"/>
                <w:b/>
                <w:bCs/>
                <w:sz w:val="22"/>
                <w:szCs w:val="22"/>
              </w:rPr>
              <w:t xml:space="preserve">Phase</w:t>
            </w:r>
          </w:p>
        </w:tc>
        <w:tc>
          <w:tcPr>
            <w:tcBorders>
              <w:top w:val="single" w:color="020617" w:sz="8"/>
              <w:left w:val="single" w:color="020617" w:sz="8"/>
              <w:bottom w:val="single" w:color="020617" w:sz="8"/>
              <w:right w:val="single" w:color="020617" w:sz="8"/>
            </w:tcBorders>
            <w:shd w:fill="E2E8F0" w:val="clear"/>
          </w:tcPr>
          <w:p>
            <w:pPr>
              <w:jc w:val="center"/>
            </w:pPr>
            <w:r>
              <w:rPr>
                <w:rFonts w:ascii="Times New Roman" w:cs="Times New Roman" w:eastAsia="Times New Roman" w:hAnsi="Times New Roman"/>
                <w:b/>
                <w:bCs/>
                <w:sz w:val="22"/>
                <w:szCs w:val="22"/>
              </w:rPr>
              <w:t xml:space="preserve">Activities</w:t>
            </w:r>
          </w:p>
        </w:tc>
        <w:tc>
          <w:tcPr>
            <w:tcBorders>
              <w:top w:val="single" w:color="020617" w:sz="8"/>
              <w:left w:val="single" w:color="020617" w:sz="8"/>
              <w:bottom w:val="single" w:color="020617" w:sz="8"/>
              <w:right w:val="single" w:color="020617" w:sz="8"/>
            </w:tcBorders>
            <w:shd w:fill="E2E8F0" w:val="clear"/>
          </w:tcPr>
          <w:p>
            <w:pPr>
              <w:jc w:val="center"/>
            </w:pPr>
            <w:r>
              <w:rPr>
                <w:rFonts w:ascii="Times New Roman" w:cs="Times New Roman" w:eastAsia="Times New Roman" w:hAnsi="Times New Roman"/>
                <w:b/>
                <w:bCs/>
                <w:sz w:val="22"/>
                <w:szCs w:val="22"/>
              </w:rPr>
              <w:t xml:space="preserve">Timeline</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Gate 0</w:t>
            </w:r>
          </w:p>
        </w:tc>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FPGA prototype on KV260</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Months 1-4</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Gate 1</w:t>
            </w:r>
          </w:p>
        </w:tc>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RTL freeze, verification complete</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Months 5-10</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Gate 2</w:t>
            </w:r>
          </w:p>
        </w:tc>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MPW tapeout, first silicon</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Months 11-18</w:t>
            </w:r>
          </w:p>
        </w:tc>
      </w:tr>
      <w:tr>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Gate 3</w:t>
            </w:r>
          </w:p>
        </w:tc>
        <w:tc>
          <w:tcPr>
            <w:tcBorders>
              <w:top w:val="single" w:color="020617" w:sz="8"/>
              <w:left w:val="single" w:color="020617" w:sz="8"/>
              <w:bottom w:val="single" w:color="020617" w:sz="8"/>
              <w:right w:val="single" w:color="020617" w:sz="8"/>
            </w:tcBorders>
          </w:tcPr>
          <w:p>
            <w:r>
              <w:rPr>
                <w:rFonts w:ascii="Times New Roman" w:cs="Times New Roman" w:eastAsia="Times New Roman" w:hAnsi="Times New Roman"/>
                <w:sz w:val="20"/>
                <w:szCs w:val="20"/>
              </w:rPr>
              <w:t xml:space="preserve">Volume production release</w:t>
            </w:r>
          </w:p>
        </w:tc>
        <w:tc>
          <w:tcPr>
            <w:tcBorders>
              <w:top w:val="single" w:color="020617" w:sz="8"/>
              <w:left w:val="single" w:color="020617" w:sz="8"/>
              <w:bottom w:val="single" w:color="020617" w:sz="8"/>
              <w:right w:val="single" w:color="020617" w:sz="8"/>
            </w:tcBorders>
          </w:tcPr>
          <w:p>
            <w:pPr>
              <w:jc w:val="center"/>
            </w:pPr>
            <w:r>
              <w:rPr>
                <w:rFonts w:ascii="Times New Roman" w:cs="Times New Roman" w:eastAsia="Times New Roman" w:hAnsi="Times New Roman"/>
                <w:sz w:val="20"/>
                <w:szCs w:val="20"/>
              </w:rPr>
              <w:t xml:space="preserve">Months 19-24</w:t>
            </w:r>
          </w:p>
        </w:tc>
      </w:tr>
    </w:tbl>
    <w:p>
      <w:pPr>
        <w:spacing w:before="400"/>
      </w:pPr>
    </w:p>
    <w:p>
      <w:pPr>
        <w:jc w:val="center"/>
      </w:pPr>
      <w:r>
        <w:rPr>
          <w:rFonts w:ascii="Times New Roman" w:cs="Times New Roman" w:eastAsia="Times New Roman" w:hAnsi="Times New Roman"/>
          <w:i/>
          <w:iCs/>
          <w:color w:val="64748B"/>
          <w:sz w:val="20"/>
          <w:szCs w:val="20"/>
        </w:rPr>
        <w:t xml:space="preserve">For complete RTL source code, see the /rtl directory in this package.</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8"/>
        <w:szCs w:val="18"/>
      </w:rPr>
      <w:t xml:space="preserve">TernaryAir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64748B"/>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E293B"/>
      <w:sz w:val="24"/>
      <w:szCs w:val="24"/>
    </w:rPr>
  </w:style>
  <w:style w:type="paragraph" w:styleId="CodeBlock">
    <w:name w:val="Code Block"/>
    <w:basedOn w:val="Normal"/>
    <w:pPr>
      <w:shd w:fill="F8FAFC"/>
      <w:spacing w:after="100" w:before="100"/>
    </w:pPr>
    <w:rPr>
      <w:rFonts w:ascii="Courier New" w:cs="Courier New" w:eastAsia="Courier New" w:hAnsi="Courier New"/>
      <w:color w:val="1E293B"/>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2026-03-09T10:04:53.936Z</dcterms:created>
  <dcterms:modified xsi:type="dcterms:W3CDTF">2026-03-09T10:04:53.936Z</dcterms:modified>
</cp:coreProperties>
</file>

<file path=docProps/custom.xml><?xml version="1.0" encoding="utf-8"?>
<Properties xmlns="http://schemas.openxmlformats.org/officeDocument/2006/custom-properties" xmlns:vt="http://schemas.openxmlformats.org/officeDocument/2006/docPropsVTypes"/>
</file>